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361" w:rsidRPr="005B064C" w:rsidRDefault="005B064C" w:rsidP="00AC2EEC">
      <w:pPr>
        <w:pStyle w:val="NoSpacing"/>
        <w:rPr>
          <w:rFonts w:ascii="Times New Roman" w:hAnsi="Times New Roman" w:cs="Times New Roman"/>
          <w:b/>
          <w:sz w:val="24"/>
          <w:szCs w:val="24"/>
        </w:rPr>
      </w:pPr>
      <w:r w:rsidRPr="005B064C">
        <w:rPr>
          <w:rFonts w:ascii="Times New Roman" w:hAnsi="Times New Roman" w:cs="Times New Roman"/>
          <w:b/>
          <w:sz w:val="24"/>
          <w:szCs w:val="24"/>
          <w:u w:val="single"/>
        </w:rPr>
        <w:t>REPORTABLE</w:t>
      </w:r>
      <w:r w:rsidRPr="005B064C">
        <w:rPr>
          <w:rFonts w:ascii="Times New Roman" w:hAnsi="Times New Roman" w:cs="Times New Roman"/>
          <w:b/>
          <w:sz w:val="24"/>
          <w:szCs w:val="24"/>
        </w:rPr>
        <w:tab/>
        <w:t>(6)</w:t>
      </w:r>
    </w:p>
    <w:p w:rsidR="006E0A48" w:rsidRPr="00B748CC" w:rsidRDefault="006E0A48" w:rsidP="00AC2EEC">
      <w:pPr>
        <w:pStyle w:val="NoSpacing"/>
        <w:rPr>
          <w:rFonts w:ascii="Times New Roman" w:hAnsi="Times New Roman" w:cs="Times New Roman"/>
          <w:sz w:val="24"/>
          <w:szCs w:val="24"/>
        </w:rPr>
      </w:pPr>
    </w:p>
    <w:p w:rsidR="006E0A48" w:rsidRPr="00B748CC" w:rsidRDefault="006E0A48" w:rsidP="00AC2EEC">
      <w:pPr>
        <w:pStyle w:val="NoSpacing"/>
        <w:rPr>
          <w:rFonts w:ascii="Times New Roman" w:hAnsi="Times New Roman" w:cs="Times New Roman"/>
          <w:sz w:val="24"/>
          <w:szCs w:val="24"/>
        </w:rPr>
      </w:pPr>
    </w:p>
    <w:p w:rsidR="00A2799E" w:rsidRPr="00B748CC" w:rsidRDefault="00434361" w:rsidP="00AC2EEC">
      <w:pPr>
        <w:pStyle w:val="NoSpacing"/>
        <w:jc w:val="center"/>
        <w:rPr>
          <w:rFonts w:ascii="Times New Roman" w:hAnsi="Times New Roman" w:cs="Times New Roman"/>
          <w:b/>
          <w:sz w:val="24"/>
          <w:szCs w:val="24"/>
        </w:rPr>
      </w:pPr>
      <w:r w:rsidRPr="00B748CC">
        <w:rPr>
          <w:rFonts w:ascii="Times New Roman" w:hAnsi="Times New Roman" w:cs="Times New Roman"/>
          <w:b/>
          <w:sz w:val="24"/>
          <w:szCs w:val="24"/>
        </w:rPr>
        <w:t xml:space="preserve">BCM </w:t>
      </w:r>
      <w:r w:rsidR="00AC2EEC" w:rsidRPr="00B748CC">
        <w:rPr>
          <w:rFonts w:ascii="Times New Roman" w:hAnsi="Times New Roman" w:cs="Times New Roman"/>
          <w:b/>
          <w:sz w:val="24"/>
          <w:szCs w:val="24"/>
        </w:rPr>
        <w:t xml:space="preserve">     (PRIVATE)     LIMITED</w:t>
      </w:r>
    </w:p>
    <w:p w:rsidR="00FC6DB3" w:rsidRPr="00B748CC" w:rsidRDefault="00AC2EEC" w:rsidP="00AC2EEC">
      <w:pPr>
        <w:pStyle w:val="NoSpacing"/>
        <w:jc w:val="center"/>
        <w:rPr>
          <w:rFonts w:ascii="Times New Roman" w:hAnsi="Times New Roman" w:cs="Times New Roman"/>
          <w:b/>
          <w:sz w:val="24"/>
          <w:szCs w:val="24"/>
        </w:rPr>
      </w:pPr>
      <w:proofErr w:type="gramStart"/>
      <w:r w:rsidRPr="00B748CC">
        <w:rPr>
          <w:rFonts w:ascii="Times New Roman" w:hAnsi="Times New Roman" w:cs="Times New Roman"/>
          <w:b/>
          <w:sz w:val="24"/>
          <w:szCs w:val="24"/>
        </w:rPr>
        <w:t>v</w:t>
      </w:r>
      <w:proofErr w:type="gramEnd"/>
    </w:p>
    <w:p w:rsidR="00FC6DB3" w:rsidRPr="00B748CC" w:rsidRDefault="000B7ABC" w:rsidP="00AC2EEC">
      <w:pPr>
        <w:pStyle w:val="NoSpacing"/>
        <w:jc w:val="center"/>
        <w:rPr>
          <w:rFonts w:ascii="Times New Roman" w:hAnsi="Times New Roman" w:cs="Times New Roman"/>
          <w:b/>
          <w:sz w:val="24"/>
          <w:szCs w:val="24"/>
        </w:rPr>
      </w:pPr>
      <w:r w:rsidRPr="00B748CC">
        <w:rPr>
          <w:rFonts w:ascii="Times New Roman" w:hAnsi="Times New Roman" w:cs="Times New Roman"/>
          <w:b/>
          <w:sz w:val="24"/>
          <w:szCs w:val="24"/>
        </w:rPr>
        <w:t xml:space="preserve">ZIMBABWE     </w:t>
      </w:r>
      <w:r w:rsidR="00A2799E" w:rsidRPr="00B748CC">
        <w:rPr>
          <w:rFonts w:ascii="Times New Roman" w:hAnsi="Times New Roman" w:cs="Times New Roman"/>
          <w:b/>
          <w:sz w:val="24"/>
          <w:szCs w:val="24"/>
        </w:rPr>
        <w:t xml:space="preserve">REVENUE </w:t>
      </w:r>
      <w:r w:rsidR="00AC2EEC" w:rsidRPr="00B748CC">
        <w:rPr>
          <w:rFonts w:ascii="Times New Roman" w:hAnsi="Times New Roman" w:cs="Times New Roman"/>
          <w:b/>
          <w:sz w:val="24"/>
          <w:szCs w:val="24"/>
        </w:rPr>
        <w:t xml:space="preserve">     </w:t>
      </w:r>
      <w:r w:rsidR="00A2799E" w:rsidRPr="00B748CC">
        <w:rPr>
          <w:rFonts w:ascii="Times New Roman" w:hAnsi="Times New Roman" w:cs="Times New Roman"/>
          <w:b/>
          <w:sz w:val="24"/>
          <w:szCs w:val="24"/>
        </w:rPr>
        <w:t>AUTHORITY</w:t>
      </w:r>
    </w:p>
    <w:p w:rsidR="00FC6DB3" w:rsidRPr="00B748CC" w:rsidRDefault="00FC6DB3" w:rsidP="00A22C8C">
      <w:pPr>
        <w:spacing w:after="0" w:line="480" w:lineRule="auto"/>
        <w:rPr>
          <w:rFonts w:ascii="Times New Roman" w:hAnsi="Times New Roman" w:cs="Times New Roman"/>
          <w:b/>
          <w:sz w:val="24"/>
          <w:szCs w:val="24"/>
        </w:rPr>
      </w:pPr>
    </w:p>
    <w:p w:rsidR="000B7ABC" w:rsidRPr="00B748CC" w:rsidRDefault="000B7ABC" w:rsidP="00A22C8C">
      <w:pPr>
        <w:spacing w:after="0" w:line="480" w:lineRule="auto"/>
        <w:rPr>
          <w:rFonts w:ascii="Times New Roman" w:hAnsi="Times New Roman" w:cs="Times New Roman"/>
          <w:b/>
          <w:sz w:val="24"/>
          <w:szCs w:val="24"/>
        </w:rPr>
      </w:pPr>
    </w:p>
    <w:p w:rsidR="00FC6DB3" w:rsidRPr="00B748CC" w:rsidRDefault="00FC6DB3" w:rsidP="00AC2EEC">
      <w:pPr>
        <w:pStyle w:val="NoSpacing"/>
        <w:rPr>
          <w:rFonts w:ascii="Times New Roman" w:hAnsi="Times New Roman" w:cs="Times New Roman"/>
          <w:b/>
          <w:sz w:val="24"/>
          <w:szCs w:val="24"/>
        </w:rPr>
      </w:pPr>
      <w:r w:rsidRPr="00B748CC">
        <w:rPr>
          <w:rFonts w:ascii="Times New Roman" w:hAnsi="Times New Roman" w:cs="Times New Roman"/>
          <w:b/>
          <w:sz w:val="24"/>
          <w:szCs w:val="24"/>
        </w:rPr>
        <w:t>SUPREME COURT OF ZIMBABWE</w:t>
      </w:r>
    </w:p>
    <w:p w:rsidR="00FC6DB3" w:rsidRPr="00B748CC" w:rsidRDefault="00434361" w:rsidP="00AC2EEC">
      <w:pPr>
        <w:pStyle w:val="NoSpacing"/>
        <w:rPr>
          <w:rFonts w:ascii="Times New Roman" w:hAnsi="Times New Roman" w:cs="Times New Roman"/>
          <w:b/>
          <w:sz w:val="24"/>
          <w:szCs w:val="24"/>
        </w:rPr>
      </w:pPr>
      <w:r w:rsidRPr="00B748CC">
        <w:rPr>
          <w:rFonts w:ascii="Times New Roman" w:hAnsi="Times New Roman" w:cs="Times New Roman"/>
          <w:b/>
          <w:sz w:val="24"/>
          <w:szCs w:val="24"/>
        </w:rPr>
        <w:t>UCHENA</w:t>
      </w:r>
      <w:r w:rsidR="00A2799E" w:rsidRPr="00B748CC">
        <w:rPr>
          <w:rFonts w:ascii="Times New Roman" w:hAnsi="Times New Roman" w:cs="Times New Roman"/>
          <w:b/>
          <w:sz w:val="24"/>
          <w:szCs w:val="24"/>
        </w:rPr>
        <w:t xml:space="preserve"> JA</w:t>
      </w:r>
      <w:r w:rsidRPr="00B748CC">
        <w:rPr>
          <w:rFonts w:ascii="Times New Roman" w:hAnsi="Times New Roman" w:cs="Times New Roman"/>
          <w:b/>
          <w:sz w:val="24"/>
          <w:szCs w:val="24"/>
        </w:rPr>
        <w:t>, MATHONSI</w:t>
      </w:r>
      <w:r w:rsidR="00FC6DB3" w:rsidRPr="00B748CC">
        <w:rPr>
          <w:rFonts w:ascii="Times New Roman" w:hAnsi="Times New Roman" w:cs="Times New Roman"/>
          <w:b/>
          <w:sz w:val="24"/>
          <w:szCs w:val="24"/>
        </w:rPr>
        <w:t xml:space="preserve"> JA &amp;</w:t>
      </w:r>
      <w:r w:rsidR="000C7900" w:rsidRPr="00B748CC">
        <w:rPr>
          <w:rFonts w:ascii="Times New Roman" w:hAnsi="Times New Roman" w:cs="Times New Roman"/>
          <w:b/>
          <w:sz w:val="24"/>
          <w:szCs w:val="24"/>
        </w:rPr>
        <w:t xml:space="preserve"> </w:t>
      </w:r>
      <w:r w:rsidRPr="00B748CC">
        <w:rPr>
          <w:rFonts w:ascii="Times New Roman" w:hAnsi="Times New Roman" w:cs="Times New Roman"/>
          <w:b/>
          <w:sz w:val="24"/>
          <w:szCs w:val="24"/>
        </w:rPr>
        <w:t>KUDYA</w:t>
      </w:r>
      <w:r w:rsidR="00FC6DB3" w:rsidRPr="00B748CC">
        <w:rPr>
          <w:rFonts w:ascii="Times New Roman" w:hAnsi="Times New Roman" w:cs="Times New Roman"/>
          <w:b/>
          <w:sz w:val="24"/>
          <w:szCs w:val="24"/>
        </w:rPr>
        <w:t xml:space="preserve"> JA</w:t>
      </w:r>
    </w:p>
    <w:p w:rsidR="00FC6DB3" w:rsidRPr="00B748CC" w:rsidRDefault="00FE3FED" w:rsidP="00AC2EEC">
      <w:pPr>
        <w:pStyle w:val="NoSpacing"/>
        <w:rPr>
          <w:rFonts w:ascii="Times New Roman" w:hAnsi="Times New Roman" w:cs="Times New Roman"/>
          <w:b/>
          <w:sz w:val="24"/>
          <w:szCs w:val="24"/>
        </w:rPr>
      </w:pPr>
      <w:r w:rsidRPr="00B748CC">
        <w:rPr>
          <w:rFonts w:ascii="Times New Roman" w:hAnsi="Times New Roman" w:cs="Times New Roman"/>
          <w:b/>
          <w:sz w:val="24"/>
          <w:szCs w:val="24"/>
        </w:rPr>
        <w:t>HARARE</w:t>
      </w:r>
      <w:r w:rsidR="006E0A48" w:rsidRPr="00B748CC">
        <w:rPr>
          <w:rFonts w:ascii="Times New Roman" w:hAnsi="Times New Roman" w:cs="Times New Roman"/>
          <w:b/>
          <w:sz w:val="24"/>
          <w:szCs w:val="24"/>
        </w:rPr>
        <w:t>:</w:t>
      </w:r>
      <w:r w:rsidR="00EC2576" w:rsidRPr="00B748CC">
        <w:rPr>
          <w:rFonts w:ascii="Times New Roman" w:hAnsi="Times New Roman" w:cs="Times New Roman"/>
          <w:b/>
          <w:sz w:val="24"/>
          <w:szCs w:val="24"/>
        </w:rPr>
        <w:t xml:space="preserve"> </w:t>
      </w:r>
      <w:r w:rsidR="006E0A48" w:rsidRPr="00B748CC">
        <w:rPr>
          <w:rFonts w:ascii="Times New Roman" w:hAnsi="Times New Roman" w:cs="Times New Roman"/>
          <w:b/>
          <w:sz w:val="24"/>
          <w:szCs w:val="24"/>
        </w:rPr>
        <w:t>7 MARCH</w:t>
      </w:r>
      <w:r w:rsidR="00EC2576" w:rsidRPr="00B748CC">
        <w:rPr>
          <w:rFonts w:ascii="Times New Roman" w:hAnsi="Times New Roman" w:cs="Times New Roman"/>
          <w:b/>
          <w:sz w:val="24"/>
          <w:szCs w:val="24"/>
        </w:rPr>
        <w:t xml:space="preserve"> </w:t>
      </w:r>
      <w:r w:rsidR="00434361" w:rsidRPr="00B748CC">
        <w:rPr>
          <w:rFonts w:ascii="Times New Roman" w:hAnsi="Times New Roman" w:cs="Times New Roman"/>
          <w:b/>
          <w:sz w:val="24"/>
          <w:szCs w:val="24"/>
        </w:rPr>
        <w:t>2022</w:t>
      </w:r>
      <w:r w:rsidR="00EC2576" w:rsidRPr="00B748CC">
        <w:rPr>
          <w:rFonts w:ascii="Times New Roman" w:hAnsi="Times New Roman" w:cs="Times New Roman"/>
          <w:b/>
          <w:sz w:val="24"/>
          <w:szCs w:val="24"/>
        </w:rPr>
        <w:t xml:space="preserve"> </w:t>
      </w:r>
      <w:r w:rsidR="006E0A48" w:rsidRPr="00B748CC">
        <w:rPr>
          <w:rFonts w:ascii="Times New Roman" w:hAnsi="Times New Roman" w:cs="Times New Roman"/>
          <w:b/>
          <w:sz w:val="24"/>
          <w:szCs w:val="24"/>
        </w:rPr>
        <w:t xml:space="preserve">&amp; </w:t>
      </w:r>
      <w:r w:rsidR="00EB6DFF" w:rsidRPr="00B748CC">
        <w:rPr>
          <w:rFonts w:ascii="Times New Roman" w:hAnsi="Times New Roman" w:cs="Times New Roman"/>
          <w:b/>
          <w:sz w:val="24"/>
          <w:szCs w:val="24"/>
        </w:rPr>
        <w:t>26</w:t>
      </w:r>
      <w:r w:rsidR="006E0A48" w:rsidRPr="00B748CC">
        <w:rPr>
          <w:rFonts w:ascii="Times New Roman" w:hAnsi="Times New Roman" w:cs="Times New Roman"/>
          <w:b/>
          <w:sz w:val="24"/>
          <w:szCs w:val="24"/>
        </w:rPr>
        <w:t xml:space="preserve"> </w:t>
      </w:r>
      <w:r w:rsidR="000C7900" w:rsidRPr="00B748CC">
        <w:rPr>
          <w:rFonts w:ascii="Times New Roman" w:hAnsi="Times New Roman" w:cs="Times New Roman"/>
          <w:b/>
          <w:sz w:val="24"/>
          <w:szCs w:val="24"/>
        </w:rPr>
        <w:t>JANUARY</w:t>
      </w:r>
      <w:r w:rsidR="00EC2576" w:rsidRPr="00B748CC">
        <w:rPr>
          <w:rFonts w:ascii="Times New Roman" w:hAnsi="Times New Roman" w:cs="Times New Roman"/>
          <w:b/>
          <w:sz w:val="24"/>
          <w:szCs w:val="24"/>
        </w:rPr>
        <w:t xml:space="preserve"> 202</w:t>
      </w:r>
      <w:r w:rsidR="000C7900" w:rsidRPr="00B748CC">
        <w:rPr>
          <w:rFonts w:ascii="Times New Roman" w:hAnsi="Times New Roman" w:cs="Times New Roman"/>
          <w:b/>
          <w:sz w:val="24"/>
          <w:szCs w:val="24"/>
        </w:rPr>
        <w:t>3</w:t>
      </w:r>
    </w:p>
    <w:p w:rsidR="00FC6DB3" w:rsidRPr="00B748CC" w:rsidRDefault="00FC6DB3" w:rsidP="00A22C8C">
      <w:pPr>
        <w:spacing w:after="0" w:line="480" w:lineRule="auto"/>
        <w:jc w:val="both"/>
        <w:rPr>
          <w:rFonts w:ascii="Times New Roman" w:hAnsi="Times New Roman" w:cs="Times New Roman"/>
          <w:b/>
          <w:sz w:val="24"/>
          <w:szCs w:val="24"/>
        </w:rPr>
      </w:pPr>
    </w:p>
    <w:p w:rsidR="000B7ABC" w:rsidRPr="00B748CC" w:rsidRDefault="000B7ABC" w:rsidP="00A22C8C">
      <w:pPr>
        <w:spacing w:after="0" w:line="480" w:lineRule="auto"/>
        <w:jc w:val="both"/>
        <w:rPr>
          <w:rFonts w:ascii="Times New Roman" w:hAnsi="Times New Roman" w:cs="Times New Roman"/>
          <w:b/>
          <w:sz w:val="24"/>
          <w:szCs w:val="24"/>
        </w:rPr>
      </w:pPr>
    </w:p>
    <w:p w:rsidR="00FC6DB3" w:rsidRPr="00B748CC" w:rsidRDefault="00434361" w:rsidP="00A22C8C">
      <w:pPr>
        <w:spacing w:after="0" w:line="480" w:lineRule="auto"/>
        <w:jc w:val="both"/>
        <w:rPr>
          <w:rFonts w:ascii="Times New Roman" w:hAnsi="Times New Roman" w:cs="Times New Roman"/>
          <w:i/>
          <w:sz w:val="24"/>
          <w:szCs w:val="24"/>
        </w:rPr>
      </w:pPr>
      <w:r w:rsidRPr="00B748CC">
        <w:rPr>
          <w:rFonts w:ascii="Times New Roman" w:hAnsi="Times New Roman" w:cs="Times New Roman"/>
          <w:i/>
          <w:sz w:val="24"/>
          <w:szCs w:val="24"/>
        </w:rPr>
        <w:t xml:space="preserve">M. </w:t>
      </w:r>
      <w:proofErr w:type="spellStart"/>
      <w:r w:rsidRPr="00B748CC">
        <w:rPr>
          <w:rFonts w:ascii="Times New Roman" w:hAnsi="Times New Roman" w:cs="Times New Roman"/>
          <w:i/>
          <w:sz w:val="24"/>
          <w:szCs w:val="24"/>
        </w:rPr>
        <w:t>Tshuma</w:t>
      </w:r>
      <w:proofErr w:type="spellEnd"/>
      <w:r w:rsidR="00A157E6" w:rsidRPr="00B748CC">
        <w:rPr>
          <w:rFonts w:ascii="Times New Roman" w:hAnsi="Times New Roman" w:cs="Times New Roman"/>
          <w:i/>
          <w:sz w:val="24"/>
          <w:szCs w:val="24"/>
        </w:rPr>
        <w:t>,</w:t>
      </w:r>
      <w:r w:rsidR="00AC2EEC" w:rsidRPr="00B748CC">
        <w:rPr>
          <w:rFonts w:ascii="Times New Roman" w:hAnsi="Times New Roman" w:cs="Times New Roman"/>
          <w:i/>
          <w:sz w:val="24"/>
          <w:szCs w:val="24"/>
        </w:rPr>
        <w:t xml:space="preserve"> </w:t>
      </w:r>
      <w:r w:rsidR="000B7ABC" w:rsidRPr="00B748CC">
        <w:rPr>
          <w:rFonts w:ascii="Times New Roman" w:hAnsi="Times New Roman" w:cs="Times New Roman"/>
          <w:sz w:val="24"/>
          <w:szCs w:val="24"/>
        </w:rPr>
        <w:t>for a</w:t>
      </w:r>
      <w:r w:rsidR="00FC6DB3" w:rsidRPr="00B748CC">
        <w:rPr>
          <w:rFonts w:ascii="Times New Roman" w:hAnsi="Times New Roman" w:cs="Times New Roman"/>
          <w:sz w:val="24"/>
          <w:szCs w:val="24"/>
        </w:rPr>
        <w:t>ppellant</w:t>
      </w:r>
    </w:p>
    <w:p w:rsidR="00FC6DB3" w:rsidRPr="00B748CC" w:rsidRDefault="00434361" w:rsidP="00A22C8C">
      <w:pPr>
        <w:spacing w:after="0" w:line="480" w:lineRule="auto"/>
        <w:jc w:val="both"/>
        <w:rPr>
          <w:rFonts w:ascii="Times New Roman" w:hAnsi="Times New Roman" w:cs="Times New Roman"/>
          <w:sz w:val="24"/>
          <w:szCs w:val="24"/>
        </w:rPr>
      </w:pPr>
      <w:r w:rsidRPr="00B748CC">
        <w:rPr>
          <w:rFonts w:ascii="Times New Roman" w:hAnsi="Times New Roman" w:cs="Times New Roman"/>
          <w:i/>
          <w:sz w:val="24"/>
          <w:szCs w:val="24"/>
        </w:rPr>
        <w:t>S.</w:t>
      </w:r>
      <w:r w:rsidR="00A217FF" w:rsidRPr="00B748CC">
        <w:rPr>
          <w:rFonts w:ascii="Times New Roman" w:hAnsi="Times New Roman" w:cs="Times New Roman"/>
          <w:i/>
          <w:sz w:val="24"/>
          <w:szCs w:val="24"/>
        </w:rPr>
        <w:t xml:space="preserve"> </w:t>
      </w:r>
      <w:proofErr w:type="spellStart"/>
      <w:r w:rsidR="005926EE" w:rsidRPr="00B748CC">
        <w:rPr>
          <w:rFonts w:ascii="Times New Roman" w:hAnsi="Times New Roman" w:cs="Times New Roman"/>
          <w:i/>
          <w:sz w:val="24"/>
          <w:szCs w:val="24"/>
        </w:rPr>
        <w:t>Bhebhe</w:t>
      </w:r>
      <w:proofErr w:type="spellEnd"/>
      <w:r w:rsidR="00A157E6" w:rsidRPr="00B748CC">
        <w:rPr>
          <w:rFonts w:ascii="Times New Roman" w:hAnsi="Times New Roman" w:cs="Times New Roman"/>
          <w:i/>
          <w:sz w:val="24"/>
          <w:szCs w:val="24"/>
        </w:rPr>
        <w:t>,</w:t>
      </w:r>
      <w:r w:rsidR="00AC2EEC" w:rsidRPr="00B748CC">
        <w:rPr>
          <w:rFonts w:ascii="Times New Roman" w:hAnsi="Times New Roman" w:cs="Times New Roman"/>
          <w:sz w:val="24"/>
          <w:szCs w:val="24"/>
        </w:rPr>
        <w:t xml:space="preserve"> f</w:t>
      </w:r>
      <w:r w:rsidR="00FC6DB3" w:rsidRPr="00B748CC">
        <w:rPr>
          <w:rFonts w:ascii="Times New Roman" w:hAnsi="Times New Roman" w:cs="Times New Roman"/>
          <w:sz w:val="24"/>
          <w:szCs w:val="24"/>
        </w:rPr>
        <w:t>or the</w:t>
      </w:r>
      <w:r w:rsidR="000B7ABC" w:rsidRPr="00B748CC">
        <w:rPr>
          <w:rFonts w:ascii="Times New Roman" w:hAnsi="Times New Roman" w:cs="Times New Roman"/>
          <w:sz w:val="24"/>
          <w:szCs w:val="24"/>
        </w:rPr>
        <w:t xml:space="preserve"> r</w:t>
      </w:r>
      <w:r w:rsidR="005926EE" w:rsidRPr="00B748CC">
        <w:rPr>
          <w:rFonts w:ascii="Times New Roman" w:hAnsi="Times New Roman" w:cs="Times New Roman"/>
          <w:sz w:val="24"/>
          <w:szCs w:val="24"/>
        </w:rPr>
        <w:t>espondent</w:t>
      </w:r>
    </w:p>
    <w:p w:rsidR="00AC2EEC" w:rsidRPr="00B748CC" w:rsidRDefault="00AC2EEC" w:rsidP="00A22C8C">
      <w:pPr>
        <w:spacing w:after="0" w:line="480" w:lineRule="auto"/>
        <w:rPr>
          <w:rFonts w:ascii="Times New Roman" w:hAnsi="Times New Roman" w:cs="Times New Roman"/>
          <w:sz w:val="24"/>
          <w:szCs w:val="24"/>
        </w:rPr>
      </w:pPr>
    </w:p>
    <w:p w:rsidR="006E0A48" w:rsidRPr="00B748CC" w:rsidRDefault="006E0A48" w:rsidP="006E0A48">
      <w:pPr>
        <w:spacing w:after="0" w:line="240" w:lineRule="auto"/>
        <w:rPr>
          <w:rFonts w:ascii="Times New Roman" w:hAnsi="Times New Roman" w:cs="Times New Roman"/>
          <w:sz w:val="24"/>
          <w:szCs w:val="24"/>
        </w:rPr>
      </w:pPr>
    </w:p>
    <w:p w:rsidR="005926EE" w:rsidRPr="00B748CC" w:rsidRDefault="00FC6DB3" w:rsidP="00A217FF">
      <w:pPr>
        <w:tabs>
          <w:tab w:val="left" w:pos="1134"/>
        </w:tabs>
        <w:spacing w:after="0" w:line="480" w:lineRule="auto"/>
        <w:ind w:firstLine="1134"/>
        <w:jc w:val="both"/>
        <w:rPr>
          <w:rFonts w:ascii="Times New Roman" w:hAnsi="Times New Roman" w:cs="Times New Roman"/>
          <w:sz w:val="24"/>
          <w:szCs w:val="24"/>
        </w:rPr>
      </w:pPr>
      <w:r w:rsidRPr="00B748CC">
        <w:rPr>
          <w:rFonts w:ascii="Times New Roman" w:hAnsi="Times New Roman" w:cs="Times New Roman"/>
          <w:b/>
          <w:sz w:val="24"/>
          <w:szCs w:val="24"/>
        </w:rPr>
        <w:t>UCHENA JA:</w:t>
      </w:r>
      <w:r w:rsidR="000B7ABC" w:rsidRPr="00B748CC">
        <w:rPr>
          <w:rFonts w:ascii="Times New Roman" w:hAnsi="Times New Roman" w:cs="Times New Roman"/>
          <w:b/>
          <w:sz w:val="24"/>
          <w:szCs w:val="24"/>
        </w:rPr>
        <w:tab/>
      </w:r>
      <w:r w:rsidR="00A2799E" w:rsidRPr="00B748CC">
        <w:rPr>
          <w:rFonts w:ascii="Times New Roman" w:hAnsi="Times New Roman" w:cs="Times New Roman"/>
          <w:sz w:val="24"/>
          <w:szCs w:val="24"/>
        </w:rPr>
        <w:t>This is an appeal against</w:t>
      </w:r>
      <w:r w:rsidR="003E0354" w:rsidRPr="00B748CC">
        <w:rPr>
          <w:rFonts w:ascii="Times New Roman" w:hAnsi="Times New Roman" w:cs="Times New Roman"/>
          <w:sz w:val="24"/>
          <w:szCs w:val="24"/>
        </w:rPr>
        <w:t xml:space="preserve"> part of the judgment </w:t>
      </w:r>
      <w:r w:rsidR="00A2799E" w:rsidRPr="00B748CC">
        <w:rPr>
          <w:rFonts w:ascii="Times New Roman" w:hAnsi="Times New Roman" w:cs="Times New Roman"/>
          <w:sz w:val="24"/>
          <w:szCs w:val="24"/>
        </w:rPr>
        <w:t>of the</w:t>
      </w:r>
      <w:r w:rsidR="006C09BD" w:rsidRPr="00B748CC">
        <w:rPr>
          <w:rFonts w:ascii="Times New Roman" w:hAnsi="Times New Roman" w:cs="Times New Roman"/>
          <w:sz w:val="24"/>
          <w:szCs w:val="24"/>
        </w:rPr>
        <w:t xml:space="preserve"> </w:t>
      </w:r>
      <w:r w:rsidR="00793ED4" w:rsidRPr="00B748CC">
        <w:rPr>
          <w:rFonts w:ascii="Times New Roman" w:hAnsi="Times New Roman" w:cs="Times New Roman"/>
          <w:sz w:val="24"/>
          <w:szCs w:val="24"/>
        </w:rPr>
        <w:t>Special Court for Income Tax Appeals</w:t>
      </w:r>
      <w:r w:rsidR="00391684" w:rsidRPr="00B748CC">
        <w:rPr>
          <w:rFonts w:ascii="Times New Roman" w:hAnsi="Times New Roman" w:cs="Times New Roman"/>
          <w:sz w:val="24"/>
          <w:szCs w:val="24"/>
        </w:rPr>
        <w:t xml:space="preserve"> handed down on 28 September 2020,</w:t>
      </w:r>
      <w:r w:rsidR="0014156C" w:rsidRPr="00B748CC">
        <w:rPr>
          <w:rFonts w:ascii="Times New Roman" w:hAnsi="Times New Roman" w:cs="Times New Roman"/>
          <w:sz w:val="24"/>
          <w:szCs w:val="24"/>
        </w:rPr>
        <w:t xml:space="preserve"> dismiss</w:t>
      </w:r>
      <w:r w:rsidR="00391684" w:rsidRPr="00B748CC">
        <w:rPr>
          <w:rFonts w:ascii="Times New Roman" w:hAnsi="Times New Roman" w:cs="Times New Roman"/>
          <w:sz w:val="24"/>
          <w:szCs w:val="24"/>
        </w:rPr>
        <w:t>ing</w:t>
      </w:r>
      <w:r w:rsidR="0014156C" w:rsidRPr="00B748CC">
        <w:rPr>
          <w:rFonts w:ascii="Times New Roman" w:hAnsi="Times New Roman" w:cs="Times New Roman"/>
          <w:sz w:val="24"/>
          <w:szCs w:val="24"/>
        </w:rPr>
        <w:t xml:space="preserve"> the appellant</w:t>
      </w:r>
      <w:r w:rsidR="00BA569B" w:rsidRPr="00B748CC">
        <w:rPr>
          <w:rFonts w:ascii="Times New Roman" w:hAnsi="Times New Roman" w:cs="Times New Roman"/>
          <w:sz w:val="24"/>
          <w:szCs w:val="24"/>
        </w:rPr>
        <w:t>’</w:t>
      </w:r>
      <w:r w:rsidR="0014156C" w:rsidRPr="00B748CC">
        <w:rPr>
          <w:rFonts w:ascii="Times New Roman" w:hAnsi="Times New Roman" w:cs="Times New Roman"/>
          <w:sz w:val="24"/>
          <w:szCs w:val="24"/>
        </w:rPr>
        <w:t xml:space="preserve">s appeal against the </w:t>
      </w:r>
      <w:r w:rsidR="005926EE" w:rsidRPr="00B748CC">
        <w:rPr>
          <w:rFonts w:ascii="Times New Roman" w:hAnsi="Times New Roman" w:cs="Times New Roman"/>
          <w:sz w:val="24"/>
          <w:szCs w:val="24"/>
        </w:rPr>
        <w:t>decision of the respondent</w:t>
      </w:r>
      <w:r w:rsidR="000B27B5" w:rsidRPr="00B748CC">
        <w:rPr>
          <w:rFonts w:ascii="Times New Roman" w:hAnsi="Times New Roman" w:cs="Times New Roman"/>
          <w:sz w:val="24"/>
          <w:szCs w:val="24"/>
        </w:rPr>
        <w:t>’s Commissioner</w:t>
      </w:r>
      <w:r w:rsidR="005926EE" w:rsidRPr="00B748CC">
        <w:rPr>
          <w:rFonts w:ascii="Times New Roman" w:hAnsi="Times New Roman" w:cs="Times New Roman"/>
          <w:sz w:val="24"/>
          <w:szCs w:val="24"/>
        </w:rPr>
        <w:t xml:space="preserve"> in respect of various</w:t>
      </w:r>
      <w:r w:rsidR="000B27B5" w:rsidRPr="00B748CC">
        <w:rPr>
          <w:rFonts w:ascii="Times New Roman" w:hAnsi="Times New Roman" w:cs="Times New Roman"/>
          <w:sz w:val="24"/>
          <w:szCs w:val="24"/>
        </w:rPr>
        <w:t xml:space="preserve"> objections the appellant had raised against the Commissioner’s</w:t>
      </w:r>
      <w:r w:rsidR="0083154D" w:rsidRPr="00B748CC">
        <w:rPr>
          <w:rFonts w:ascii="Times New Roman" w:hAnsi="Times New Roman" w:cs="Times New Roman"/>
          <w:sz w:val="24"/>
          <w:szCs w:val="24"/>
        </w:rPr>
        <w:t xml:space="preserve"> </w:t>
      </w:r>
      <w:r w:rsidR="00862D8A" w:rsidRPr="00B748CC">
        <w:rPr>
          <w:rFonts w:ascii="Times New Roman" w:hAnsi="Times New Roman" w:cs="Times New Roman"/>
          <w:sz w:val="24"/>
          <w:szCs w:val="24"/>
        </w:rPr>
        <w:t xml:space="preserve">revised </w:t>
      </w:r>
      <w:r w:rsidR="005926EE" w:rsidRPr="00B748CC">
        <w:rPr>
          <w:rFonts w:ascii="Times New Roman" w:hAnsi="Times New Roman" w:cs="Times New Roman"/>
          <w:sz w:val="24"/>
          <w:szCs w:val="24"/>
        </w:rPr>
        <w:t>assessments</w:t>
      </w:r>
      <w:r w:rsidR="00DA5BD5" w:rsidRPr="00B748CC">
        <w:rPr>
          <w:rFonts w:ascii="Times New Roman" w:hAnsi="Times New Roman" w:cs="Times New Roman"/>
          <w:sz w:val="24"/>
          <w:szCs w:val="24"/>
        </w:rPr>
        <w:t xml:space="preserve"> of tax</w:t>
      </w:r>
      <w:r w:rsidR="005926EE" w:rsidRPr="00B748CC">
        <w:rPr>
          <w:rFonts w:ascii="Times New Roman" w:hAnsi="Times New Roman" w:cs="Times New Roman"/>
          <w:sz w:val="24"/>
          <w:szCs w:val="24"/>
        </w:rPr>
        <w:t xml:space="preserve"> </w:t>
      </w:r>
      <w:r w:rsidR="00862D8A" w:rsidRPr="00B748CC">
        <w:rPr>
          <w:rFonts w:ascii="Times New Roman" w:hAnsi="Times New Roman" w:cs="Times New Roman"/>
          <w:sz w:val="24"/>
          <w:szCs w:val="24"/>
        </w:rPr>
        <w:t>against it.</w:t>
      </w:r>
    </w:p>
    <w:p w:rsidR="00AC2EEC" w:rsidRPr="00B748CC" w:rsidRDefault="00AC2EEC" w:rsidP="00A22C8C">
      <w:pPr>
        <w:spacing w:after="0" w:line="480" w:lineRule="auto"/>
        <w:ind w:firstLine="1134"/>
        <w:jc w:val="both"/>
        <w:rPr>
          <w:rFonts w:ascii="Times New Roman" w:hAnsi="Times New Roman" w:cs="Times New Roman"/>
          <w:sz w:val="24"/>
          <w:szCs w:val="24"/>
        </w:rPr>
      </w:pPr>
    </w:p>
    <w:p w:rsidR="008D1855" w:rsidRPr="00B748CC" w:rsidRDefault="00AC2EEC" w:rsidP="00AC2EEC">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At the commencement o</w:t>
      </w:r>
      <w:r w:rsidRPr="00B748CC">
        <w:rPr>
          <w:rFonts w:ascii="Times New Roman" w:hAnsi="Times New Roman" w:cs="Times New Roman"/>
          <w:sz w:val="24"/>
          <w:szCs w:val="24"/>
        </w:rPr>
        <w:t>f the hearing of this appeal Mr </w:t>
      </w:r>
      <w:proofErr w:type="spellStart"/>
      <w:r w:rsidR="008D1855" w:rsidRPr="00B748CC">
        <w:rPr>
          <w:rFonts w:ascii="Times New Roman" w:hAnsi="Times New Roman" w:cs="Times New Roman"/>
          <w:i/>
          <w:sz w:val="24"/>
          <w:szCs w:val="24"/>
        </w:rPr>
        <w:t>Bhebhe</w:t>
      </w:r>
      <w:proofErr w:type="spellEnd"/>
      <w:r w:rsidR="008D1855" w:rsidRPr="00B748CC">
        <w:rPr>
          <w:rFonts w:ascii="Times New Roman" w:hAnsi="Times New Roman" w:cs="Times New Roman"/>
          <w:sz w:val="24"/>
          <w:szCs w:val="24"/>
        </w:rPr>
        <w:t xml:space="preserve"> for the respondent raised a point in </w:t>
      </w:r>
      <w:proofErr w:type="spellStart"/>
      <w:r w:rsidR="008D1855" w:rsidRPr="00B748CC">
        <w:rPr>
          <w:rFonts w:ascii="Times New Roman" w:hAnsi="Times New Roman" w:cs="Times New Roman"/>
          <w:i/>
          <w:sz w:val="24"/>
          <w:szCs w:val="24"/>
        </w:rPr>
        <w:t>limine</w:t>
      </w:r>
      <w:proofErr w:type="spellEnd"/>
      <w:r w:rsidR="008D1855" w:rsidRPr="00B748CC">
        <w:rPr>
          <w:rFonts w:ascii="Times New Roman" w:hAnsi="Times New Roman" w:cs="Times New Roman"/>
          <w:sz w:val="24"/>
          <w:szCs w:val="24"/>
        </w:rPr>
        <w:t xml:space="preserve"> that there was no valid appeal before the court because the appeal was noted without leave contrar</w:t>
      </w:r>
      <w:r w:rsidR="00577580" w:rsidRPr="00B748CC">
        <w:rPr>
          <w:rFonts w:ascii="Times New Roman" w:hAnsi="Times New Roman" w:cs="Times New Roman"/>
          <w:sz w:val="24"/>
          <w:szCs w:val="24"/>
        </w:rPr>
        <w:t>y to the provisions of s 66 (1)</w:t>
      </w:r>
      <w:r w:rsidR="008D1855" w:rsidRPr="00B748CC">
        <w:rPr>
          <w:rFonts w:ascii="Times New Roman" w:hAnsi="Times New Roman" w:cs="Times New Roman"/>
          <w:sz w:val="24"/>
          <w:szCs w:val="24"/>
        </w:rPr>
        <w:t xml:space="preserve"> (b) of the Income Tax Act [</w:t>
      </w:r>
      <w:r w:rsidR="008D1855" w:rsidRPr="00B748CC">
        <w:rPr>
          <w:rFonts w:ascii="Times New Roman" w:hAnsi="Times New Roman" w:cs="Times New Roman"/>
          <w:i/>
          <w:sz w:val="24"/>
          <w:szCs w:val="24"/>
        </w:rPr>
        <w:t>Chapter</w:t>
      </w:r>
      <w:r w:rsidR="00B748CC">
        <w:rPr>
          <w:rFonts w:ascii="Times New Roman" w:hAnsi="Times New Roman" w:cs="Times New Roman"/>
          <w:sz w:val="24"/>
          <w:szCs w:val="24"/>
        </w:rPr>
        <w:t> </w:t>
      </w:r>
      <w:r w:rsidR="00BC42F2" w:rsidRPr="00B748CC">
        <w:rPr>
          <w:rFonts w:ascii="Times New Roman" w:hAnsi="Times New Roman" w:cs="Times New Roman"/>
          <w:i/>
          <w:sz w:val="24"/>
          <w:szCs w:val="24"/>
        </w:rPr>
        <w:t>23:06]</w:t>
      </w:r>
    </w:p>
    <w:p w:rsidR="005B064C" w:rsidRPr="00B748CC" w:rsidRDefault="005B064C" w:rsidP="00B748CC">
      <w:pPr>
        <w:tabs>
          <w:tab w:val="left" w:pos="1134"/>
        </w:tabs>
        <w:spacing w:after="0" w:line="480" w:lineRule="auto"/>
        <w:jc w:val="both"/>
        <w:rPr>
          <w:rFonts w:ascii="Times New Roman" w:hAnsi="Times New Roman" w:cs="Times New Roman"/>
          <w:sz w:val="24"/>
          <w:szCs w:val="24"/>
        </w:rPr>
      </w:pPr>
    </w:p>
    <w:p w:rsidR="008D1855" w:rsidRPr="00B748CC" w:rsidRDefault="006E0A48" w:rsidP="008D1855">
      <w:pPr>
        <w:spacing w:after="0" w:line="480" w:lineRule="auto"/>
        <w:jc w:val="both"/>
        <w:rPr>
          <w:rFonts w:ascii="Times New Roman" w:hAnsi="Times New Roman" w:cs="Times New Roman"/>
          <w:b/>
          <w:sz w:val="24"/>
          <w:szCs w:val="24"/>
        </w:rPr>
      </w:pPr>
      <w:r w:rsidRPr="00B748CC">
        <w:rPr>
          <w:rFonts w:ascii="Times New Roman" w:hAnsi="Times New Roman" w:cs="Times New Roman"/>
          <w:b/>
          <w:sz w:val="24"/>
          <w:szCs w:val="24"/>
        </w:rPr>
        <w:t>SUBMISSIONS BY THE P</w:t>
      </w:r>
      <w:r w:rsidR="000B50C1">
        <w:rPr>
          <w:rFonts w:ascii="Times New Roman" w:hAnsi="Times New Roman" w:cs="Times New Roman"/>
          <w:b/>
          <w:sz w:val="24"/>
          <w:szCs w:val="24"/>
        </w:rPr>
        <w:t>ARTIES ON THE PRELIMINARY ISSUE</w:t>
      </w:r>
    </w:p>
    <w:p w:rsidR="008D1855" w:rsidRPr="00B748CC" w:rsidRDefault="00AC2EEC" w:rsidP="00B748CC">
      <w:pPr>
        <w:tabs>
          <w:tab w:val="left" w:pos="1134"/>
        </w:tabs>
        <w:spacing w:after="0" w:line="480" w:lineRule="auto"/>
        <w:ind w:firstLine="720"/>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 xml:space="preserve">Mr </w:t>
      </w:r>
      <w:proofErr w:type="spellStart"/>
      <w:r w:rsidR="008D1855" w:rsidRPr="00B748CC">
        <w:rPr>
          <w:rFonts w:ascii="Times New Roman" w:hAnsi="Times New Roman" w:cs="Times New Roman"/>
          <w:i/>
          <w:sz w:val="24"/>
          <w:szCs w:val="24"/>
        </w:rPr>
        <w:t>Bhebhe</w:t>
      </w:r>
      <w:proofErr w:type="spellEnd"/>
      <w:r w:rsidR="008D1855" w:rsidRPr="00B748CC">
        <w:rPr>
          <w:rFonts w:ascii="Times New Roman" w:hAnsi="Times New Roman" w:cs="Times New Roman"/>
          <w:sz w:val="24"/>
          <w:szCs w:val="24"/>
        </w:rPr>
        <w:t xml:space="preserve"> for the respondent submitted that the appellant’s purported appeal</w:t>
      </w:r>
      <w:r w:rsidR="00BC42F2" w:rsidRPr="00B748CC">
        <w:rPr>
          <w:rFonts w:ascii="Times New Roman" w:hAnsi="Times New Roman" w:cs="Times New Roman"/>
          <w:sz w:val="24"/>
          <w:szCs w:val="24"/>
        </w:rPr>
        <w:t>,</w:t>
      </w:r>
      <w:r w:rsidR="008D1855" w:rsidRPr="00B748CC">
        <w:rPr>
          <w:rFonts w:ascii="Times New Roman" w:hAnsi="Times New Roman" w:cs="Times New Roman"/>
          <w:sz w:val="24"/>
          <w:szCs w:val="24"/>
        </w:rPr>
        <w:t xml:space="preserve"> attacks the court </w:t>
      </w:r>
      <w:r w:rsidR="008D1855" w:rsidRPr="0070788D">
        <w:rPr>
          <w:rFonts w:ascii="Times New Roman" w:hAnsi="Times New Roman" w:cs="Times New Roman"/>
          <w:i/>
          <w:sz w:val="24"/>
          <w:szCs w:val="24"/>
        </w:rPr>
        <w:t xml:space="preserve">a </w:t>
      </w:r>
      <w:r w:rsidR="0070788D" w:rsidRPr="0070788D">
        <w:rPr>
          <w:rFonts w:ascii="Times New Roman" w:hAnsi="Times New Roman" w:cs="Times New Roman"/>
          <w:i/>
          <w:sz w:val="24"/>
          <w:szCs w:val="24"/>
        </w:rPr>
        <w:t>quo</w:t>
      </w:r>
      <w:r w:rsidR="008D1855" w:rsidRPr="00B748CC">
        <w:rPr>
          <w:rFonts w:ascii="Times New Roman" w:hAnsi="Times New Roman" w:cs="Times New Roman"/>
          <w:sz w:val="24"/>
          <w:szCs w:val="24"/>
        </w:rPr>
        <w:t>’</w:t>
      </w:r>
      <w:bookmarkStart w:id="0" w:name="_GoBack"/>
      <w:bookmarkEnd w:id="0"/>
      <w:r w:rsidR="008D1855" w:rsidRPr="00B748CC">
        <w:rPr>
          <w:rFonts w:ascii="Times New Roman" w:hAnsi="Times New Roman" w:cs="Times New Roman"/>
          <w:sz w:val="24"/>
          <w:szCs w:val="24"/>
        </w:rPr>
        <w:t xml:space="preserve">s findings of fact and should therefore have been preceded by a grant </w:t>
      </w:r>
      <w:r w:rsidR="008D1855" w:rsidRPr="00B748CC">
        <w:rPr>
          <w:rFonts w:ascii="Times New Roman" w:hAnsi="Times New Roman" w:cs="Times New Roman"/>
          <w:sz w:val="24"/>
          <w:szCs w:val="24"/>
        </w:rPr>
        <w:lastRenderedPageBreak/>
        <w:t xml:space="preserve">of leave by the court </w:t>
      </w:r>
      <w:r w:rsidR="008D1855" w:rsidRPr="00B748CC">
        <w:rPr>
          <w:rFonts w:ascii="Times New Roman" w:hAnsi="Times New Roman" w:cs="Times New Roman"/>
          <w:i/>
          <w:sz w:val="24"/>
          <w:szCs w:val="24"/>
        </w:rPr>
        <w:t>a quo</w:t>
      </w:r>
      <w:r w:rsidR="00C4643C" w:rsidRPr="00B748CC">
        <w:rPr>
          <w:rFonts w:ascii="Times New Roman" w:hAnsi="Times New Roman" w:cs="Times New Roman"/>
          <w:i/>
          <w:sz w:val="24"/>
          <w:szCs w:val="24"/>
        </w:rPr>
        <w:t>,</w:t>
      </w:r>
      <w:r w:rsidR="008D1855" w:rsidRPr="00B748CC">
        <w:rPr>
          <w:rFonts w:ascii="Times New Roman" w:hAnsi="Times New Roman" w:cs="Times New Roman"/>
          <w:sz w:val="24"/>
          <w:szCs w:val="24"/>
        </w:rPr>
        <w:t xml:space="preserve"> and if it had b</w:t>
      </w:r>
      <w:r w:rsidRPr="00B748CC">
        <w:rPr>
          <w:rFonts w:ascii="Times New Roman" w:hAnsi="Times New Roman" w:cs="Times New Roman"/>
          <w:sz w:val="24"/>
          <w:szCs w:val="24"/>
        </w:rPr>
        <w:t>een refused</w:t>
      </w:r>
      <w:r w:rsidR="00C4643C" w:rsidRPr="00B748CC">
        <w:rPr>
          <w:rFonts w:ascii="Times New Roman" w:hAnsi="Times New Roman" w:cs="Times New Roman"/>
          <w:sz w:val="24"/>
          <w:szCs w:val="24"/>
        </w:rPr>
        <w:t>,</w:t>
      </w:r>
      <w:r w:rsidR="00B748CC">
        <w:rPr>
          <w:rFonts w:ascii="Times New Roman" w:hAnsi="Times New Roman" w:cs="Times New Roman"/>
          <w:sz w:val="24"/>
          <w:szCs w:val="24"/>
        </w:rPr>
        <w:t xml:space="preserve"> by a J</w:t>
      </w:r>
      <w:r w:rsidRPr="00B748CC">
        <w:rPr>
          <w:rFonts w:ascii="Times New Roman" w:hAnsi="Times New Roman" w:cs="Times New Roman"/>
          <w:sz w:val="24"/>
          <w:szCs w:val="24"/>
        </w:rPr>
        <w:t>udge of this C</w:t>
      </w:r>
      <w:r w:rsidR="008D1855" w:rsidRPr="00B748CC">
        <w:rPr>
          <w:rFonts w:ascii="Times New Roman" w:hAnsi="Times New Roman" w:cs="Times New Roman"/>
          <w:sz w:val="24"/>
          <w:szCs w:val="24"/>
        </w:rPr>
        <w:t>ourt. He submitted that an appeal noted without leave is a nullity and should be struck off the roll.</w:t>
      </w:r>
    </w:p>
    <w:p w:rsidR="006E0A48" w:rsidRPr="00B748CC" w:rsidRDefault="006E0A48" w:rsidP="00AC2EEC">
      <w:pPr>
        <w:tabs>
          <w:tab w:val="left" w:pos="1134"/>
        </w:tabs>
        <w:spacing w:after="0" w:line="480" w:lineRule="auto"/>
        <w:ind w:firstLine="720"/>
        <w:jc w:val="both"/>
        <w:rPr>
          <w:rFonts w:ascii="Times New Roman" w:hAnsi="Times New Roman" w:cs="Times New Roman"/>
          <w:sz w:val="24"/>
          <w:szCs w:val="24"/>
        </w:rPr>
      </w:pPr>
    </w:p>
    <w:p w:rsidR="008D1855" w:rsidRPr="00B748CC" w:rsidRDefault="006E0A48" w:rsidP="006E0A48">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 xml:space="preserve">Mr </w:t>
      </w:r>
      <w:proofErr w:type="spellStart"/>
      <w:r w:rsidR="008D1855" w:rsidRPr="00B748CC">
        <w:rPr>
          <w:rFonts w:ascii="Times New Roman" w:hAnsi="Times New Roman" w:cs="Times New Roman"/>
          <w:i/>
          <w:sz w:val="24"/>
          <w:szCs w:val="24"/>
        </w:rPr>
        <w:t>Tshuma</w:t>
      </w:r>
      <w:proofErr w:type="spellEnd"/>
      <w:r w:rsidR="008D1855" w:rsidRPr="00B748CC">
        <w:rPr>
          <w:rFonts w:ascii="Times New Roman" w:hAnsi="Times New Roman" w:cs="Times New Roman"/>
          <w:sz w:val="24"/>
          <w:szCs w:val="24"/>
        </w:rPr>
        <w:t xml:space="preserve"> for the appellant submitted that the appellant’s appeal is against the court </w:t>
      </w:r>
      <w:r w:rsidR="008D1855" w:rsidRPr="00B748CC">
        <w:rPr>
          <w:rFonts w:ascii="Times New Roman" w:hAnsi="Times New Roman" w:cs="Times New Roman"/>
          <w:i/>
          <w:sz w:val="24"/>
          <w:szCs w:val="24"/>
        </w:rPr>
        <w:t>a quo</w:t>
      </w:r>
      <w:r w:rsidR="008D1855" w:rsidRPr="00B748CC">
        <w:rPr>
          <w:rFonts w:ascii="Times New Roman" w:hAnsi="Times New Roman" w:cs="Times New Roman"/>
          <w:sz w:val="24"/>
          <w:szCs w:val="24"/>
        </w:rPr>
        <w:t xml:space="preserve">’s findings on law and </w:t>
      </w:r>
      <w:r w:rsidR="002E3F64" w:rsidRPr="00B748CC">
        <w:rPr>
          <w:rFonts w:ascii="Times New Roman" w:hAnsi="Times New Roman" w:cs="Times New Roman"/>
          <w:sz w:val="24"/>
          <w:szCs w:val="24"/>
        </w:rPr>
        <w:t>was</w:t>
      </w:r>
      <w:r w:rsidR="008135A2">
        <w:rPr>
          <w:rFonts w:ascii="Times New Roman" w:hAnsi="Times New Roman" w:cs="Times New Roman"/>
          <w:sz w:val="24"/>
          <w:szCs w:val="24"/>
        </w:rPr>
        <w:t>,</w:t>
      </w:r>
      <w:r w:rsidR="00304D9F" w:rsidRPr="00B748CC">
        <w:rPr>
          <w:rFonts w:ascii="Times New Roman" w:hAnsi="Times New Roman" w:cs="Times New Roman"/>
          <w:sz w:val="24"/>
          <w:szCs w:val="24"/>
        </w:rPr>
        <w:t xml:space="preserve"> in terms of s</w:t>
      </w:r>
      <w:r w:rsidR="00B460F9" w:rsidRPr="00B748CC">
        <w:rPr>
          <w:rFonts w:ascii="Times New Roman" w:hAnsi="Times New Roman" w:cs="Times New Roman"/>
          <w:sz w:val="24"/>
          <w:szCs w:val="24"/>
        </w:rPr>
        <w:t xml:space="preserve"> 66 (1)</w:t>
      </w:r>
      <w:r w:rsidR="00DC7560" w:rsidRPr="00B748CC">
        <w:rPr>
          <w:rFonts w:ascii="Times New Roman" w:hAnsi="Times New Roman" w:cs="Times New Roman"/>
          <w:sz w:val="24"/>
          <w:szCs w:val="24"/>
        </w:rPr>
        <w:t>(a)</w:t>
      </w:r>
      <w:r w:rsidR="008135A2">
        <w:rPr>
          <w:rFonts w:ascii="Times New Roman" w:hAnsi="Times New Roman" w:cs="Times New Roman"/>
          <w:sz w:val="24"/>
          <w:szCs w:val="24"/>
        </w:rPr>
        <w:t>,</w:t>
      </w:r>
      <w:r w:rsidR="002E3F64" w:rsidRPr="00B748CC">
        <w:rPr>
          <w:rFonts w:ascii="Times New Roman" w:hAnsi="Times New Roman" w:cs="Times New Roman"/>
          <w:sz w:val="24"/>
          <w:szCs w:val="24"/>
        </w:rPr>
        <w:t xml:space="preserve"> properly</w:t>
      </w:r>
      <w:r w:rsidR="008D1855" w:rsidRPr="00B748CC">
        <w:rPr>
          <w:rFonts w:ascii="Times New Roman" w:hAnsi="Times New Roman" w:cs="Times New Roman"/>
          <w:sz w:val="24"/>
          <w:szCs w:val="24"/>
        </w:rPr>
        <w:t xml:space="preserve"> noted without leave.</w:t>
      </w:r>
    </w:p>
    <w:p w:rsidR="00AC2EEC" w:rsidRPr="00B748CC" w:rsidRDefault="00AC2EEC" w:rsidP="008D1855">
      <w:pPr>
        <w:spacing w:after="0" w:line="480" w:lineRule="auto"/>
        <w:jc w:val="both"/>
        <w:rPr>
          <w:rFonts w:ascii="Times New Roman" w:hAnsi="Times New Roman" w:cs="Times New Roman"/>
          <w:sz w:val="24"/>
          <w:szCs w:val="24"/>
        </w:rPr>
      </w:pPr>
    </w:p>
    <w:p w:rsidR="008D1855" w:rsidRPr="00B748CC" w:rsidRDefault="00AC2EEC" w:rsidP="006E0A48">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After hearing the parties on the preliminary issue</w:t>
      </w:r>
      <w:r w:rsidR="000C1F87" w:rsidRPr="00B748CC">
        <w:rPr>
          <w:rFonts w:ascii="Times New Roman" w:hAnsi="Times New Roman" w:cs="Times New Roman"/>
          <w:sz w:val="24"/>
          <w:szCs w:val="24"/>
        </w:rPr>
        <w:t>,</w:t>
      </w:r>
      <w:r w:rsidR="008D1855" w:rsidRPr="00B748CC">
        <w:rPr>
          <w:rFonts w:ascii="Times New Roman" w:hAnsi="Times New Roman" w:cs="Times New Roman"/>
          <w:sz w:val="24"/>
          <w:szCs w:val="24"/>
        </w:rPr>
        <w:t xml:space="preserve"> with the consent of the parties</w:t>
      </w:r>
      <w:r w:rsidR="000C1F87" w:rsidRPr="00B748CC">
        <w:rPr>
          <w:rFonts w:ascii="Times New Roman" w:hAnsi="Times New Roman" w:cs="Times New Roman"/>
          <w:sz w:val="24"/>
          <w:szCs w:val="24"/>
        </w:rPr>
        <w:t>, we</w:t>
      </w:r>
      <w:r w:rsidR="008D1855" w:rsidRPr="00B748CC">
        <w:rPr>
          <w:rFonts w:ascii="Times New Roman" w:hAnsi="Times New Roman" w:cs="Times New Roman"/>
          <w:sz w:val="24"/>
          <w:szCs w:val="24"/>
        </w:rPr>
        <w:t xml:space="preserve"> rolled the preliminary issue over to the merits.</w:t>
      </w:r>
      <w:r w:rsidR="00BC42F2" w:rsidRPr="00B748CC">
        <w:rPr>
          <w:rFonts w:ascii="Times New Roman" w:hAnsi="Times New Roman" w:cs="Times New Roman"/>
          <w:sz w:val="24"/>
          <w:szCs w:val="24"/>
        </w:rPr>
        <w:t xml:space="preserve"> I should therefore determine the preliminary issue before considering and determining the appeal on the merits. </w:t>
      </w:r>
      <w:r w:rsidR="00441840" w:rsidRPr="00B748CC">
        <w:rPr>
          <w:rFonts w:ascii="Times New Roman" w:hAnsi="Times New Roman" w:cs="Times New Roman"/>
          <w:sz w:val="24"/>
          <w:szCs w:val="24"/>
        </w:rPr>
        <w:t>If</w:t>
      </w:r>
      <w:r w:rsidR="0083154D" w:rsidRPr="00B748CC">
        <w:rPr>
          <w:rFonts w:ascii="Times New Roman" w:hAnsi="Times New Roman" w:cs="Times New Roman"/>
          <w:sz w:val="24"/>
          <w:szCs w:val="24"/>
        </w:rPr>
        <w:t xml:space="preserve"> the</w:t>
      </w:r>
      <w:r w:rsidR="00441840" w:rsidRPr="00B748CC">
        <w:rPr>
          <w:rFonts w:ascii="Times New Roman" w:hAnsi="Times New Roman" w:cs="Times New Roman"/>
          <w:sz w:val="24"/>
          <w:szCs w:val="24"/>
        </w:rPr>
        <w:t xml:space="preserve"> respondent succeeds on the preliminary issue the matter will be struck off the roll. A determination on the merits will only be necessary if the preliminary issue is dismissed. </w:t>
      </w:r>
    </w:p>
    <w:p w:rsidR="00AC2EEC" w:rsidRPr="00B748CC" w:rsidRDefault="00AC2EEC" w:rsidP="00AC2EEC">
      <w:pPr>
        <w:tabs>
          <w:tab w:val="left" w:pos="1134"/>
        </w:tabs>
        <w:spacing w:after="0" w:line="480" w:lineRule="auto"/>
        <w:jc w:val="both"/>
        <w:rPr>
          <w:rFonts w:ascii="Times New Roman" w:hAnsi="Times New Roman" w:cs="Times New Roman"/>
          <w:sz w:val="24"/>
          <w:szCs w:val="24"/>
        </w:rPr>
      </w:pPr>
    </w:p>
    <w:p w:rsidR="008D1855" w:rsidRPr="00B748CC" w:rsidRDefault="000B50C1" w:rsidP="008D185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 LAW</w:t>
      </w:r>
    </w:p>
    <w:p w:rsidR="008D1855" w:rsidRPr="00B748CC" w:rsidRDefault="00AC2EEC" w:rsidP="00B748CC">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The question</w:t>
      </w:r>
      <w:r w:rsidR="00BF2AC5" w:rsidRPr="00B748CC">
        <w:rPr>
          <w:rFonts w:ascii="Times New Roman" w:hAnsi="Times New Roman" w:cs="Times New Roman"/>
          <w:sz w:val="24"/>
          <w:szCs w:val="24"/>
        </w:rPr>
        <w:t xml:space="preserve"> of</w:t>
      </w:r>
      <w:r w:rsidR="008D1855" w:rsidRPr="00B748CC">
        <w:rPr>
          <w:rFonts w:ascii="Times New Roman" w:hAnsi="Times New Roman" w:cs="Times New Roman"/>
          <w:sz w:val="24"/>
          <w:szCs w:val="24"/>
        </w:rPr>
        <w:t xml:space="preserve"> whether or not the</w:t>
      </w:r>
      <w:r w:rsidR="00BF2AC5" w:rsidRPr="00B748CC">
        <w:rPr>
          <w:rFonts w:ascii="Times New Roman" w:hAnsi="Times New Roman" w:cs="Times New Roman"/>
          <w:sz w:val="24"/>
          <w:szCs w:val="24"/>
        </w:rPr>
        <w:t xml:space="preserve"> appellant’s </w:t>
      </w:r>
      <w:r w:rsidR="008D1855" w:rsidRPr="00B748CC">
        <w:rPr>
          <w:rFonts w:ascii="Times New Roman" w:hAnsi="Times New Roman" w:cs="Times New Roman"/>
          <w:sz w:val="24"/>
          <w:szCs w:val="24"/>
        </w:rPr>
        <w:t>appeal should have been noted without leave is governed by s 66 (1) of the Income Tax Act</w:t>
      </w:r>
      <w:r w:rsidR="00EA5AAA" w:rsidRPr="00B748CC">
        <w:rPr>
          <w:rFonts w:ascii="Times New Roman" w:hAnsi="Times New Roman" w:cs="Times New Roman"/>
          <w:sz w:val="24"/>
          <w:szCs w:val="24"/>
        </w:rPr>
        <w:t xml:space="preserve"> </w:t>
      </w:r>
      <w:r w:rsidR="008D1855" w:rsidRPr="00B748CC">
        <w:rPr>
          <w:rFonts w:ascii="Times New Roman" w:hAnsi="Times New Roman" w:cs="Times New Roman"/>
          <w:sz w:val="24"/>
          <w:szCs w:val="24"/>
        </w:rPr>
        <w:t>which provides as follows:</w:t>
      </w:r>
    </w:p>
    <w:p w:rsidR="008D1855" w:rsidRPr="00B748CC" w:rsidRDefault="008D1855" w:rsidP="00AC2EEC">
      <w:pPr>
        <w:spacing w:after="0" w:line="240" w:lineRule="auto"/>
        <w:ind w:left="567"/>
        <w:jc w:val="both"/>
        <w:rPr>
          <w:rFonts w:ascii="Times New Roman" w:hAnsi="Times New Roman" w:cs="Times New Roman"/>
          <w:sz w:val="24"/>
          <w:szCs w:val="24"/>
        </w:rPr>
      </w:pPr>
      <w:r w:rsidRPr="00B748CC">
        <w:rPr>
          <w:rFonts w:ascii="Times New Roman" w:hAnsi="Times New Roman" w:cs="Times New Roman"/>
          <w:sz w:val="24"/>
          <w:szCs w:val="24"/>
        </w:rPr>
        <w:t>“On the determination by the High Court or the Special Court of an appeal under section sixty five or other proceedings incidental to or connected therewith, the appellant or the Commissioner, if dissatisfied with the determination-</w:t>
      </w:r>
    </w:p>
    <w:p w:rsidR="008D1855" w:rsidRPr="00B748CC" w:rsidRDefault="008D1855" w:rsidP="008D1855">
      <w:pPr>
        <w:pStyle w:val="ListParagraph"/>
        <w:numPr>
          <w:ilvl w:val="0"/>
          <w:numId w:val="12"/>
        </w:numPr>
        <w:spacing w:after="0" w:line="276" w:lineRule="auto"/>
        <w:jc w:val="both"/>
        <w:rPr>
          <w:rFonts w:ascii="Times New Roman" w:hAnsi="Times New Roman" w:cs="Times New Roman"/>
          <w:b/>
          <w:sz w:val="24"/>
          <w:szCs w:val="24"/>
        </w:rPr>
      </w:pPr>
      <w:r w:rsidRPr="00B748CC">
        <w:rPr>
          <w:rFonts w:ascii="Times New Roman" w:hAnsi="Times New Roman" w:cs="Times New Roman"/>
          <w:sz w:val="24"/>
          <w:szCs w:val="24"/>
        </w:rPr>
        <w:t xml:space="preserve">May appeal to the Supreme Court </w:t>
      </w:r>
      <w:r w:rsidRPr="00B748CC">
        <w:rPr>
          <w:rFonts w:ascii="Times New Roman" w:hAnsi="Times New Roman" w:cs="Times New Roman"/>
          <w:b/>
          <w:sz w:val="24"/>
          <w:szCs w:val="24"/>
        </w:rPr>
        <w:t>on any ground of appeal which involves a question of law alone;</w:t>
      </w:r>
    </w:p>
    <w:p w:rsidR="008D1855" w:rsidRPr="00B748CC" w:rsidRDefault="008D1855" w:rsidP="008D1855">
      <w:pPr>
        <w:pStyle w:val="ListParagraph"/>
        <w:numPr>
          <w:ilvl w:val="0"/>
          <w:numId w:val="12"/>
        </w:numPr>
        <w:spacing w:after="0" w:line="276" w:lineRule="auto"/>
        <w:jc w:val="both"/>
        <w:rPr>
          <w:rFonts w:ascii="Times New Roman" w:hAnsi="Times New Roman" w:cs="Times New Roman"/>
          <w:b/>
          <w:sz w:val="24"/>
          <w:szCs w:val="24"/>
        </w:rPr>
      </w:pPr>
      <w:r w:rsidRPr="00B748CC">
        <w:rPr>
          <w:rFonts w:ascii="Times New Roman" w:hAnsi="Times New Roman" w:cs="Times New Roman"/>
          <w:sz w:val="24"/>
          <w:szCs w:val="24"/>
        </w:rPr>
        <w:t xml:space="preserve">May, </w:t>
      </w:r>
      <w:r w:rsidRPr="00B748CC">
        <w:rPr>
          <w:rFonts w:ascii="Times New Roman" w:hAnsi="Times New Roman" w:cs="Times New Roman"/>
          <w:b/>
          <w:sz w:val="24"/>
          <w:szCs w:val="24"/>
        </w:rPr>
        <w:t xml:space="preserve">with the leave of a judge of the High Court or a President of the Special Court, as the case may be, or, if such a judge or President refuses to grant leave, with the leave of a judge of the Supreme Court, appeal to the Supreme Court on any ground of appeal which involves a question of fact alone or a question of mixed law and fact.” </w:t>
      </w:r>
      <w:r w:rsidR="00441840" w:rsidRPr="00B748CC">
        <w:rPr>
          <w:rFonts w:ascii="Times New Roman" w:hAnsi="Times New Roman" w:cs="Times New Roman"/>
          <w:sz w:val="24"/>
          <w:szCs w:val="24"/>
        </w:rPr>
        <w:t>(emphasis added)</w:t>
      </w:r>
    </w:p>
    <w:p w:rsidR="00AC2EEC" w:rsidRPr="00B748CC" w:rsidRDefault="00AC2EEC" w:rsidP="00AC2EEC">
      <w:pPr>
        <w:pStyle w:val="ListParagraph"/>
        <w:spacing w:after="0" w:line="276" w:lineRule="auto"/>
        <w:ind w:left="2160"/>
        <w:jc w:val="both"/>
        <w:rPr>
          <w:rFonts w:ascii="Times New Roman" w:hAnsi="Times New Roman" w:cs="Times New Roman"/>
          <w:sz w:val="24"/>
          <w:szCs w:val="24"/>
        </w:rPr>
      </w:pPr>
    </w:p>
    <w:p w:rsidR="00724160" w:rsidRPr="00B748CC" w:rsidRDefault="00724160" w:rsidP="00B748CC">
      <w:pPr>
        <w:spacing w:after="0" w:line="276" w:lineRule="auto"/>
        <w:jc w:val="both"/>
        <w:rPr>
          <w:rFonts w:ascii="Times New Roman" w:hAnsi="Times New Roman" w:cs="Times New Roman"/>
          <w:b/>
          <w:sz w:val="24"/>
          <w:szCs w:val="24"/>
        </w:rPr>
      </w:pPr>
    </w:p>
    <w:p w:rsidR="00BF2AC5" w:rsidRPr="00B748CC" w:rsidRDefault="00AC2EEC" w:rsidP="00B029DE">
      <w:pPr>
        <w:tabs>
          <w:tab w:val="left" w:pos="1134"/>
        </w:tabs>
        <w:spacing w:after="0" w:line="480" w:lineRule="auto"/>
        <w:ind w:firstLine="720"/>
        <w:jc w:val="both"/>
        <w:rPr>
          <w:rFonts w:ascii="Times New Roman" w:hAnsi="Times New Roman" w:cs="Times New Roman"/>
          <w:sz w:val="24"/>
          <w:szCs w:val="24"/>
        </w:rPr>
      </w:pPr>
      <w:r w:rsidRPr="00B748CC">
        <w:rPr>
          <w:rFonts w:ascii="Times New Roman" w:hAnsi="Times New Roman" w:cs="Times New Roman"/>
          <w:sz w:val="24"/>
          <w:szCs w:val="24"/>
        </w:rPr>
        <w:tab/>
        <w:t xml:space="preserve">Section 66 </w:t>
      </w:r>
      <w:r w:rsidR="00BF2AC5" w:rsidRPr="00B748CC">
        <w:rPr>
          <w:rFonts w:ascii="Times New Roman" w:hAnsi="Times New Roman" w:cs="Times New Roman"/>
          <w:sz w:val="24"/>
          <w:szCs w:val="24"/>
        </w:rPr>
        <w:t>(1) provides that an appeal is noted against a determination of the Special Court. The determination</w:t>
      </w:r>
      <w:r w:rsidR="00C36ACC" w:rsidRPr="00B748CC">
        <w:rPr>
          <w:rFonts w:ascii="Times New Roman" w:hAnsi="Times New Roman" w:cs="Times New Roman"/>
          <w:sz w:val="24"/>
          <w:szCs w:val="24"/>
        </w:rPr>
        <w:t xml:space="preserve"> of the court</w:t>
      </w:r>
      <w:r w:rsidR="00BF2AC5" w:rsidRPr="00B748CC">
        <w:rPr>
          <w:rFonts w:ascii="Times New Roman" w:hAnsi="Times New Roman" w:cs="Times New Roman"/>
          <w:sz w:val="24"/>
          <w:szCs w:val="24"/>
        </w:rPr>
        <w:t xml:space="preserve"> is found in </w:t>
      </w:r>
      <w:r w:rsidR="00C36ACC" w:rsidRPr="00B748CC">
        <w:rPr>
          <w:rFonts w:ascii="Times New Roman" w:hAnsi="Times New Roman" w:cs="Times New Roman"/>
          <w:sz w:val="24"/>
          <w:szCs w:val="24"/>
        </w:rPr>
        <w:t>i</w:t>
      </w:r>
      <w:r w:rsidR="00BF2AC5" w:rsidRPr="00B748CC">
        <w:rPr>
          <w:rFonts w:ascii="Times New Roman" w:hAnsi="Times New Roman" w:cs="Times New Roman"/>
          <w:sz w:val="24"/>
          <w:szCs w:val="24"/>
        </w:rPr>
        <w:t>t</w:t>
      </w:r>
      <w:r w:rsidR="00C36ACC" w:rsidRPr="00B748CC">
        <w:rPr>
          <w:rFonts w:ascii="Times New Roman" w:hAnsi="Times New Roman" w:cs="Times New Roman"/>
          <w:sz w:val="24"/>
          <w:szCs w:val="24"/>
        </w:rPr>
        <w:t>s</w:t>
      </w:r>
      <w:r w:rsidR="00BF2AC5" w:rsidRPr="00B748CC">
        <w:rPr>
          <w:rFonts w:ascii="Times New Roman" w:hAnsi="Times New Roman" w:cs="Times New Roman"/>
          <w:sz w:val="24"/>
          <w:szCs w:val="24"/>
        </w:rPr>
        <w:t xml:space="preserve"> judgment. The judgment of the </w:t>
      </w:r>
      <w:r w:rsidR="00BF2AC5" w:rsidRPr="00B748CC">
        <w:rPr>
          <w:rFonts w:ascii="Times New Roman" w:hAnsi="Times New Roman" w:cs="Times New Roman"/>
          <w:sz w:val="24"/>
          <w:szCs w:val="24"/>
        </w:rPr>
        <w:lastRenderedPageBreak/>
        <w:t>court is therefore the determinant factor on whether or not the appeal should be noted with or without leave.</w:t>
      </w:r>
    </w:p>
    <w:p w:rsidR="00AC2EEC" w:rsidRPr="00B748CC" w:rsidRDefault="00AC2EEC" w:rsidP="00AC2EEC">
      <w:pPr>
        <w:spacing w:after="0" w:line="480" w:lineRule="auto"/>
        <w:jc w:val="both"/>
        <w:rPr>
          <w:rFonts w:ascii="Times New Roman" w:hAnsi="Times New Roman" w:cs="Times New Roman"/>
          <w:sz w:val="24"/>
          <w:szCs w:val="24"/>
        </w:rPr>
      </w:pPr>
    </w:p>
    <w:p w:rsidR="008D1855" w:rsidRPr="00B748CC" w:rsidRDefault="00AC2EEC" w:rsidP="00AC2EEC">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F07AE5" w:rsidRPr="00B748CC">
        <w:rPr>
          <w:rFonts w:ascii="Times New Roman" w:hAnsi="Times New Roman" w:cs="Times New Roman"/>
          <w:sz w:val="24"/>
          <w:szCs w:val="24"/>
        </w:rPr>
        <w:t>Section</w:t>
      </w:r>
      <w:r w:rsidR="008D1855" w:rsidRPr="00B748CC">
        <w:rPr>
          <w:rFonts w:ascii="Times New Roman" w:hAnsi="Times New Roman" w:cs="Times New Roman"/>
          <w:sz w:val="24"/>
          <w:szCs w:val="24"/>
        </w:rPr>
        <w:t xml:space="preserve"> 66 (1) (a) establishes that if the appeal is against a question of law alone the appeal can be noted </w:t>
      </w:r>
      <w:r w:rsidR="00A82ECC" w:rsidRPr="00B748CC">
        <w:rPr>
          <w:rFonts w:ascii="Times New Roman" w:hAnsi="Times New Roman" w:cs="Times New Roman"/>
          <w:sz w:val="24"/>
          <w:szCs w:val="24"/>
        </w:rPr>
        <w:t xml:space="preserve">on any ground of appeal </w:t>
      </w:r>
      <w:r w:rsidR="00F07AE5" w:rsidRPr="00B748CC">
        <w:rPr>
          <w:rFonts w:ascii="Times New Roman" w:hAnsi="Times New Roman" w:cs="Times New Roman"/>
          <w:sz w:val="24"/>
          <w:szCs w:val="24"/>
        </w:rPr>
        <w:t>without leave. However s</w:t>
      </w:r>
      <w:r w:rsidR="008D1855" w:rsidRPr="00B748CC">
        <w:rPr>
          <w:rFonts w:ascii="Times New Roman" w:hAnsi="Times New Roman" w:cs="Times New Roman"/>
          <w:sz w:val="24"/>
          <w:szCs w:val="24"/>
        </w:rPr>
        <w:t xml:space="preserve"> 66 (1) (b) </w:t>
      </w:r>
      <w:r w:rsidR="00490A2A" w:rsidRPr="00B748CC">
        <w:rPr>
          <w:rFonts w:ascii="Times New Roman" w:hAnsi="Times New Roman" w:cs="Times New Roman"/>
          <w:sz w:val="24"/>
          <w:szCs w:val="24"/>
        </w:rPr>
        <w:t xml:space="preserve">provides </w:t>
      </w:r>
      <w:r w:rsidR="008D1855" w:rsidRPr="00B748CC">
        <w:rPr>
          <w:rFonts w:ascii="Times New Roman" w:hAnsi="Times New Roman" w:cs="Times New Roman"/>
          <w:sz w:val="24"/>
          <w:szCs w:val="24"/>
        </w:rPr>
        <w:t>that an appeal to the Supreme Court on any ground of appeal which involves a question of fact alone or a question of mixed law and fact, can only be noted after obtaining leave to appeal from the President of the Special Court or if leave i</w:t>
      </w:r>
      <w:r w:rsidRPr="00B748CC">
        <w:rPr>
          <w:rFonts w:ascii="Times New Roman" w:hAnsi="Times New Roman" w:cs="Times New Roman"/>
          <w:sz w:val="24"/>
          <w:szCs w:val="24"/>
        </w:rPr>
        <w:t>s refused from a Judge of this C</w:t>
      </w:r>
      <w:r w:rsidR="008D1855" w:rsidRPr="00B748CC">
        <w:rPr>
          <w:rFonts w:ascii="Times New Roman" w:hAnsi="Times New Roman" w:cs="Times New Roman"/>
          <w:sz w:val="24"/>
          <w:szCs w:val="24"/>
        </w:rPr>
        <w:t>ourt.</w:t>
      </w:r>
    </w:p>
    <w:p w:rsidR="00CB31D8" w:rsidRPr="00B748CC" w:rsidRDefault="00CB31D8" w:rsidP="00AC2EEC">
      <w:pPr>
        <w:tabs>
          <w:tab w:val="left" w:pos="1134"/>
        </w:tabs>
        <w:spacing w:after="0" w:line="480" w:lineRule="auto"/>
        <w:jc w:val="both"/>
        <w:rPr>
          <w:rFonts w:ascii="Times New Roman" w:hAnsi="Times New Roman" w:cs="Times New Roman"/>
          <w:sz w:val="24"/>
          <w:szCs w:val="24"/>
        </w:rPr>
      </w:pPr>
    </w:p>
    <w:p w:rsidR="000E0295" w:rsidRPr="00B748CC" w:rsidRDefault="000E0295" w:rsidP="00B748CC">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 xml:space="preserve">        </w:t>
      </w:r>
      <w:r w:rsidR="00B748CC">
        <w:rPr>
          <w:rFonts w:ascii="Times New Roman" w:hAnsi="Times New Roman" w:cs="Times New Roman"/>
          <w:sz w:val="24"/>
          <w:szCs w:val="24"/>
        </w:rPr>
        <w:tab/>
      </w:r>
      <w:r w:rsidRPr="00B748CC">
        <w:rPr>
          <w:rFonts w:ascii="Times New Roman" w:hAnsi="Times New Roman" w:cs="Times New Roman"/>
          <w:sz w:val="24"/>
          <w:szCs w:val="24"/>
        </w:rPr>
        <w:t>The question of law referred to in s 66 (1) (a) refers to a determination by the court on the basis of what the law provides,</w:t>
      </w:r>
      <w:r w:rsidR="00BE3BA7" w:rsidRPr="00B748CC">
        <w:rPr>
          <w:rFonts w:ascii="Times New Roman" w:hAnsi="Times New Roman" w:cs="Times New Roman"/>
          <w:sz w:val="24"/>
          <w:szCs w:val="24"/>
        </w:rPr>
        <w:t xml:space="preserve"> or a finding of fact by the court which is grossly unreasonable,</w:t>
      </w:r>
      <w:r w:rsidRPr="00B748CC">
        <w:rPr>
          <w:rFonts w:ascii="Times New Roman" w:hAnsi="Times New Roman" w:cs="Times New Roman"/>
          <w:sz w:val="24"/>
          <w:szCs w:val="24"/>
        </w:rPr>
        <w:t xml:space="preserve"> while the question </w:t>
      </w:r>
      <w:r w:rsidR="00A217FF" w:rsidRPr="00B748CC">
        <w:rPr>
          <w:rFonts w:ascii="Times New Roman" w:hAnsi="Times New Roman" w:cs="Times New Roman"/>
          <w:sz w:val="24"/>
          <w:szCs w:val="24"/>
        </w:rPr>
        <w:t xml:space="preserve">of fact referred to in s 66 (1) </w:t>
      </w:r>
      <w:r w:rsidRPr="00B748CC">
        <w:rPr>
          <w:rFonts w:ascii="Times New Roman" w:hAnsi="Times New Roman" w:cs="Times New Roman"/>
          <w:sz w:val="24"/>
          <w:szCs w:val="24"/>
        </w:rPr>
        <w:t>(b) refers to the court’s findings based on the facts placed before it.</w:t>
      </w:r>
    </w:p>
    <w:p w:rsidR="00CD5AE6" w:rsidRPr="00B748CC" w:rsidRDefault="00CD5AE6" w:rsidP="008D1855">
      <w:pPr>
        <w:spacing w:after="0" w:line="480" w:lineRule="auto"/>
        <w:jc w:val="both"/>
        <w:rPr>
          <w:rFonts w:ascii="Times New Roman" w:hAnsi="Times New Roman" w:cs="Times New Roman"/>
          <w:sz w:val="24"/>
          <w:szCs w:val="24"/>
        </w:rPr>
      </w:pPr>
    </w:p>
    <w:p w:rsidR="008D1855" w:rsidRPr="00B748CC" w:rsidRDefault="00057556" w:rsidP="008D1855">
      <w:pPr>
        <w:spacing w:after="0" w:line="480" w:lineRule="auto"/>
        <w:jc w:val="both"/>
        <w:rPr>
          <w:rFonts w:ascii="Times New Roman" w:hAnsi="Times New Roman" w:cs="Times New Roman"/>
          <w:b/>
          <w:sz w:val="24"/>
          <w:szCs w:val="24"/>
        </w:rPr>
      </w:pPr>
      <w:r w:rsidRPr="00B748CC">
        <w:rPr>
          <w:rFonts w:ascii="Times New Roman" w:hAnsi="Times New Roman" w:cs="Times New Roman"/>
          <w:b/>
          <w:sz w:val="24"/>
          <w:szCs w:val="24"/>
        </w:rPr>
        <w:t>DETERMI</w:t>
      </w:r>
      <w:r w:rsidR="000B50C1">
        <w:rPr>
          <w:rFonts w:ascii="Times New Roman" w:hAnsi="Times New Roman" w:cs="Times New Roman"/>
          <w:b/>
          <w:sz w:val="24"/>
          <w:szCs w:val="24"/>
        </w:rPr>
        <w:t>NATION OF THE PRELIMINARY ISSUE</w:t>
      </w:r>
    </w:p>
    <w:p w:rsidR="00437177" w:rsidRPr="00B748CC" w:rsidRDefault="00057556" w:rsidP="00057556">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437177" w:rsidRPr="00B748CC">
        <w:rPr>
          <w:rFonts w:ascii="Times New Roman" w:hAnsi="Times New Roman" w:cs="Times New Roman"/>
          <w:sz w:val="24"/>
          <w:szCs w:val="24"/>
        </w:rPr>
        <w:t xml:space="preserve">The appellant appealed against the court </w:t>
      </w:r>
      <w:r w:rsidR="00437177" w:rsidRPr="00B748CC">
        <w:rPr>
          <w:rFonts w:ascii="Times New Roman" w:hAnsi="Times New Roman" w:cs="Times New Roman"/>
          <w:i/>
          <w:sz w:val="24"/>
          <w:szCs w:val="24"/>
        </w:rPr>
        <w:t>a quo</w:t>
      </w:r>
      <w:r w:rsidR="00437177" w:rsidRPr="00B748CC">
        <w:rPr>
          <w:rFonts w:ascii="Times New Roman" w:hAnsi="Times New Roman" w:cs="Times New Roman"/>
          <w:sz w:val="24"/>
          <w:szCs w:val="24"/>
        </w:rPr>
        <w:t>’s decision on the following seven grounds:</w:t>
      </w:r>
    </w:p>
    <w:p w:rsidR="00057556" w:rsidRPr="00B748CC" w:rsidRDefault="00057556" w:rsidP="00057556">
      <w:pPr>
        <w:tabs>
          <w:tab w:val="left" w:pos="1134"/>
        </w:tabs>
        <w:spacing w:after="0" w:line="480" w:lineRule="auto"/>
        <w:jc w:val="both"/>
        <w:rPr>
          <w:rFonts w:ascii="Times New Roman" w:hAnsi="Times New Roman" w:cs="Times New Roman"/>
          <w:sz w:val="24"/>
          <w:szCs w:val="24"/>
        </w:rPr>
      </w:pPr>
    </w:p>
    <w:p w:rsidR="00726F6B" w:rsidRPr="00B748CC" w:rsidRDefault="00726F6B" w:rsidP="00726F6B">
      <w:pPr>
        <w:spacing w:after="0" w:line="480" w:lineRule="auto"/>
        <w:jc w:val="both"/>
        <w:rPr>
          <w:rFonts w:ascii="Times New Roman" w:hAnsi="Times New Roman" w:cs="Times New Roman"/>
          <w:b/>
          <w:sz w:val="24"/>
          <w:szCs w:val="24"/>
        </w:rPr>
      </w:pPr>
      <w:r w:rsidRPr="00B748CC">
        <w:rPr>
          <w:rFonts w:ascii="Times New Roman" w:hAnsi="Times New Roman" w:cs="Times New Roman"/>
          <w:b/>
          <w:sz w:val="24"/>
          <w:szCs w:val="24"/>
        </w:rPr>
        <w:t>GROUNDS OF APPEAL</w:t>
      </w:r>
    </w:p>
    <w:p w:rsidR="00726F6B" w:rsidRPr="00B748CC" w:rsidRDefault="00726F6B" w:rsidP="00726F6B">
      <w:pPr>
        <w:numPr>
          <w:ilvl w:val="0"/>
          <w:numId w:val="7"/>
        </w:numPr>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 xml:space="preserve">The court </w:t>
      </w:r>
      <w:r w:rsidRPr="00B748CC">
        <w:rPr>
          <w:rFonts w:ascii="Times New Roman" w:hAnsi="Times New Roman" w:cs="Times New Roman"/>
          <w:i/>
          <w:sz w:val="24"/>
          <w:szCs w:val="24"/>
        </w:rPr>
        <w:t>a quo</w:t>
      </w:r>
      <w:r w:rsidRPr="00B748CC">
        <w:rPr>
          <w:rFonts w:ascii="Times New Roman" w:hAnsi="Times New Roman" w:cs="Times New Roman"/>
          <w:sz w:val="24"/>
          <w:szCs w:val="24"/>
        </w:rPr>
        <w:t xml:space="preserve"> erred at law in finding that the amounts taxed by the respondent for the tax years 2011 and 2012 as sundry income were amounts falling into gross income and thus subject to tax in terms of the Income Tax Act [</w:t>
      </w:r>
      <w:r w:rsidR="003F6536" w:rsidRPr="00B748CC">
        <w:rPr>
          <w:rFonts w:ascii="Times New Roman" w:hAnsi="Times New Roman" w:cs="Times New Roman"/>
          <w:i/>
          <w:sz w:val="24"/>
          <w:szCs w:val="24"/>
        </w:rPr>
        <w:t>Chapter </w:t>
      </w:r>
      <w:r w:rsidRPr="00B748CC">
        <w:rPr>
          <w:rFonts w:ascii="Times New Roman" w:hAnsi="Times New Roman" w:cs="Times New Roman"/>
          <w:i/>
          <w:sz w:val="24"/>
          <w:szCs w:val="24"/>
        </w:rPr>
        <w:t>23:06</w:t>
      </w:r>
      <w:r w:rsidRPr="00B748CC">
        <w:rPr>
          <w:rFonts w:ascii="Times New Roman" w:hAnsi="Times New Roman" w:cs="Times New Roman"/>
          <w:sz w:val="24"/>
          <w:szCs w:val="24"/>
        </w:rPr>
        <w:t>].</w:t>
      </w:r>
    </w:p>
    <w:p w:rsidR="00726F6B" w:rsidRPr="00B748CC" w:rsidRDefault="00726F6B" w:rsidP="00726F6B">
      <w:pPr>
        <w:numPr>
          <w:ilvl w:val="0"/>
          <w:numId w:val="7"/>
        </w:numPr>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 xml:space="preserve">The court </w:t>
      </w:r>
      <w:r w:rsidRPr="00B748CC">
        <w:rPr>
          <w:rFonts w:ascii="Times New Roman" w:hAnsi="Times New Roman" w:cs="Times New Roman"/>
          <w:i/>
          <w:sz w:val="24"/>
          <w:szCs w:val="24"/>
        </w:rPr>
        <w:t>a quo</w:t>
      </w:r>
      <w:r w:rsidRPr="00B748CC">
        <w:rPr>
          <w:rFonts w:ascii="Times New Roman" w:hAnsi="Times New Roman" w:cs="Times New Roman"/>
          <w:sz w:val="24"/>
          <w:szCs w:val="24"/>
        </w:rPr>
        <w:t xml:space="preserve"> erred at law in finding that the amounts taxed by the respondent as income received from the National Indigenisation Fund for the tax years 2012 and 2013, </w:t>
      </w:r>
      <w:r w:rsidRPr="00B748CC">
        <w:rPr>
          <w:rFonts w:ascii="Times New Roman" w:hAnsi="Times New Roman" w:cs="Times New Roman"/>
          <w:sz w:val="24"/>
          <w:szCs w:val="24"/>
        </w:rPr>
        <w:lastRenderedPageBreak/>
        <w:t xml:space="preserve">were amounts either received or accrued to the appellant and thus subject to tax in terms of the Income Tax Act. </w:t>
      </w:r>
    </w:p>
    <w:p w:rsidR="00726F6B" w:rsidRPr="00B748CC" w:rsidRDefault="00726F6B" w:rsidP="00726F6B">
      <w:pPr>
        <w:numPr>
          <w:ilvl w:val="0"/>
          <w:numId w:val="7"/>
        </w:numPr>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 xml:space="preserve">The court </w:t>
      </w:r>
      <w:r w:rsidRPr="00B748CC">
        <w:rPr>
          <w:rFonts w:ascii="Times New Roman" w:hAnsi="Times New Roman" w:cs="Times New Roman"/>
          <w:i/>
          <w:sz w:val="24"/>
          <w:szCs w:val="24"/>
        </w:rPr>
        <w:t>a quo</w:t>
      </w:r>
      <w:r w:rsidRPr="00B748CC">
        <w:rPr>
          <w:rFonts w:ascii="Times New Roman" w:hAnsi="Times New Roman" w:cs="Times New Roman"/>
          <w:sz w:val="24"/>
          <w:szCs w:val="24"/>
        </w:rPr>
        <w:t xml:space="preserve"> erred at law in finding that staff bonuses paid to the appellant’s employees were subject to PAYE in 2015 and not 2016 in terms of the Income Tax Act [</w:t>
      </w:r>
      <w:r w:rsidR="003F6536" w:rsidRPr="00B748CC">
        <w:rPr>
          <w:rFonts w:ascii="Times New Roman" w:hAnsi="Times New Roman" w:cs="Times New Roman"/>
          <w:i/>
          <w:sz w:val="24"/>
          <w:szCs w:val="24"/>
        </w:rPr>
        <w:t>Chapter </w:t>
      </w:r>
      <w:r w:rsidRPr="00B748CC">
        <w:rPr>
          <w:rFonts w:ascii="Times New Roman" w:hAnsi="Times New Roman" w:cs="Times New Roman"/>
          <w:i/>
          <w:sz w:val="24"/>
          <w:szCs w:val="24"/>
        </w:rPr>
        <w:t>23:06</w:t>
      </w:r>
      <w:r w:rsidRPr="00B748CC">
        <w:rPr>
          <w:rFonts w:ascii="Times New Roman" w:hAnsi="Times New Roman" w:cs="Times New Roman"/>
          <w:sz w:val="24"/>
          <w:szCs w:val="24"/>
        </w:rPr>
        <w:t>].</w:t>
      </w:r>
    </w:p>
    <w:p w:rsidR="00726F6B" w:rsidRPr="00B748CC" w:rsidRDefault="00726F6B" w:rsidP="00726F6B">
      <w:pPr>
        <w:numPr>
          <w:ilvl w:val="0"/>
          <w:numId w:val="7"/>
        </w:numPr>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 xml:space="preserve">The court </w:t>
      </w:r>
      <w:r w:rsidRPr="00B748CC">
        <w:rPr>
          <w:rFonts w:ascii="Times New Roman" w:hAnsi="Times New Roman" w:cs="Times New Roman"/>
          <w:i/>
          <w:sz w:val="24"/>
          <w:szCs w:val="24"/>
        </w:rPr>
        <w:t>a quo</w:t>
      </w:r>
      <w:r w:rsidRPr="00B748CC">
        <w:rPr>
          <w:rFonts w:ascii="Times New Roman" w:hAnsi="Times New Roman" w:cs="Times New Roman"/>
          <w:sz w:val="24"/>
          <w:szCs w:val="24"/>
        </w:rPr>
        <w:t xml:space="preserve"> erred at law in finding that</w:t>
      </w:r>
      <w:r w:rsidR="00057556" w:rsidRPr="00B748CC">
        <w:rPr>
          <w:rFonts w:ascii="Times New Roman" w:hAnsi="Times New Roman" w:cs="Times New Roman"/>
          <w:sz w:val="24"/>
          <w:szCs w:val="24"/>
        </w:rPr>
        <w:t xml:space="preserve"> the amount of $82 </w:t>
      </w:r>
      <w:r w:rsidRPr="00B748CC">
        <w:rPr>
          <w:rFonts w:ascii="Times New Roman" w:hAnsi="Times New Roman" w:cs="Times New Roman"/>
          <w:sz w:val="24"/>
          <w:szCs w:val="24"/>
        </w:rPr>
        <w:t>348.34 appearing in the appellant’s trial balance as ‘leave pay expenses’ was properly subject to tax in terms of the Income Tax Act [</w:t>
      </w:r>
      <w:r w:rsidRPr="00B748CC">
        <w:rPr>
          <w:rFonts w:ascii="Times New Roman" w:hAnsi="Times New Roman" w:cs="Times New Roman"/>
          <w:i/>
          <w:sz w:val="24"/>
          <w:szCs w:val="24"/>
        </w:rPr>
        <w:t>Chapter 23:06</w:t>
      </w:r>
      <w:r w:rsidRPr="00B748CC">
        <w:rPr>
          <w:rFonts w:ascii="Times New Roman" w:hAnsi="Times New Roman" w:cs="Times New Roman"/>
          <w:sz w:val="24"/>
          <w:szCs w:val="24"/>
        </w:rPr>
        <w:t>].</w:t>
      </w:r>
    </w:p>
    <w:p w:rsidR="00726F6B" w:rsidRPr="00B748CC" w:rsidRDefault="00726F6B" w:rsidP="00726F6B">
      <w:pPr>
        <w:numPr>
          <w:ilvl w:val="0"/>
          <w:numId w:val="7"/>
        </w:numPr>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 xml:space="preserve">The court </w:t>
      </w:r>
      <w:r w:rsidRPr="00B748CC">
        <w:rPr>
          <w:rFonts w:ascii="Times New Roman" w:hAnsi="Times New Roman" w:cs="Times New Roman"/>
          <w:i/>
          <w:sz w:val="24"/>
          <w:szCs w:val="24"/>
        </w:rPr>
        <w:t>a quo</w:t>
      </w:r>
      <w:r w:rsidRPr="00B748CC">
        <w:rPr>
          <w:rFonts w:ascii="Times New Roman" w:hAnsi="Times New Roman" w:cs="Times New Roman"/>
          <w:sz w:val="24"/>
          <w:szCs w:val="24"/>
        </w:rPr>
        <w:t xml:space="preserve"> erred at law in finding that the amount of $604 050.00 was of an income nature and thus properly subject to PAYE for the 2015 tax year in terms of the Income Tax Act [</w:t>
      </w:r>
      <w:r w:rsidRPr="00B748CC">
        <w:rPr>
          <w:rFonts w:ascii="Times New Roman" w:hAnsi="Times New Roman" w:cs="Times New Roman"/>
          <w:i/>
          <w:sz w:val="24"/>
          <w:szCs w:val="24"/>
        </w:rPr>
        <w:t>Chapter 23:06</w:t>
      </w:r>
      <w:r w:rsidRPr="00B748CC">
        <w:rPr>
          <w:rFonts w:ascii="Times New Roman" w:hAnsi="Times New Roman" w:cs="Times New Roman"/>
          <w:sz w:val="24"/>
          <w:szCs w:val="24"/>
        </w:rPr>
        <w:t>].</w:t>
      </w:r>
    </w:p>
    <w:p w:rsidR="00726F6B" w:rsidRPr="00B748CC" w:rsidRDefault="00726F6B" w:rsidP="00726F6B">
      <w:pPr>
        <w:numPr>
          <w:ilvl w:val="0"/>
          <w:numId w:val="7"/>
        </w:numPr>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 xml:space="preserve">The court </w:t>
      </w:r>
      <w:r w:rsidRPr="00B748CC">
        <w:rPr>
          <w:rFonts w:ascii="Times New Roman" w:hAnsi="Times New Roman" w:cs="Times New Roman"/>
          <w:i/>
          <w:sz w:val="24"/>
          <w:szCs w:val="24"/>
        </w:rPr>
        <w:t>a quo</w:t>
      </w:r>
      <w:r w:rsidRPr="00B748CC">
        <w:rPr>
          <w:rFonts w:ascii="Times New Roman" w:hAnsi="Times New Roman" w:cs="Times New Roman"/>
          <w:sz w:val="24"/>
          <w:szCs w:val="24"/>
        </w:rPr>
        <w:t xml:space="preserve"> erred at law in finding t</w:t>
      </w:r>
      <w:r w:rsidR="00F85187" w:rsidRPr="00B748CC">
        <w:rPr>
          <w:rFonts w:ascii="Times New Roman" w:hAnsi="Times New Roman" w:cs="Times New Roman"/>
          <w:sz w:val="24"/>
          <w:szCs w:val="24"/>
        </w:rPr>
        <w:t xml:space="preserve">hat the amounts totalling $741 </w:t>
      </w:r>
      <w:r w:rsidRPr="00B748CC">
        <w:rPr>
          <w:rFonts w:ascii="Times New Roman" w:hAnsi="Times New Roman" w:cs="Times New Roman"/>
          <w:sz w:val="24"/>
          <w:szCs w:val="24"/>
        </w:rPr>
        <w:t>392.00, paid to employees were remuneration in the hands of the appellant’s employees and thus subject to income tax in terms of s 46 of the Income Tax Act [</w:t>
      </w:r>
      <w:r w:rsidRPr="00B748CC">
        <w:rPr>
          <w:rFonts w:ascii="Times New Roman" w:hAnsi="Times New Roman" w:cs="Times New Roman"/>
          <w:i/>
          <w:sz w:val="24"/>
          <w:szCs w:val="24"/>
        </w:rPr>
        <w:t>Chapter 23:06</w:t>
      </w:r>
      <w:r w:rsidRPr="00B748CC">
        <w:rPr>
          <w:rFonts w:ascii="Times New Roman" w:hAnsi="Times New Roman" w:cs="Times New Roman"/>
          <w:sz w:val="24"/>
          <w:szCs w:val="24"/>
        </w:rPr>
        <w:t>].</w:t>
      </w:r>
    </w:p>
    <w:p w:rsidR="00EC18B2" w:rsidRPr="00B748CC" w:rsidRDefault="00726F6B" w:rsidP="00CD5AE6">
      <w:pPr>
        <w:numPr>
          <w:ilvl w:val="0"/>
          <w:numId w:val="7"/>
        </w:numPr>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 xml:space="preserve">The court </w:t>
      </w:r>
      <w:r w:rsidRPr="00B748CC">
        <w:rPr>
          <w:rFonts w:ascii="Times New Roman" w:hAnsi="Times New Roman" w:cs="Times New Roman"/>
          <w:i/>
          <w:sz w:val="24"/>
          <w:szCs w:val="24"/>
        </w:rPr>
        <w:t>a quo</w:t>
      </w:r>
      <w:r w:rsidRPr="00B748CC">
        <w:rPr>
          <w:rFonts w:ascii="Times New Roman" w:hAnsi="Times New Roman" w:cs="Times New Roman"/>
          <w:sz w:val="24"/>
          <w:szCs w:val="24"/>
        </w:rPr>
        <w:t xml:space="preserve"> erred at law in finding that the penalty imposed by the respondent was appropriate.</w:t>
      </w:r>
      <w:r w:rsidR="001436F9" w:rsidRPr="00B748CC">
        <w:rPr>
          <w:rFonts w:ascii="Times New Roman" w:hAnsi="Times New Roman" w:cs="Times New Roman"/>
          <w:sz w:val="24"/>
          <w:szCs w:val="24"/>
        </w:rPr>
        <w:t>”</w:t>
      </w:r>
    </w:p>
    <w:p w:rsidR="00CD5AE6" w:rsidRPr="00B748CC" w:rsidRDefault="00CD5AE6" w:rsidP="00CD5AE6">
      <w:pPr>
        <w:tabs>
          <w:tab w:val="left" w:pos="1134"/>
        </w:tabs>
        <w:spacing w:after="0" w:line="480" w:lineRule="auto"/>
        <w:jc w:val="both"/>
        <w:rPr>
          <w:rFonts w:ascii="Times New Roman" w:hAnsi="Times New Roman" w:cs="Times New Roman"/>
          <w:sz w:val="24"/>
          <w:szCs w:val="24"/>
        </w:rPr>
      </w:pPr>
    </w:p>
    <w:p w:rsidR="00C5379C" w:rsidRPr="00B748CC" w:rsidRDefault="00CD5AE6" w:rsidP="00B748CC">
      <w:pPr>
        <w:tabs>
          <w:tab w:val="left" w:pos="1134"/>
        </w:tabs>
        <w:spacing w:after="0" w:line="480" w:lineRule="auto"/>
        <w:ind w:firstLine="720"/>
        <w:jc w:val="both"/>
        <w:rPr>
          <w:rFonts w:ascii="Times New Roman" w:hAnsi="Times New Roman" w:cs="Times New Roman"/>
          <w:sz w:val="24"/>
          <w:szCs w:val="24"/>
        </w:rPr>
      </w:pPr>
      <w:r w:rsidRPr="00B748CC">
        <w:rPr>
          <w:rFonts w:ascii="Times New Roman" w:hAnsi="Times New Roman" w:cs="Times New Roman"/>
          <w:sz w:val="24"/>
          <w:szCs w:val="24"/>
        </w:rPr>
        <w:t xml:space="preserve">   </w:t>
      </w:r>
      <w:r w:rsidR="00B748CC">
        <w:rPr>
          <w:rFonts w:ascii="Times New Roman" w:hAnsi="Times New Roman" w:cs="Times New Roman"/>
          <w:sz w:val="24"/>
          <w:szCs w:val="24"/>
        </w:rPr>
        <w:tab/>
      </w:r>
      <w:r w:rsidR="00C5379C" w:rsidRPr="00B748CC">
        <w:rPr>
          <w:rFonts w:ascii="Times New Roman" w:hAnsi="Times New Roman" w:cs="Times New Roman"/>
          <w:sz w:val="24"/>
          <w:szCs w:val="24"/>
        </w:rPr>
        <w:t>The determination of whether or not the appeal is a nullity should involve the examination of the grounds of appeal which identif</w:t>
      </w:r>
      <w:r w:rsidR="007B7992" w:rsidRPr="00B748CC">
        <w:rPr>
          <w:rFonts w:ascii="Times New Roman" w:hAnsi="Times New Roman" w:cs="Times New Roman"/>
          <w:sz w:val="24"/>
          <w:szCs w:val="24"/>
        </w:rPr>
        <w:t>y</w:t>
      </w:r>
      <w:r w:rsidR="00C5379C" w:rsidRPr="00B748CC">
        <w:rPr>
          <w:rFonts w:ascii="Times New Roman" w:hAnsi="Times New Roman" w:cs="Times New Roman"/>
          <w:sz w:val="24"/>
          <w:szCs w:val="24"/>
        </w:rPr>
        <w:t xml:space="preserve"> the determination the appellant appeals against. After identifying the determination appealed against the consideration of whether or not leave to appeal should have been sought depends on the basis on which the determination of the Special Court was made. Each ground of appeal should be assessed because s 66 (1) (a) provides that the appeal can be on any ground which involves a question of law, and s</w:t>
      </w:r>
      <w:r w:rsidR="00B748CC">
        <w:rPr>
          <w:rFonts w:ascii="Times New Roman" w:hAnsi="Times New Roman" w:cs="Times New Roman"/>
          <w:sz w:val="24"/>
          <w:szCs w:val="24"/>
        </w:rPr>
        <w:t> </w:t>
      </w:r>
      <w:r w:rsidR="00C5379C" w:rsidRPr="00B748CC">
        <w:rPr>
          <w:rFonts w:ascii="Times New Roman" w:hAnsi="Times New Roman" w:cs="Times New Roman"/>
          <w:sz w:val="24"/>
          <w:szCs w:val="24"/>
        </w:rPr>
        <w:t>66</w:t>
      </w:r>
      <w:r w:rsidR="00B748CC">
        <w:rPr>
          <w:rFonts w:ascii="Times New Roman" w:hAnsi="Times New Roman" w:cs="Times New Roman"/>
          <w:sz w:val="24"/>
          <w:szCs w:val="24"/>
        </w:rPr>
        <w:t> </w:t>
      </w:r>
      <w:r w:rsidR="00C5379C" w:rsidRPr="00B748CC">
        <w:rPr>
          <w:rFonts w:ascii="Times New Roman" w:hAnsi="Times New Roman" w:cs="Times New Roman"/>
          <w:sz w:val="24"/>
          <w:szCs w:val="24"/>
        </w:rPr>
        <w:t>(1)</w:t>
      </w:r>
      <w:r w:rsidR="00B748CC">
        <w:rPr>
          <w:rFonts w:ascii="Times New Roman" w:hAnsi="Times New Roman" w:cs="Times New Roman"/>
          <w:sz w:val="24"/>
          <w:szCs w:val="24"/>
        </w:rPr>
        <w:t> </w:t>
      </w:r>
      <w:r w:rsidR="00C5379C" w:rsidRPr="00B748CC">
        <w:rPr>
          <w:rFonts w:ascii="Times New Roman" w:hAnsi="Times New Roman" w:cs="Times New Roman"/>
          <w:sz w:val="24"/>
          <w:szCs w:val="24"/>
        </w:rPr>
        <w:t xml:space="preserve">(b) provides that an appeal can be noted with leave on any ground. This means where there are </w:t>
      </w:r>
      <w:r w:rsidR="00C5379C" w:rsidRPr="00B748CC">
        <w:rPr>
          <w:rFonts w:ascii="Times New Roman" w:hAnsi="Times New Roman" w:cs="Times New Roman"/>
          <w:sz w:val="24"/>
          <w:szCs w:val="24"/>
        </w:rPr>
        <w:lastRenderedPageBreak/>
        <w:t>several grounds of appeal the validity of each ground of appeal must be assessed so that the appeal can proceed on the valid grounds while the invalid grounds can be struck out.</w:t>
      </w:r>
    </w:p>
    <w:p w:rsidR="00C5379C" w:rsidRPr="00B748CC" w:rsidRDefault="00C5379C" w:rsidP="00C5379C">
      <w:pPr>
        <w:spacing w:after="0" w:line="480" w:lineRule="auto"/>
        <w:jc w:val="both"/>
        <w:rPr>
          <w:rFonts w:ascii="Times New Roman" w:hAnsi="Times New Roman" w:cs="Times New Roman"/>
          <w:sz w:val="24"/>
          <w:szCs w:val="24"/>
        </w:rPr>
      </w:pPr>
    </w:p>
    <w:p w:rsidR="00C5379C" w:rsidRPr="00B748CC" w:rsidRDefault="00843120" w:rsidP="00843120">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5379C" w:rsidRPr="00B748CC">
        <w:rPr>
          <w:rFonts w:ascii="Times New Roman" w:hAnsi="Times New Roman" w:cs="Times New Roman"/>
          <w:sz w:val="24"/>
          <w:szCs w:val="24"/>
        </w:rPr>
        <w:t>A careful reading of the judgment to be appealed against with a correct understanding of what a question of law is and what a question of fact is, can guide a party intending to appeal on whether the determination he or she intends to appeal against was based on, law, a mixture of law and facts or on facts alone.</w:t>
      </w:r>
    </w:p>
    <w:p w:rsidR="00CD5AE6" w:rsidRPr="00B748CC" w:rsidRDefault="00CD5AE6" w:rsidP="00C5379C">
      <w:pPr>
        <w:tabs>
          <w:tab w:val="left" w:pos="1134"/>
        </w:tabs>
        <w:spacing w:after="0" w:line="480" w:lineRule="auto"/>
        <w:jc w:val="both"/>
        <w:rPr>
          <w:rFonts w:ascii="Times New Roman" w:hAnsi="Times New Roman" w:cs="Times New Roman"/>
          <w:sz w:val="24"/>
          <w:szCs w:val="24"/>
        </w:rPr>
      </w:pPr>
    </w:p>
    <w:p w:rsidR="003F6536" w:rsidRPr="00B748CC" w:rsidRDefault="00CD5AE6" w:rsidP="00CD5AE6">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1436F9" w:rsidRPr="00B748CC">
        <w:rPr>
          <w:rFonts w:ascii="Times New Roman" w:hAnsi="Times New Roman" w:cs="Times New Roman"/>
          <w:sz w:val="24"/>
          <w:szCs w:val="24"/>
        </w:rPr>
        <w:t xml:space="preserve">In the case of </w:t>
      </w:r>
      <w:r w:rsidR="00586F1F" w:rsidRPr="00B748CC">
        <w:rPr>
          <w:rFonts w:ascii="Times New Roman" w:hAnsi="Times New Roman" w:cs="Times New Roman"/>
          <w:i/>
          <w:sz w:val="24"/>
          <w:szCs w:val="24"/>
        </w:rPr>
        <w:t xml:space="preserve">Reserve Bank of Zimbabwe v T Lloyd </w:t>
      </w:r>
      <w:proofErr w:type="spellStart"/>
      <w:r w:rsidR="00586F1F" w:rsidRPr="00B748CC">
        <w:rPr>
          <w:rFonts w:ascii="Times New Roman" w:hAnsi="Times New Roman" w:cs="Times New Roman"/>
          <w:i/>
          <w:sz w:val="24"/>
          <w:szCs w:val="24"/>
        </w:rPr>
        <w:t>Mufudza</w:t>
      </w:r>
      <w:proofErr w:type="spellEnd"/>
      <w:r w:rsidR="00586F1F" w:rsidRPr="00B748CC">
        <w:rPr>
          <w:rFonts w:ascii="Times New Roman" w:hAnsi="Times New Roman" w:cs="Times New Roman"/>
          <w:i/>
          <w:sz w:val="24"/>
          <w:szCs w:val="24"/>
        </w:rPr>
        <w:t xml:space="preserve"> &amp; 3 Others </w:t>
      </w:r>
      <w:r w:rsidR="00B748CC">
        <w:rPr>
          <w:rFonts w:ascii="Times New Roman" w:hAnsi="Times New Roman" w:cs="Times New Roman"/>
          <w:sz w:val="24"/>
          <w:szCs w:val="24"/>
        </w:rPr>
        <w:t>SC </w:t>
      </w:r>
      <w:r w:rsidR="00CB7C71" w:rsidRPr="00B748CC">
        <w:rPr>
          <w:rFonts w:ascii="Times New Roman" w:hAnsi="Times New Roman" w:cs="Times New Roman"/>
          <w:sz w:val="24"/>
          <w:szCs w:val="24"/>
        </w:rPr>
        <w:t>29/18 this C</w:t>
      </w:r>
      <w:r w:rsidR="00586F1F" w:rsidRPr="00B748CC">
        <w:rPr>
          <w:rFonts w:ascii="Times New Roman" w:hAnsi="Times New Roman" w:cs="Times New Roman"/>
          <w:sz w:val="24"/>
          <w:szCs w:val="24"/>
        </w:rPr>
        <w:t>ourt</w:t>
      </w:r>
      <w:r w:rsidR="001436F9" w:rsidRPr="00B748CC">
        <w:rPr>
          <w:rFonts w:ascii="Times New Roman" w:hAnsi="Times New Roman" w:cs="Times New Roman"/>
          <w:sz w:val="24"/>
          <w:szCs w:val="24"/>
        </w:rPr>
        <w:t xml:space="preserve"> commenting on the effect of prefixing grounds of appeal with the words “</w:t>
      </w:r>
      <w:r w:rsidR="00586F1F" w:rsidRPr="00B748CC">
        <w:rPr>
          <w:rFonts w:ascii="Times New Roman" w:hAnsi="Times New Roman" w:cs="Times New Roman"/>
          <w:sz w:val="24"/>
          <w:szCs w:val="24"/>
        </w:rPr>
        <w:t>t</w:t>
      </w:r>
      <w:r w:rsidR="001436F9" w:rsidRPr="00B748CC">
        <w:rPr>
          <w:rFonts w:ascii="Times New Roman" w:hAnsi="Times New Roman" w:cs="Times New Roman"/>
          <w:sz w:val="24"/>
          <w:szCs w:val="24"/>
        </w:rPr>
        <w:t xml:space="preserve">he court </w:t>
      </w:r>
      <w:r w:rsidR="001436F9" w:rsidRPr="00B748CC">
        <w:rPr>
          <w:rFonts w:ascii="Times New Roman" w:hAnsi="Times New Roman" w:cs="Times New Roman"/>
          <w:i/>
          <w:sz w:val="24"/>
          <w:szCs w:val="24"/>
        </w:rPr>
        <w:t>a quo</w:t>
      </w:r>
      <w:r w:rsidR="001436F9" w:rsidRPr="00B748CC">
        <w:rPr>
          <w:rFonts w:ascii="Times New Roman" w:hAnsi="Times New Roman" w:cs="Times New Roman"/>
          <w:sz w:val="24"/>
          <w:szCs w:val="24"/>
        </w:rPr>
        <w:t xml:space="preserve"> erred at law</w:t>
      </w:r>
      <w:r w:rsidR="001B1DBC" w:rsidRPr="00B748CC">
        <w:rPr>
          <w:rFonts w:ascii="Times New Roman" w:hAnsi="Times New Roman" w:cs="Times New Roman"/>
          <w:sz w:val="24"/>
          <w:szCs w:val="24"/>
        </w:rPr>
        <w:t xml:space="preserve"> </w:t>
      </w:r>
      <w:r w:rsidR="001436F9" w:rsidRPr="00B748CC">
        <w:rPr>
          <w:rFonts w:ascii="Times New Roman" w:hAnsi="Times New Roman" w:cs="Times New Roman"/>
          <w:sz w:val="24"/>
          <w:szCs w:val="24"/>
        </w:rPr>
        <w:t>in finding that”</w:t>
      </w:r>
      <w:r w:rsidR="00586F1F" w:rsidRPr="00B748CC">
        <w:rPr>
          <w:rFonts w:ascii="Times New Roman" w:hAnsi="Times New Roman" w:cs="Times New Roman"/>
          <w:sz w:val="24"/>
          <w:szCs w:val="24"/>
        </w:rPr>
        <w:t xml:space="preserve"> and what constitutes a point of law</w:t>
      </w:r>
      <w:r w:rsidR="00C06530" w:rsidRPr="00B748CC">
        <w:rPr>
          <w:rFonts w:ascii="Times New Roman" w:hAnsi="Times New Roman" w:cs="Times New Roman"/>
          <w:sz w:val="24"/>
          <w:szCs w:val="24"/>
        </w:rPr>
        <w:t xml:space="preserve"> at paras 7 and 8</w:t>
      </w:r>
      <w:r w:rsidR="00586F1F" w:rsidRPr="00B748CC">
        <w:rPr>
          <w:rFonts w:ascii="Times New Roman" w:hAnsi="Times New Roman" w:cs="Times New Roman"/>
          <w:sz w:val="24"/>
          <w:szCs w:val="24"/>
        </w:rPr>
        <w:t xml:space="preserve"> said:</w:t>
      </w:r>
    </w:p>
    <w:p w:rsidR="00586F1F" w:rsidRPr="00B748CC" w:rsidRDefault="00586F1F" w:rsidP="00CB7C71">
      <w:pPr>
        <w:tabs>
          <w:tab w:val="left" w:pos="1134"/>
        </w:tabs>
        <w:spacing w:after="0" w:line="240" w:lineRule="auto"/>
        <w:ind w:left="567"/>
        <w:jc w:val="both"/>
        <w:rPr>
          <w:rFonts w:ascii="Times New Roman" w:hAnsi="Times New Roman" w:cs="Times New Roman"/>
          <w:sz w:val="24"/>
          <w:szCs w:val="24"/>
        </w:rPr>
      </w:pPr>
      <w:r w:rsidRPr="00B748CC">
        <w:rPr>
          <w:rFonts w:ascii="Times New Roman" w:hAnsi="Times New Roman" w:cs="Times New Roman"/>
          <w:sz w:val="24"/>
          <w:szCs w:val="24"/>
        </w:rPr>
        <w:t>“</w:t>
      </w:r>
      <w:r w:rsidR="00C06530" w:rsidRPr="00B748CC">
        <w:rPr>
          <w:rFonts w:ascii="Times New Roman" w:hAnsi="Times New Roman" w:cs="Times New Roman"/>
          <w:sz w:val="24"/>
          <w:szCs w:val="24"/>
        </w:rPr>
        <w:t xml:space="preserve">Regarding the first ground of appeal </w:t>
      </w:r>
      <w:r w:rsidR="00C06530" w:rsidRPr="00162F84">
        <w:rPr>
          <w:rFonts w:ascii="Times New Roman" w:hAnsi="Times New Roman" w:cs="Times New Roman"/>
          <w:b/>
          <w:sz w:val="24"/>
          <w:szCs w:val="24"/>
        </w:rPr>
        <w:t>m</w:t>
      </w:r>
      <w:r w:rsidR="00944296" w:rsidRPr="00B748CC">
        <w:rPr>
          <w:rFonts w:ascii="Times New Roman" w:hAnsi="Times New Roman" w:cs="Times New Roman"/>
          <w:b/>
          <w:sz w:val="24"/>
          <w:szCs w:val="24"/>
        </w:rPr>
        <w:t xml:space="preserve">erely using the words </w:t>
      </w:r>
      <w:r w:rsidR="00997E7C" w:rsidRPr="00B748CC">
        <w:rPr>
          <w:rFonts w:ascii="Times New Roman" w:hAnsi="Times New Roman" w:cs="Times New Roman"/>
          <w:b/>
          <w:sz w:val="24"/>
          <w:szCs w:val="24"/>
        </w:rPr>
        <w:t>‘</w:t>
      </w:r>
      <w:r w:rsidR="00944296" w:rsidRPr="00B748CC">
        <w:rPr>
          <w:rFonts w:ascii="Times New Roman" w:hAnsi="Times New Roman" w:cs="Times New Roman"/>
          <w:b/>
          <w:sz w:val="24"/>
          <w:szCs w:val="24"/>
        </w:rPr>
        <w:t>erred in law</w:t>
      </w:r>
      <w:r w:rsidR="00997E7C" w:rsidRPr="00B748CC">
        <w:rPr>
          <w:rFonts w:ascii="Times New Roman" w:hAnsi="Times New Roman" w:cs="Times New Roman"/>
          <w:b/>
          <w:sz w:val="24"/>
          <w:szCs w:val="24"/>
        </w:rPr>
        <w:t>’</w:t>
      </w:r>
      <w:r w:rsidR="00C06530" w:rsidRPr="00B748CC">
        <w:rPr>
          <w:rFonts w:ascii="Times New Roman" w:hAnsi="Times New Roman" w:cs="Times New Roman"/>
          <w:b/>
          <w:sz w:val="24"/>
          <w:szCs w:val="24"/>
        </w:rPr>
        <w:t xml:space="preserve"> </w:t>
      </w:r>
      <w:r w:rsidR="00944296" w:rsidRPr="00B748CC">
        <w:rPr>
          <w:rFonts w:ascii="Times New Roman" w:hAnsi="Times New Roman" w:cs="Times New Roman"/>
          <w:b/>
          <w:sz w:val="24"/>
          <w:szCs w:val="24"/>
        </w:rPr>
        <w:t xml:space="preserve">does not </w:t>
      </w:r>
      <w:r w:rsidR="00C06530" w:rsidRPr="00B748CC">
        <w:rPr>
          <w:rFonts w:ascii="Times New Roman" w:hAnsi="Times New Roman" w:cs="Times New Roman"/>
          <w:b/>
          <w:sz w:val="24"/>
          <w:szCs w:val="24"/>
        </w:rPr>
        <w:t>c</w:t>
      </w:r>
      <w:r w:rsidR="00944296" w:rsidRPr="00B748CC">
        <w:rPr>
          <w:rFonts w:ascii="Times New Roman" w:hAnsi="Times New Roman" w:cs="Times New Roman"/>
          <w:b/>
          <w:sz w:val="24"/>
          <w:szCs w:val="24"/>
        </w:rPr>
        <w:t xml:space="preserve">reate a point of law. It </w:t>
      </w:r>
      <w:r w:rsidR="00246B10" w:rsidRPr="00B748CC">
        <w:rPr>
          <w:rFonts w:ascii="Times New Roman" w:hAnsi="Times New Roman" w:cs="Times New Roman"/>
          <w:b/>
          <w:sz w:val="24"/>
          <w:szCs w:val="24"/>
        </w:rPr>
        <w:t>m</w:t>
      </w:r>
      <w:r w:rsidR="00944296" w:rsidRPr="00B748CC">
        <w:rPr>
          <w:rFonts w:ascii="Times New Roman" w:hAnsi="Times New Roman" w:cs="Times New Roman"/>
          <w:b/>
          <w:sz w:val="24"/>
          <w:szCs w:val="24"/>
        </w:rPr>
        <w:t>ust clearly appear from the ground of appeal what point of law is sought to be determined.</w:t>
      </w:r>
      <w:r w:rsidR="00944296" w:rsidRPr="00B748CC">
        <w:rPr>
          <w:rFonts w:ascii="Times New Roman" w:hAnsi="Times New Roman" w:cs="Times New Roman"/>
          <w:sz w:val="24"/>
          <w:szCs w:val="24"/>
        </w:rPr>
        <w:t xml:space="preserve"> In that connection it has been held </w:t>
      </w:r>
      <w:r w:rsidR="00086D08" w:rsidRPr="00B748CC">
        <w:rPr>
          <w:rFonts w:ascii="Times New Roman" w:hAnsi="Times New Roman" w:cs="Times New Roman"/>
          <w:sz w:val="24"/>
          <w:szCs w:val="24"/>
        </w:rPr>
        <w:t>that a serious mi</w:t>
      </w:r>
      <w:r w:rsidR="00944296" w:rsidRPr="00B748CC">
        <w:rPr>
          <w:rFonts w:ascii="Times New Roman" w:hAnsi="Times New Roman" w:cs="Times New Roman"/>
          <w:sz w:val="24"/>
          <w:szCs w:val="24"/>
        </w:rPr>
        <w:t>sdirection on the facts would amount to a question of law. A finding</w:t>
      </w:r>
      <w:r w:rsidR="00086D08" w:rsidRPr="00B748CC">
        <w:rPr>
          <w:rFonts w:ascii="Times New Roman" w:hAnsi="Times New Roman" w:cs="Times New Roman"/>
          <w:sz w:val="24"/>
          <w:szCs w:val="24"/>
        </w:rPr>
        <w:t>,</w:t>
      </w:r>
      <w:r w:rsidR="00944296" w:rsidRPr="00B748CC">
        <w:rPr>
          <w:rFonts w:ascii="Times New Roman" w:hAnsi="Times New Roman" w:cs="Times New Roman"/>
          <w:sz w:val="24"/>
          <w:szCs w:val="24"/>
        </w:rPr>
        <w:t xml:space="preserve"> that</w:t>
      </w:r>
      <w:r w:rsidR="00086D08" w:rsidRPr="00B748CC">
        <w:rPr>
          <w:rFonts w:ascii="Times New Roman" w:hAnsi="Times New Roman" w:cs="Times New Roman"/>
          <w:sz w:val="24"/>
          <w:szCs w:val="24"/>
        </w:rPr>
        <w:t>,</w:t>
      </w:r>
      <w:r w:rsidR="00944296" w:rsidRPr="00B748CC">
        <w:rPr>
          <w:rFonts w:ascii="Times New Roman" w:hAnsi="Times New Roman" w:cs="Times New Roman"/>
          <w:sz w:val="24"/>
          <w:szCs w:val="24"/>
        </w:rPr>
        <w:t xml:space="preserve"> the delay in making an application</w:t>
      </w:r>
      <w:r w:rsidR="00086D08" w:rsidRPr="00B748CC">
        <w:rPr>
          <w:rFonts w:ascii="Times New Roman" w:hAnsi="Times New Roman" w:cs="Times New Roman"/>
          <w:sz w:val="24"/>
          <w:szCs w:val="24"/>
        </w:rPr>
        <w:t>,</w:t>
      </w:r>
      <w:r w:rsidR="00944296" w:rsidRPr="00B748CC">
        <w:rPr>
          <w:rFonts w:ascii="Times New Roman" w:hAnsi="Times New Roman" w:cs="Times New Roman"/>
          <w:sz w:val="24"/>
          <w:szCs w:val="24"/>
        </w:rPr>
        <w:t xml:space="preserve"> is inordinate</w:t>
      </w:r>
      <w:r w:rsidR="00086D08" w:rsidRPr="00B748CC">
        <w:rPr>
          <w:rFonts w:ascii="Times New Roman" w:hAnsi="Times New Roman" w:cs="Times New Roman"/>
          <w:sz w:val="24"/>
          <w:szCs w:val="24"/>
        </w:rPr>
        <w:t>,</w:t>
      </w:r>
      <w:r w:rsidR="00944296" w:rsidRPr="00B748CC">
        <w:rPr>
          <w:rFonts w:ascii="Times New Roman" w:hAnsi="Times New Roman" w:cs="Times New Roman"/>
          <w:sz w:val="24"/>
          <w:szCs w:val="24"/>
        </w:rPr>
        <w:t xml:space="preserve"> and the explanation for the delay </w:t>
      </w:r>
      <w:r w:rsidR="00086D08" w:rsidRPr="00B748CC">
        <w:rPr>
          <w:rFonts w:ascii="Times New Roman" w:hAnsi="Times New Roman" w:cs="Times New Roman"/>
          <w:sz w:val="24"/>
          <w:szCs w:val="24"/>
        </w:rPr>
        <w:t>unreasonable is</w:t>
      </w:r>
      <w:r w:rsidR="00944296" w:rsidRPr="00B748CC">
        <w:rPr>
          <w:rFonts w:ascii="Times New Roman" w:hAnsi="Times New Roman" w:cs="Times New Roman"/>
          <w:sz w:val="24"/>
          <w:szCs w:val="24"/>
        </w:rPr>
        <w:t xml:space="preserve"> a factual finding. Such a finding does not qualify as a point of law unless it is grossly unreasonable, that is, unless it is a finding that no reasonable court faced with the same facts would</w:t>
      </w:r>
      <w:r w:rsidR="00086D08" w:rsidRPr="00B748CC">
        <w:rPr>
          <w:rFonts w:ascii="Times New Roman" w:hAnsi="Times New Roman" w:cs="Times New Roman"/>
          <w:sz w:val="24"/>
          <w:szCs w:val="24"/>
        </w:rPr>
        <w:t xml:space="preserve"> have made. </w:t>
      </w:r>
      <w:r w:rsidR="00086D08" w:rsidRPr="00B748CC">
        <w:rPr>
          <w:rFonts w:ascii="Times New Roman" w:hAnsi="Times New Roman" w:cs="Times New Roman"/>
          <w:b/>
          <w:sz w:val="24"/>
          <w:szCs w:val="24"/>
        </w:rPr>
        <w:t xml:space="preserve">No allegation of gross unreasonableness has been made nor is any apparent on the record </w:t>
      </w:r>
      <w:r w:rsidR="00086D08" w:rsidRPr="00B748CC">
        <w:rPr>
          <w:rFonts w:ascii="Times New Roman" w:hAnsi="Times New Roman" w:cs="Times New Roman"/>
          <w:sz w:val="24"/>
          <w:szCs w:val="24"/>
        </w:rPr>
        <w:t>-----</w:t>
      </w:r>
    </w:p>
    <w:p w:rsidR="001467E2" w:rsidRDefault="00086D08" w:rsidP="00CB31D8">
      <w:pPr>
        <w:tabs>
          <w:tab w:val="left" w:pos="1134"/>
        </w:tabs>
        <w:spacing w:after="0" w:line="240" w:lineRule="auto"/>
        <w:ind w:left="567"/>
        <w:jc w:val="both"/>
        <w:rPr>
          <w:rFonts w:ascii="Times New Roman" w:hAnsi="Times New Roman" w:cs="Times New Roman"/>
          <w:sz w:val="24"/>
          <w:szCs w:val="24"/>
        </w:rPr>
      </w:pPr>
      <w:r w:rsidRPr="00B748CC">
        <w:rPr>
          <w:rFonts w:ascii="Times New Roman" w:hAnsi="Times New Roman" w:cs="Times New Roman"/>
          <w:b/>
          <w:sz w:val="24"/>
          <w:szCs w:val="24"/>
        </w:rPr>
        <w:t>Simply to allege</w:t>
      </w:r>
      <w:r w:rsidR="00917CE9" w:rsidRPr="00B748CC">
        <w:rPr>
          <w:rFonts w:ascii="Times New Roman" w:hAnsi="Times New Roman" w:cs="Times New Roman"/>
          <w:b/>
          <w:sz w:val="24"/>
          <w:szCs w:val="24"/>
        </w:rPr>
        <w:t>,</w:t>
      </w:r>
      <w:r w:rsidR="003A2C2E" w:rsidRPr="00B748CC">
        <w:rPr>
          <w:rFonts w:ascii="Times New Roman" w:hAnsi="Times New Roman" w:cs="Times New Roman"/>
          <w:b/>
          <w:sz w:val="24"/>
          <w:szCs w:val="24"/>
        </w:rPr>
        <w:t xml:space="preserve"> a </w:t>
      </w:r>
      <w:r w:rsidRPr="00B748CC">
        <w:rPr>
          <w:rFonts w:ascii="Times New Roman" w:hAnsi="Times New Roman" w:cs="Times New Roman"/>
          <w:b/>
          <w:sz w:val="24"/>
          <w:szCs w:val="24"/>
        </w:rPr>
        <w:t>misdirection in law by the court without alleging the nature of the misdirection does not advise this court of the point of law on which its decision is required”.</w:t>
      </w:r>
      <w:r w:rsidR="00C935F4" w:rsidRPr="00B748CC">
        <w:rPr>
          <w:rFonts w:ascii="Times New Roman" w:hAnsi="Times New Roman" w:cs="Times New Roman"/>
          <w:sz w:val="24"/>
          <w:szCs w:val="24"/>
        </w:rPr>
        <w:t xml:space="preserve"> (</w:t>
      </w:r>
      <w:r w:rsidR="00A217FF" w:rsidRPr="00B748CC">
        <w:rPr>
          <w:rFonts w:ascii="Times New Roman" w:hAnsi="Times New Roman" w:cs="Times New Roman"/>
          <w:sz w:val="24"/>
          <w:szCs w:val="24"/>
        </w:rPr>
        <w:t>Emphasis</w:t>
      </w:r>
      <w:r w:rsidR="00C935F4" w:rsidRPr="00B748CC">
        <w:rPr>
          <w:rFonts w:ascii="Times New Roman" w:hAnsi="Times New Roman" w:cs="Times New Roman"/>
          <w:sz w:val="24"/>
          <w:szCs w:val="24"/>
        </w:rPr>
        <w:t xml:space="preserve"> </w:t>
      </w:r>
      <w:r w:rsidRPr="00B748CC">
        <w:rPr>
          <w:rFonts w:ascii="Times New Roman" w:hAnsi="Times New Roman" w:cs="Times New Roman"/>
          <w:sz w:val="24"/>
          <w:szCs w:val="24"/>
        </w:rPr>
        <w:t>added)</w:t>
      </w:r>
    </w:p>
    <w:p w:rsidR="00B748CC" w:rsidRDefault="00B748CC" w:rsidP="00CB31D8">
      <w:pPr>
        <w:tabs>
          <w:tab w:val="left" w:pos="1134"/>
        </w:tabs>
        <w:spacing w:after="0" w:line="240" w:lineRule="auto"/>
        <w:ind w:left="567"/>
        <w:jc w:val="both"/>
        <w:rPr>
          <w:rFonts w:ascii="Times New Roman" w:hAnsi="Times New Roman" w:cs="Times New Roman"/>
          <w:sz w:val="24"/>
          <w:szCs w:val="24"/>
        </w:rPr>
      </w:pPr>
    </w:p>
    <w:p w:rsidR="00B748CC" w:rsidRDefault="00B748CC" w:rsidP="00CB31D8">
      <w:pPr>
        <w:tabs>
          <w:tab w:val="left" w:pos="1134"/>
        </w:tabs>
        <w:spacing w:after="0" w:line="240" w:lineRule="auto"/>
        <w:ind w:left="567"/>
        <w:jc w:val="both"/>
        <w:rPr>
          <w:rFonts w:ascii="Times New Roman" w:hAnsi="Times New Roman" w:cs="Times New Roman"/>
          <w:sz w:val="24"/>
          <w:szCs w:val="24"/>
        </w:rPr>
      </w:pPr>
    </w:p>
    <w:p w:rsidR="00B748CC" w:rsidRPr="00B748CC" w:rsidRDefault="00B748CC" w:rsidP="00CB31D8">
      <w:pPr>
        <w:tabs>
          <w:tab w:val="left" w:pos="1134"/>
        </w:tabs>
        <w:spacing w:after="0" w:line="240" w:lineRule="auto"/>
        <w:ind w:left="567"/>
        <w:jc w:val="both"/>
        <w:rPr>
          <w:rFonts w:ascii="Times New Roman" w:hAnsi="Times New Roman" w:cs="Times New Roman"/>
          <w:sz w:val="24"/>
          <w:szCs w:val="24"/>
        </w:rPr>
      </w:pPr>
    </w:p>
    <w:p w:rsidR="00076498" w:rsidRPr="00B748CC" w:rsidRDefault="00C935F4" w:rsidP="00B460F9">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 xml:space="preserve">        </w:t>
      </w:r>
      <w:r w:rsidR="00B748CC">
        <w:rPr>
          <w:rFonts w:ascii="Times New Roman" w:hAnsi="Times New Roman" w:cs="Times New Roman"/>
          <w:sz w:val="24"/>
          <w:szCs w:val="24"/>
        </w:rPr>
        <w:tab/>
      </w:r>
      <w:r w:rsidRPr="00B748CC">
        <w:rPr>
          <w:rFonts w:ascii="Times New Roman" w:hAnsi="Times New Roman" w:cs="Times New Roman"/>
          <w:sz w:val="24"/>
          <w:szCs w:val="24"/>
        </w:rPr>
        <w:t xml:space="preserve">A reading of the 7 grounds of appeal reveals that the appellant’s grievance is against the court </w:t>
      </w:r>
      <w:r w:rsidRPr="00B748CC">
        <w:rPr>
          <w:rFonts w:ascii="Times New Roman" w:hAnsi="Times New Roman" w:cs="Times New Roman"/>
          <w:i/>
          <w:sz w:val="24"/>
          <w:szCs w:val="24"/>
        </w:rPr>
        <w:t>a quo’s</w:t>
      </w:r>
      <w:r w:rsidRPr="00B748CC">
        <w:rPr>
          <w:rFonts w:ascii="Times New Roman" w:hAnsi="Times New Roman" w:cs="Times New Roman"/>
          <w:sz w:val="24"/>
          <w:szCs w:val="24"/>
        </w:rPr>
        <w:t xml:space="preserve"> findings of fact without any allegation of any gross misdirection. The prefixing of grounds 1 to 6 with the words “The court </w:t>
      </w:r>
      <w:r w:rsidRPr="00B748CC">
        <w:rPr>
          <w:rFonts w:ascii="Times New Roman" w:hAnsi="Times New Roman" w:cs="Times New Roman"/>
          <w:i/>
          <w:sz w:val="24"/>
          <w:szCs w:val="24"/>
        </w:rPr>
        <w:t>a quo</w:t>
      </w:r>
      <w:r w:rsidRPr="00B748CC">
        <w:rPr>
          <w:rFonts w:ascii="Times New Roman" w:hAnsi="Times New Roman" w:cs="Times New Roman"/>
          <w:sz w:val="24"/>
          <w:szCs w:val="24"/>
        </w:rPr>
        <w:t xml:space="preserve"> erred at law in finding that” does not conceal that the appeal is against findings of fact or a mixture of law and fact as each of the 6 grounds goes on to expose the true nature of the intended appeal.</w:t>
      </w:r>
    </w:p>
    <w:p w:rsidR="00B1611C" w:rsidRPr="00B748CC" w:rsidRDefault="003F6536" w:rsidP="00843120">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lastRenderedPageBreak/>
        <w:tab/>
      </w:r>
      <w:r w:rsidR="008D1855" w:rsidRPr="00B748CC">
        <w:rPr>
          <w:rFonts w:ascii="Times New Roman" w:hAnsi="Times New Roman" w:cs="Times New Roman"/>
          <w:sz w:val="24"/>
          <w:szCs w:val="24"/>
        </w:rPr>
        <w:t>Ground 1 goes on to state, “the amounts taxed by the respondent for the tax years 2011 and 2012 as sundry income were amounts falling into gross income and thus subject to tax in terms of the Income Tax Act [</w:t>
      </w:r>
      <w:r w:rsidR="008D1855" w:rsidRPr="00B748CC">
        <w:rPr>
          <w:rFonts w:ascii="Times New Roman" w:hAnsi="Times New Roman" w:cs="Times New Roman"/>
          <w:i/>
          <w:sz w:val="24"/>
          <w:szCs w:val="24"/>
        </w:rPr>
        <w:t>Chapter 23:06</w:t>
      </w:r>
      <w:r w:rsidR="008D1855" w:rsidRPr="00B748CC">
        <w:rPr>
          <w:rFonts w:ascii="Times New Roman" w:hAnsi="Times New Roman" w:cs="Times New Roman"/>
          <w:sz w:val="24"/>
          <w:szCs w:val="24"/>
        </w:rPr>
        <w:t>].</w:t>
      </w:r>
      <w:r w:rsidR="00B1611C" w:rsidRPr="00B748CC">
        <w:rPr>
          <w:rFonts w:ascii="Times New Roman" w:hAnsi="Times New Roman" w:cs="Times New Roman"/>
          <w:sz w:val="24"/>
          <w:szCs w:val="24"/>
        </w:rPr>
        <w:t>”</w:t>
      </w:r>
      <w:r w:rsidR="008D1855" w:rsidRPr="00B748CC">
        <w:rPr>
          <w:rFonts w:ascii="Times New Roman" w:hAnsi="Times New Roman" w:cs="Times New Roman"/>
          <w:sz w:val="24"/>
          <w:szCs w:val="24"/>
        </w:rPr>
        <w:t xml:space="preserve"> </w:t>
      </w:r>
    </w:p>
    <w:p w:rsidR="00B1611C" w:rsidRPr="00B748CC" w:rsidRDefault="00B1611C" w:rsidP="008D1855">
      <w:pPr>
        <w:spacing w:after="0" w:line="480" w:lineRule="auto"/>
        <w:jc w:val="both"/>
        <w:rPr>
          <w:rFonts w:ascii="Times New Roman" w:hAnsi="Times New Roman" w:cs="Times New Roman"/>
          <w:sz w:val="24"/>
          <w:szCs w:val="24"/>
        </w:rPr>
      </w:pPr>
    </w:p>
    <w:p w:rsidR="008D1855" w:rsidRPr="00B748CC" w:rsidRDefault="00EC18B2" w:rsidP="003F6536">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 xml:space="preserve">This means the court </w:t>
      </w:r>
      <w:r w:rsidR="008D1855" w:rsidRPr="00B748CC">
        <w:rPr>
          <w:rFonts w:ascii="Times New Roman" w:hAnsi="Times New Roman" w:cs="Times New Roman"/>
          <w:i/>
          <w:sz w:val="24"/>
          <w:szCs w:val="24"/>
        </w:rPr>
        <w:t>a quo</w:t>
      </w:r>
      <w:r w:rsidR="008D1855" w:rsidRPr="00B748CC">
        <w:rPr>
          <w:rFonts w:ascii="Times New Roman" w:hAnsi="Times New Roman" w:cs="Times New Roman"/>
          <w:sz w:val="24"/>
          <w:szCs w:val="24"/>
        </w:rPr>
        <w:t xml:space="preserve"> determined from the facts placed before it that what the appellant referred to as sundry expenses falls under gross inco</w:t>
      </w:r>
      <w:r w:rsidRPr="00B748CC">
        <w:rPr>
          <w:rFonts w:ascii="Times New Roman" w:hAnsi="Times New Roman" w:cs="Times New Roman"/>
          <w:sz w:val="24"/>
          <w:szCs w:val="24"/>
        </w:rPr>
        <w:t xml:space="preserve">me and was taxable. The court </w:t>
      </w:r>
      <w:r w:rsidRPr="00B748CC">
        <w:rPr>
          <w:rFonts w:ascii="Times New Roman" w:hAnsi="Times New Roman" w:cs="Times New Roman"/>
          <w:i/>
          <w:sz w:val="24"/>
          <w:szCs w:val="24"/>
        </w:rPr>
        <w:t>a </w:t>
      </w:r>
      <w:r w:rsidR="008D1855" w:rsidRPr="00B748CC">
        <w:rPr>
          <w:rFonts w:ascii="Times New Roman" w:hAnsi="Times New Roman" w:cs="Times New Roman"/>
          <w:i/>
          <w:sz w:val="24"/>
          <w:szCs w:val="24"/>
        </w:rPr>
        <w:t>quo</w:t>
      </w:r>
      <w:r w:rsidR="008D1855" w:rsidRPr="00B748CC">
        <w:rPr>
          <w:rFonts w:ascii="Times New Roman" w:hAnsi="Times New Roman" w:cs="Times New Roman"/>
          <w:sz w:val="24"/>
          <w:szCs w:val="24"/>
        </w:rPr>
        <w:t xml:space="preserve"> determined this issue at para 12 of its judgment where it said:</w:t>
      </w:r>
    </w:p>
    <w:p w:rsidR="008D1855" w:rsidRPr="00B748CC" w:rsidRDefault="008D1855" w:rsidP="001F40AA">
      <w:pPr>
        <w:spacing w:after="0" w:line="276" w:lineRule="auto"/>
        <w:ind w:left="567"/>
        <w:jc w:val="both"/>
        <w:rPr>
          <w:rFonts w:ascii="Times New Roman" w:hAnsi="Times New Roman" w:cs="Times New Roman"/>
          <w:sz w:val="24"/>
          <w:szCs w:val="24"/>
        </w:rPr>
      </w:pPr>
      <w:r w:rsidRPr="00B748CC">
        <w:rPr>
          <w:rFonts w:ascii="Times New Roman" w:hAnsi="Times New Roman" w:cs="Times New Roman"/>
          <w:sz w:val="24"/>
          <w:szCs w:val="24"/>
        </w:rPr>
        <w:t>“However, no such documents were produced to the respondent despite requests for the production of evidence which would prove the appellant’s stance that the amounts were, in fact fair value adjustments. In the end, the documents produced by the appellant did not establish that the amounts described as ‘sundry income’ were in fact fair val</w:t>
      </w:r>
      <w:r w:rsidR="00A217FF" w:rsidRPr="00B748CC">
        <w:rPr>
          <w:rFonts w:ascii="Times New Roman" w:hAnsi="Times New Roman" w:cs="Times New Roman"/>
          <w:sz w:val="24"/>
          <w:szCs w:val="24"/>
        </w:rPr>
        <w:t>ue adjustments. I agree with Mr </w:t>
      </w:r>
      <w:proofErr w:type="spellStart"/>
      <w:r w:rsidRPr="00B748CC">
        <w:rPr>
          <w:rFonts w:ascii="Times New Roman" w:hAnsi="Times New Roman" w:cs="Times New Roman"/>
          <w:i/>
          <w:sz w:val="24"/>
          <w:szCs w:val="24"/>
        </w:rPr>
        <w:t>Bhebhe</w:t>
      </w:r>
      <w:proofErr w:type="spellEnd"/>
      <w:r w:rsidRPr="00B748CC">
        <w:rPr>
          <w:rFonts w:ascii="Times New Roman" w:hAnsi="Times New Roman" w:cs="Times New Roman"/>
          <w:sz w:val="24"/>
          <w:szCs w:val="24"/>
        </w:rPr>
        <w:t xml:space="preserve"> that the appellant having included the amounts as income in its financial statements and having failed to show how the amounts were to be treated as anything to the contrary, for income tax purposes, the respondent cannot be faulted for treating the amounts as he did.”</w:t>
      </w:r>
    </w:p>
    <w:p w:rsidR="00EC18B2" w:rsidRPr="00B748CC" w:rsidRDefault="00EC18B2" w:rsidP="003F6536">
      <w:pPr>
        <w:spacing w:after="0" w:line="480" w:lineRule="auto"/>
        <w:jc w:val="both"/>
        <w:rPr>
          <w:rFonts w:ascii="Times New Roman" w:hAnsi="Times New Roman" w:cs="Times New Roman"/>
          <w:sz w:val="24"/>
          <w:szCs w:val="24"/>
        </w:rPr>
      </w:pPr>
    </w:p>
    <w:p w:rsidR="008D1855" w:rsidRPr="00B748CC" w:rsidRDefault="008D1855" w:rsidP="008D1855">
      <w:pPr>
        <w:spacing w:after="0" w:line="276" w:lineRule="auto"/>
        <w:jc w:val="both"/>
        <w:rPr>
          <w:rFonts w:ascii="Times New Roman" w:hAnsi="Times New Roman" w:cs="Times New Roman"/>
          <w:sz w:val="24"/>
          <w:szCs w:val="24"/>
        </w:rPr>
      </w:pPr>
    </w:p>
    <w:p w:rsidR="008D1855" w:rsidRPr="00B748CC" w:rsidRDefault="00EC18B2" w:rsidP="001F40AA">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Thi</w:t>
      </w:r>
      <w:r w:rsidRPr="00B748CC">
        <w:rPr>
          <w:rFonts w:ascii="Times New Roman" w:hAnsi="Times New Roman" w:cs="Times New Roman"/>
          <w:sz w:val="24"/>
          <w:szCs w:val="24"/>
        </w:rPr>
        <w:t>s is a finding of fact. Ground N</w:t>
      </w:r>
      <w:r w:rsidR="008D1855" w:rsidRPr="00B748CC">
        <w:rPr>
          <w:rFonts w:ascii="Times New Roman" w:hAnsi="Times New Roman" w:cs="Times New Roman"/>
          <w:sz w:val="24"/>
          <w:szCs w:val="24"/>
        </w:rPr>
        <w:t xml:space="preserve">o 1 </w:t>
      </w:r>
      <w:r w:rsidR="004E392D" w:rsidRPr="00B748CC">
        <w:rPr>
          <w:rFonts w:ascii="Times New Roman" w:hAnsi="Times New Roman" w:cs="Times New Roman"/>
          <w:sz w:val="24"/>
          <w:szCs w:val="24"/>
        </w:rPr>
        <w:t>sh</w:t>
      </w:r>
      <w:r w:rsidR="008D1855" w:rsidRPr="00B748CC">
        <w:rPr>
          <w:rFonts w:ascii="Times New Roman" w:hAnsi="Times New Roman" w:cs="Times New Roman"/>
          <w:sz w:val="24"/>
          <w:szCs w:val="24"/>
        </w:rPr>
        <w:t>ould therefore not have been noted without leave.</w:t>
      </w:r>
    </w:p>
    <w:p w:rsidR="00EC18B2" w:rsidRDefault="00EC18B2" w:rsidP="008D1855">
      <w:pPr>
        <w:spacing w:after="0" w:line="276" w:lineRule="auto"/>
        <w:jc w:val="both"/>
        <w:rPr>
          <w:rFonts w:ascii="Times New Roman" w:hAnsi="Times New Roman" w:cs="Times New Roman"/>
          <w:sz w:val="24"/>
          <w:szCs w:val="24"/>
        </w:rPr>
      </w:pPr>
    </w:p>
    <w:p w:rsidR="000B50C1" w:rsidRPr="00B748CC" w:rsidRDefault="000B50C1" w:rsidP="008D1855">
      <w:pPr>
        <w:spacing w:after="0" w:line="276" w:lineRule="auto"/>
        <w:jc w:val="both"/>
        <w:rPr>
          <w:rFonts w:ascii="Times New Roman" w:hAnsi="Times New Roman" w:cs="Times New Roman"/>
          <w:sz w:val="24"/>
          <w:szCs w:val="24"/>
        </w:rPr>
      </w:pPr>
    </w:p>
    <w:p w:rsidR="008D1855" w:rsidRPr="00B748CC" w:rsidRDefault="008D1855" w:rsidP="003F6536">
      <w:pPr>
        <w:spacing w:after="0" w:line="480" w:lineRule="auto"/>
        <w:ind w:firstLine="1134"/>
        <w:jc w:val="both"/>
        <w:rPr>
          <w:rFonts w:ascii="Times New Roman" w:hAnsi="Times New Roman" w:cs="Times New Roman"/>
          <w:sz w:val="24"/>
          <w:szCs w:val="24"/>
        </w:rPr>
      </w:pPr>
      <w:r w:rsidRPr="00B748CC">
        <w:rPr>
          <w:rFonts w:ascii="Times New Roman" w:hAnsi="Times New Roman" w:cs="Times New Roman"/>
          <w:sz w:val="24"/>
          <w:szCs w:val="24"/>
        </w:rPr>
        <w:t>Ground 2 thereafter states, “the amounts taxed by the respondent as income received from the National Indigenisation Fund for the tax years 2012 and 2013, were amounts either received or accrued to the appellant and thus subject to tax in terms of the Income Tax Act.</w:t>
      </w:r>
      <w:r w:rsidR="00296E65" w:rsidRPr="00B748CC">
        <w:rPr>
          <w:rFonts w:ascii="Times New Roman" w:hAnsi="Times New Roman" w:cs="Times New Roman"/>
          <w:sz w:val="24"/>
          <w:szCs w:val="24"/>
        </w:rPr>
        <w:t>”</w:t>
      </w:r>
      <w:r w:rsidRPr="00B748CC">
        <w:rPr>
          <w:rFonts w:ascii="Times New Roman" w:hAnsi="Times New Roman" w:cs="Times New Roman"/>
          <w:sz w:val="24"/>
          <w:szCs w:val="24"/>
        </w:rPr>
        <w:t xml:space="preserve"> </w:t>
      </w:r>
    </w:p>
    <w:p w:rsidR="00EC18B2" w:rsidRPr="00B748CC" w:rsidRDefault="00EC18B2" w:rsidP="00EC18B2">
      <w:pPr>
        <w:tabs>
          <w:tab w:val="left" w:pos="1134"/>
        </w:tabs>
        <w:spacing w:after="0" w:line="480" w:lineRule="auto"/>
        <w:ind w:firstLine="720"/>
        <w:jc w:val="both"/>
        <w:rPr>
          <w:rFonts w:ascii="Times New Roman" w:hAnsi="Times New Roman" w:cs="Times New Roman"/>
          <w:sz w:val="24"/>
          <w:szCs w:val="24"/>
        </w:rPr>
      </w:pPr>
    </w:p>
    <w:p w:rsidR="008D1855" w:rsidRPr="00B748CC" w:rsidRDefault="00EC18B2" w:rsidP="003F6536">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 xml:space="preserve">It seems to me that the appellant is attacking a finding of fact to the effect that certain amounts of money were received by it or accrued to it. The court </w:t>
      </w:r>
      <w:r w:rsidR="008D1855" w:rsidRPr="00B748CC">
        <w:rPr>
          <w:rFonts w:ascii="Times New Roman" w:hAnsi="Times New Roman" w:cs="Times New Roman"/>
          <w:i/>
          <w:sz w:val="24"/>
          <w:szCs w:val="24"/>
        </w:rPr>
        <w:t>a quo</w:t>
      </w:r>
      <w:r w:rsidR="008D1855" w:rsidRPr="00B748CC">
        <w:rPr>
          <w:rFonts w:ascii="Times New Roman" w:hAnsi="Times New Roman" w:cs="Times New Roman"/>
          <w:sz w:val="24"/>
          <w:szCs w:val="24"/>
        </w:rPr>
        <w:t xml:space="preserve"> at paras 20, 21, 23 and 24 found that the appellant received payments from specified companies and certain amounts accrued to it. At para 24 it summed up on this issue by saying;</w:t>
      </w:r>
    </w:p>
    <w:p w:rsidR="008D1855" w:rsidRPr="00B748CC" w:rsidRDefault="008D1855" w:rsidP="001F40AA">
      <w:pPr>
        <w:spacing w:after="0" w:line="240" w:lineRule="auto"/>
        <w:ind w:left="567"/>
        <w:jc w:val="both"/>
        <w:rPr>
          <w:rFonts w:ascii="Times New Roman" w:hAnsi="Times New Roman" w:cs="Times New Roman"/>
          <w:sz w:val="24"/>
          <w:szCs w:val="24"/>
        </w:rPr>
      </w:pPr>
      <w:r w:rsidRPr="00B748CC">
        <w:rPr>
          <w:rFonts w:ascii="Times New Roman" w:hAnsi="Times New Roman" w:cs="Times New Roman"/>
          <w:sz w:val="24"/>
          <w:szCs w:val="24"/>
        </w:rPr>
        <w:lastRenderedPageBreak/>
        <w:t>“I</w:t>
      </w:r>
      <w:r w:rsidR="00296E65" w:rsidRPr="00B748CC">
        <w:rPr>
          <w:rFonts w:ascii="Times New Roman" w:hAnsi="Times New Roman" w:cs="Times New Roman"/>
          <w:sz w:val="24"/>
          <w:szCs w:val="24"/>
        </w:rPr>
        <w:t xml:space="preserve"> </w:t>
      </w:r>
      <w:r w:rsidRPr="00B748CC">
        <w:rPr>
          <w:rFonts w:ascii="Times New Roman" w:hAnsi="Times New Roman" w:cs="Times New Roman"/>
          <w:sz w:val="24"/>
          <w:szCs w:val="24"/>
        </w:rPr>
        <w:t>once again conclude that the appellant has not discharged the onus on it to prove that the Commissioner was wrong and this issue is decided against the appellant”.</w:t>
      </w:r>
    </w:p>
    <w:p w:rsidR="00382CF9" w:rsidRPr="00B748CC" w:rsidRDefault="00382CF9" w:rsidP="00EC18B2">
      <w:pPr>
        <w:spacing w:after="0" w:line="240" w:lineRule="auto"/>
        <w:ind w:left="720"/>
        <w:jc w:val="both"/>
        <w:rPr>
          <w:rFonts w:ascii="Times New Roman" w:hAnsi="Times New Roman" w:cs="Times New Roman"/>
          <w:sz w:val="24"/>
          <w:szCs w:val="24"/>
        </w:rPr>
      </w:pPr>
    </w:p>
    <w:p w:rsidR="00382CF9" w:rsidRPr="00B748CC" w:rsidRDefault="00382CF9" w:rsidP="00EC18B2">
      <w:pPr>
        <w:spacing w:after="0" w:line="240" w:lineRule="auto"/>
        <w:ind w:left="720"/>
        <w:jc w:val="both"/>
        <w:rPr>
          <w:rFonts w:ascii="Times New Roman" w:hAnsi="Times New Roman" w:cs="Times New Roman"/>
          <w:sz w:val="24"/>
          <w:szCs w:val="24"/>
        </w:rPr>
      </w:pPr>
    </w:p>
    <w:p w:rsidR="008D1855" w:rsidRPr="00B748CC" w:rsidRDefault="008D1855" w:rsidP="008D1855">
      <w:pPr>
        <w:spacing w:after="0" w:line="276" w:lineRule="auto"/>
        <w:ind w:left="720"/>
        <w:jc w:val="both"/>
        <w:rPr>
          <w:rFonts w:ascii="Times New Roman" w:hAnsi="Times New Roman" w:cs="Times New Roman"/>
          <w:sz w:val="24"/>
          <w:szCs w:val="24"/>
        </w:rPr>
      </w:pPr>
    </w:p>
    <w:p w:rsidR="008D1855" w:rsidRPr="00B748CC" w:rsidRDefault="00EC18B2" w:rsidP="001F40AA">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A finding</w:t>
      </w:r>
      <w:r w:rsidR="003B338A">
        <w:rPr>
          <w:rFonts w:ascii="Times New Roman" w:hAnsi="Times New Roman" w:cs="Times New Roman"/>
          <w:sz w:val="24"/>
          <w:szCs w:val="24"/>
        </w:rPr>
        <w:t xml:space="preserve"> by the court</w:t>
      </w:r>
      <w:r w:rsidR="008D1855" w:rsidRPr="00B748CC">
        <w:rPr>
          <w:rFonts w:ascii="Times New Roman" w:hAnsi="Times New Roman" w:cs="Times New Roman"/>
          <w:sz w:val="24"/>
          <w:szCs w:val="24"/>
        </w:rPr>
        <w:t xml:space="preserve"> that a party has failed to discharge an onus on it is a finding of fact</w:t>
      </w:r>
      <w:r w:rsidR="00296E65" w:rsidRPr="00B748CC">
        <w:rPr>
          <w:rFonts w:ascii="Times New Roman" w:hAnsi="Times New Roman" w:cs="Times New Roman"/>
          <w:sz w:val="24"/>
          <w:szCs w:val="24"/>
        </w:rPr>
        <w:t xml:space="preserve"> based on the assessment of the evidence placed before it</w:t>
      </w:r>
      <w:r w:rsidR="008D1855" w:rsidRPr="00B748CC">
        <w:rPr>
          <w:rFonts w:ascii="Times New Roman" w:hAnsi="Times New Roman" w:cs="Times New Roman"/>
          <w:sz w:val="24"/>
          <w:szCs w:val="24"/>
        </w:rPr>
        <w:t>. Ground 2 should not have been noted without leave.</w:t>
      </w:r>
    </w:p>
    <w:p w:rsidR="008D1855" w:rsidRPr="00B748CC" w:rsidRDefault="008D1855" w:rsidP="008D1855">
      <w:pPr>
        <w:spacing w:after="0" w:line="480" w:lineRule="auto"/>
        <w:jc w:val="both"/>
        <w:rPr>
          <w:rFonts w:ascii="Times New Roman" w:hAnsi="Times New Roman" w:cs="Times New Roman"/>
          <w:sz w:val="24"/>
          <w:szCs w:val="24"/>
        </w:rPr>
      </w:pPr>
    </w:p>
    <w:p w:rsidR="008D1855" w:rsidRPr="00B748CC" w:rsidRDefault="00EC18B2" w:rsidP="00EC18B2">
      <w:pPr>
        <w:tabs>
          <w:tab w:val="left" w:pos="1134"/>
        </w:tabs>
        <w:spacing w:after="0" w:line="480" w:lineRule="auto"/>
        <w:ind w:firstLine="720"/>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Ground 3 went on to allege that “staff bonuses paid to the appellant’s employees were subject to PAYE in 2015 and not 2016 in terms of the Income Tax Act [</w:t>
      </w:r>
      <w:r w:rsidR="008D1855" w:rsidRPr="00B748CC">
        <w:rPr>
          <w:rFonts w:ascii="Times New Roman" w:hAnsi="Times New Roman" w:cs="Times New Roman"/>
          <w:i/>
          <w:sz w:val="24"/>
          <w:szCs w:val="24"/>
        </w:rPr>
        <w:t>Chapter 23:06</w:t>
      </w:r>
      <w:r w:rsidR="008D1855" w:rsidRPr="00B748CC">
        <w:rPr>
          <w:rFonts w:ascii="Times New Roman" w:hAnsi="Times New Roman" w:cs="Times New Roman"/>
          <w:sz w:val="24"/>
          <w:szCs w:val="24"/>
        </w:rPr>
        <w:t>].</w:t>
      </w:r>
    </w:p>
    <w:p w:rsidR="00EC18B2" w:rsidRPr="00B748CC" w:rsidRDefault="00EC18B2" w:rsidP="00EC18B2">
      <w:pPr>
        <w:tabs>
          <w:tab w:val="left" w:pos="1134"/>
        </w:tabs>
        <w:spacing w:after="0" w:line="480" w:lineRule="auto"/>
        <w:ind w:firstLine="720"/>
        <w:jc w:val="both"/>
        <w:rPr>
          <w:rFonts w:ascii="Times New Roman" w:hAnsi="Times New Roman" w:cs="Times New Roman"/>
          <w:sz w:val="24"/>
          <w:szCs w:val="24"/>
        </w:rPr>
      </w:pPr>
    </w:p>
    <w:p w:rsidR="008D1855" w:rsidRPr="00B748CC" w:rsidRDefault="00EC18B2" w:rsidP="003F6536">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 xml:space="preserve">This ground attacks the court </w:t>
      </w:r>
      <w:r w:rsidR="008D1855" w:rsidRPr="00B748CC">
        <w:rPr>
          <w:rFonts w:ascii="Times New Roman" w:hAnsi="Times New Roman" w:cs="Times New Roman"/>
          <w:i/>
          <w:sz w:val="24"/>
          <w:szCs w:val="24"/>
        </w:rPr>
        <w:t>a quo’s</w:t>
      </w:r>
      <w:r w:rsidR="008D1855" w:rsidRPr="00B748CC">
        <w:rPr>
          <w:rFonts w:ascii="Times New Roman" w:hAnsi="Times New Roman" w:cs="Times New Roman"/>
          <w:sz w:val="24"/>
          <w:szCs w:val="24"/>
        </w:rPr>
        <w:t xml:space="preserve"> decision that staff bonuses were paid in 2015 and therefore PAYE tax was due and payable in the 2015 tax year.</w:t>
      </w:r>
      <w:r w:rsidR="002A4197" w:rsidRPr="00B748CC">
        <w:rPr>
          <w:rFonts w:ascii="Times New Roman" w:hAnsi="Times New Roman" w:cs="Times New Roman"/>
          <w:sz w:val="24"/>
          <w:szCs w:val="24"/>
        </w:rPr>
        <w:t xml:space="preserve"> The question before the court </w:t>
      </w:r>
      <w:r w:rsidR="002A4197" w:rsidRPr="00B748CC">
        <w:rPr>
          <w:rFonts w:ascii="Times New Roman" w:hAnsi="Times New Roman" w:cs="Times New Roman"/>
          <w:i/>
          <w:sz w:val="24"/>
          <w:szCs w:val="24"/>
        </w:rPr>
        <w:t>a quo</w:t>
      </w:r>
      <w:r w:rsidR="00CC20D2" w:rsidRPr="00B748CC">
        <w:rPr>
          <w:rFonts w:ascii="Times New Roman" w:hAnsi="Times New Roman" w:cs="Times New Roman"/>
          <w:i/>
          <w:sz w:val="24"/>
          <w:szCs w:val="24"/>
        </w:rPr>
        <w:t xml:space="preserve"> </w:t>
      </w:r>
      <w:r w:rsidR="00CC20D2" w:rsidRPr="00B748CC">
        <w:rPr>
          <w:rFonts w:ascii="Times New Roman" w:hAnsi="Times New Roman" w:cs="Times New Roman"/>
          <w:sz w:val="24"/>
          <w:szCs w:val="24"/>
        </w:rPr>
        <w:t>and its determination</w:t>
      </w:r>
      <w:r w:rsidR="002A4197" w:rsidRPr="00B748CC">
        <w:rPr>
          <w:rFonts w:ascii="Times New Roman" w:hAnsi="Times New Roman" w:cs="Times New Roman"/>
          <w:sz w:val="24"/>
          <w:szCs w:val="24"/>
        </w:rPr>
        <w:t xml:space="preserve"> was</w:t>
      </w:r>
      <w:r w:rsidR="00CC20D2" w:rsidRPr="00B748CC">
        <w:rPr>
          <w:rFonts w:ascii="Times New Roman" w:hAnsi="Times New Roman" w:cs="Times New Roman"/>
          <w:sz w:val="24"/>
          <w:szCs w:val="24"/>
        </w:rPr>
        <w:t xml:space="preserve"> on</w:t>
      </w:r>
      <w:r w:rsidR="002A4197" w:rsidRPr="00B748CC">
        <w:rPr>
          <w:rFonts w:ascii="Times New Roman" w:hAnsi="Times New Roman" w:cs="Times New Roman"/>
          <w:sz w:val="24"/>
          <w:szCs w:val="24"/>
        </w:rPr>
        <w:t xml:space="preserve"> when staff bonuses </w:t>
      </w:r>
      <w:r w:rsidR="003A2C2E" w:rsidRPr="00B748CC">
        <w:rPr>
          <w:rFonts w:ascii="Times New Roman" w:hAnsi="Times New Roman" w:cs="Times New Roman"/>
          <w:sz w:val="24"/>
          <w:szCs w:val="24"/>
        </w:rPr>
        <w:t xml:space="preserve">were </w:t>
      </w:r>
      <w:r w:rsidR="002A4197" w:rsidRPr="00B748CC">
        <w:rPr>
          <w:rFonts w:ascii="Times New Roman" w:hAnsi="Times New Roman" w:cs="Times New Roman"/>
          <w:sz w:val="24"/>
          <w:szCs w:val="24"/>
        </w:rPr>
        <w:t>paid to the appellant’s employees.</w:t>
      </w:r>
      <w:r w:rsidR="008D1855" w:rsidRPr="00B748CC">
        <w:rPr>
          <w:rFonts w:ascii="Times New Roman" w:hAnsi="Times New Roman" w:cs="Times New Roman"/>
          <w:sz w:val="24"/>
          <w:szCs w:val="24"/>
        </w:rPr>
        <w:t xml:space="preserve"> That is a finding of fact and cannot be appealed</w:t>
      </w:r>
      <w:r w:rsidR="00B460F9" w:rsidRPr="00B748CC">
        <w:rPr>
          <w:rFonts w:ascii="Times New Roman" w:hAnsi="Times New Roman" w:cs="Times New Roman"/>
          <w:sz w:val="24"/>
          <w:szCs w:val="24"/>
        </w:rPr>
        <w:t xml:space="preserve"> against without leave. At para </w:t>
      </w:r>
      <w:r w:rsidR="008D1855" w:rsidRPr="00B748CC">
        <w:rPr>
          <w:rFonts w:ascii="Times New Roman" w:hAnsi="Times New Roman" w:cs="Times New Roman"/>
          <w:sz w:val="24"/>
          <w:szCs w:val="24"/>
        </w:rPr>
        <w:t xml:space="preserve">27 of its judgment the court </w:t>
      </w:r>
      <w:r w:rsidR="008D1855" w:rsidRPr="00B748CC">
        <w:rPr>
          <w:rFonts w:ascii="Times New Roman" w:hAnsi="Times New Roman" w:cs="Times New Roman"/>
          <w:i/>
          <w:sz w:val="24"/>
          <w:szCs w:val="24"/>
        </w:rPr>
        <w:t xml:space="preserve">a quo </w:t>
      </w:r>
      <w:r w:rsidR="008D1855" w:rsidRPr="00B748CC">
        <w:rPr>
          <w:rFonts w:ascii="Times New Roman" w:hAnsi="Times New Roman" w:cs="Times New Roman"/>
          <w:sz w:val="24"/>
          <w:szCs w:val="24"/>
        </w:rPr>
        <w:t>determined the issue as follows:</w:t>
      </w:r>
    </w:p>
    <w:p w:rsidR="008D1855" w:rsidRPr="00B748CC" w:rsidRDefault="008D1855" w:rsidP="00EC18B2">
      <w:pPr>
        <w:spacing w:after="0" w:line="240" w:lineRule="auto"/>
        <w:ind w:left="567"/>
        <w:jc w:val="both"/>
        <w:rPr>
          <w:rFonts w:ascii="Times New Roman" w:hAnsi="Times New Roman" w:cs="Times New Roman"/>
          <w:sz w:val="24"/>
          <w:szCs w:val="24"/>
        </w:rPr>
      </w:pPr>
      <w:r w:rsidRPr="00B748CC">
        <w:rPr>
          <w:rFonts w:ascii="Times New Roman" w:hAnsi="Times New Roman" w:cs="Times New Roman"/>
          <w:sz w:val="24"/>
          <w:szCs w:val="24"/>
        </w:rPr>
        <w:t xml:space="preserve">“The appellant produced no evidence to show why the sum in question, recorded as an expenditure in its financial statements for the year ended 2015 ought not properly to have </w:t>
      </w:r>
      <w:r w:rsidR="009B7A8A" w:rsidRPr="00B748CC">
        <w:rPr>
          <w:rFonts w:ascii="Times New Roman" w:hAnsi="Times New Roman" w:cs="Times New Roman"/>
          <w:sz w:val="24"/>
          <w:szCs w:val="24"/>
        </w:rPr>
        <w:t>incurred</w:t>
      </w:r>
      <w:r w:rsidRPr="00B748CC">
        <w:rPr>
          <w:rFonts w:ascii="Times New Roman" w:hAnsi="Times New Roman" w:cs="Times New Roman"/>
          <w:sz w:val="24"/>
          <w:szCs w:val="24"/>
        </w:rPr>
        <w:t xml:space="preserve"> PAYE liability during the same year. The indication on the Form P2 that it relates to the tax period March 2016 does not assist the appellant. Nor does the failure by the appellant to produce proof that the bonus payments were actually made in 2016 and the receipt for $98 262 was in respect of bonus awarded in 2015. It would have been a simple matter to have produced reconciliations of salaries paid during the relevant periods but the appellant did not do so. The Commissioner was, in the circumstances, entitled to rely on the appellant’s records as produced to him”.</w:t>
      </w:r>
    </w:p>
    <w:p w:rsidR="00B460F9" w:rsidRPr="00B748CC" w:rsidRDefault="00B460F9" w:rsidP="00EC18B2">
      <w:pPr>
        <w:spacing w:after="0" w:line="240" w:lineRule="auto"/>
        <w:ind w:left="567"/>
        <w:jc w:val="both"/>
        <w:rPr>
          <w:rFonts w:ascii="Times New Roman" w:hAnsi="Times New Roman" w:cs="Times New Roman"/>
          <w:sz w:val="24"/>
          <w:szCs w:val="24"/>
        </w:rPr>
      </w:pPr>
    </w:p>
    <w:p w:rsidR="00B460F9" w:rsidRPr="00B748CC" w:rsidRDefault="00B460F9" w:rsidP="00EC18B2">
      <w:pPr>
        <w:spacing w:after="0" w:line="240" w:lineRule="auto"/>
        <w:ind w:left="567"/>
        <w:jc w:val="both"/>
        <w:rPr>
          <w:rFonts w:ascii="Times New Roman" w:hAnsi="Times New Roman" w:cs="Times New Roman"/>
          <w:sz w:val="24"/>
          <w:szCs w:val="24"/>
        </w:rPr>
      </w:pPr>
    </w:p>
    <w:p w:rsidR="008D1855" w:rsidRPr="00B748CC" w:rsidRDefault="008D1855" w:rsidP="008D1855">
      <w:pPr>
        <w:spacing w:after="0" w:line="276" w:lineRule="auto"/>
        <w:ind w:left="720"/>
        <w:jc w:val="both"/>
        <w:rPr>
          <w:rFonts w:ascii="Times New Roman" w:hAnsi="Times New Roman" w:cs="Times New Roman"/>
          <w:sz w:val="24"/>
          <w:szCs w:val="24"/>
        </w:rPr>
      </w:pPr>
    </w:p>
    <w:p w:rsidR="008D1855" w:rsidRPr="00B748CC" w:rsidRDefault="001E1A22" w:rsidP="000B0D66">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 xml:space="preserve">These are findings of fact made on the basis of records placed before the court </w:t>
      </w:r>
      <w:r w:rsidR="001F40AA">
        <w:rPr>
          <w:rFonts w:ascii="Times New Roman" w:hAnsi="Times New Roman" w:cs="Times New Roman"/>
          <w:i/>
          <w:sz w:val="24"/>
          <w:szCs w:val="24"/>
        </w:rPr>
        <w:t>a </w:t>
      </w:r>
      <w:r w:rsidR="008D1855" w:rsidRPr="00B748CC">
        <w:rPr>
          <w:rFonts w:ascii="Times New Roman" w:hAnsi="Times New Roman" w:cs="Times New Roman"/>
          <w:i/>
          <w:sz w:val="24"/>
          <w:szCs w:val="24"/>
        </w:rPr>
        <w:t>quo</w:t>
      </w:r>
      <w:r w:rsidR="008D1855" w:rsidRPr="00B748CC">
        <w:rPr>
          <w:rFonts w:ascii="Times New Roman" w:hAnsi="Times New Roman" w:cs="Times New Roman"/>
          <w:sz w:val="24"/>
          <w:szCs w:val="24"/>
        </w:rPr>
        <w:t>. This ground of appeal should not have been noted without leave.</w:t>
      </w:r>
    </w:p>
    <w:p w:rsidR="008D1855" w:rsidRPr="00B748CC" w:rsidRDefault="008D1855" w:rsidP="008D1855">
      <w:pPr>
        <w:spacing w:after="0" w:line="480" w:lineRule="auto"/>
        <w:jc w:val="both"/>
        <w:rPr>
          <w:rFonts w:ascii="Times New Roman" w:hAnsi="Times New Roman" w:cs="Times New Roman"/>
          <w:sz w:val="24"/>
          <w:szCs w:val="24"/>
        </w:rPr>
      </w:pPr>
    </w:p>
    <w:p w:rsidR="00437BE0" w:rsidRPr="00B748CC" w:rsidRDefault="001E1A22" w:rsidP="001F40AA">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Ground 4 after the prefix common to grounds 1 to 6 reads:</w:t>
      </w:r>
    </w:p>
    <w:p w:rsidR="005D70F1" w:rsidRPr="00B748CC" w:rsidRDefault="008D1855" w:rsidP="003F6536">
      <w:pPr>
        <w:tabs>
          <w:tab w:val="left" w:pos="1134"/>
        </w:tabs>
        <w:spacing w:after="0" w:line="240" w:lineRule="auto"/>
        <w:ind w:left="567"/>
        <w:jc w:val="both"/>
        <w:rPr>
          <w:rFonts w:ascii="Times New Roman" w:hAnsi="Times New Roman" w:cs="Times New Roman"/>
          <w:sz w:val="24"/>
          <w:szCs w:val="24"/>
        </w:rPr>
      </w:pPr>
      <w:r w:rsidRPr="00B748CC">
        <w:rPr>
          <w:rFonts w:ascii="Times New Roman" w:hAnsi="Times New Roman" w:cs="Times New Roman"/>
          <w:sz w:val="24"/>
          <w:szCs w:val="24"/>
        </w:rPr>
        <w:lastRenderedPageBreak/>
        <w:t>“that the amount of $82 348.34 appearing in the appellant’s trial balance as ‘leave pay expenses’ was properly subject to tax in terms of the Income Tax Act [</w:t>
      </w:r>
      <w:r w:rsidRPr="00B748CC">
        <w:rPr>
          <w:rFonts w:ascii="Times New Roman" w:hAnsi="Times New Roman" w:cs="Times New Roman"/>
          <w:i/>
          <w:sz w:val="24"/>
          <w:szCs w:val="24"/>
        </w:rPr>
        <w:t>Chapter 23:06</w:t>
      </w:r>
      <w:r w:rsidRPr="00B748CC">
        <w:rPr>
          <w:rFonts w:ascii="Times New Roman" w:hAnsi="Times New Roman" w:cs="Times New Roman"/>
          <w:sz w:val="24"/>
          <w:szCs w:val="24"/>
        </w:rPr>
        <w:t>]</w:t>
      </w:r>
      <w:r w:rsidR="005D70F1" w:rsidRPr="00B748CC">
        <w:rPr>
          <w:rFonts w:ascii="Times New Roman" w:hAnsi="Times New Roman" w:cs="Times New Roman"/>
          <w:sz w:val="24"/>
          <w:szCs w:val="24"/>
        </w:rPr>
        <w:t>”</w:t>
      </w:r>
      <w:r w:rsidRPr="00B748CC">
        <w:rPr>
          <w:rFonts w:ascii="Times New Roman" w:hAnsi="Times New Roman" w:cs="Times New Roman"/>
          <w:sz w:val="24"/>
          <w:szCs w:val="24"/>
        </w:rPr>
        <w:t xml:space="preserve">. </w:t>
      </w:r>
    </w:p>
    <w:p w:rsidR="001E1A22" w:rsidRPr="00B748CC" w:rsidRDefault="001E1A22" w:rsidP="003F6536">
      <w:pPr>
        <w:spacing w:after="0" w:line="480" w:lineRule="auto"/>
        <w:jc w:val="both"/>
        <w:rPr>
          <w:rFonts w:ascii="Times New Roman" w:hAnsi="Times New Roman" w:cs="Times New Roman"/>
          <w:sz w:val="24"/>
          <w:szCs w:val="24"/>
        </w:rPr>
      </w:pPr>
    </w:p>
    <w:p w:rsidR="003F6536" w:rsidRPr="00B748CC" w:rsidRDefault="003F6536" w:rsidP="003F6536">
      <w:pPr>
        <w:spacing w:after="0" w:line="240" w:lineRule="auto"/>
        <w:jc w:val="both"/>
        <w:rPr>
          <w:rFonts w:ascii="Times New Roman" w:hAnsi="Times New Roman" w:cs="Times New Roman"/>
          <w:sz w:val="24"/>
          <w:szCs w:val="24"/>
        </w:rPr>
      </w:pPr>
    </w:p>
    <w:p w:rsidR="008D1855" w:rsidRPr="00B748CC" w:rsidRDefault="001E1A22" w:rsidP="001F40AA">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 xml:space="preserve">The </w:t>
      </w:r>
      <w:r w:rsidR="009B7A8A" w:rsidRPr="00B748CC">
        <w:rPr>
          <w:rFonts w:ascii="Times New Roman" w:hAnsi="Times New Roman" w:cs="Times New Roman"/>
          <w:sz w:val="24"/>
          <w:szCs w:val="24"/>
        </w:rPr>
        <w:t xml:space="preserve">attack on the </w:t>
      </w:r>
      <w:r w:rsidR="008D1855" w:rsidRPr="00B748CC">
        <w:rPr>
          <w:rFonts w:ascii="Times New Roman" w:hAnsi="Times New Roman" w:cs="Times New Roman"/>
          <w:sz w:val="24"/>
          <w:szCs w:val="24"/>
        </w:rPr>
        <w:t xml:space="preserve">court </w:t>
      </w:r>
      <w:r w:rsidR="008D1855" w:rsidRPr="00B748CC">
        <w:rPr>
          <w:rFonts w:ascii="Times New Roman" w:hAnsi="Times New Roman" w:cs="Times New Roman"/>
          <w:i/>
          <w:sz w:val="24"/>
          <w:szCs w:val="24"/>
        </w:rPr>
        <w:t>a quo</w:t>
      </w:r>
      <w:r w:rsidR="008D1855" w:rsidRPr="00B748CC">
        <w:rPr>
          <w:rFonts w:ascii="Times New Roman" w:hAnsi="Times New Roman" w:cs="Times New Roman"/>
          <w:sz w:val="24"/>
          <w:szCs w:val="24"/>
        </w:rPr>
        <w:t>’s finding</w:t>
      </w:r>
      <w:r w:rsidR="009B7A8A" w:rsidRPr="00B748CC">
        <w:rPr>
          <w:rFonts w:ascii="Times New Roman" w:hAnsi="Times New Roman" w:cs="Times New Roman"/>
          <w:sz w:val="24"/>
          <w:szCs w:val="24"/>
        </w:rPr>
        <w:t>s</w:t>
      </w:r>
      <w:r w:rsidR="008D1855" w:rsidRPr="00B748CC">
        <w:rPr>
          <w:rFonts w:ascii="Times New Roman" w:hAnsi="Times New Roman" w:cs="Times New Roman"/>
          <w:sz w:val="24"/>
          <w:szCs w:val="24"/>
        </w:rPr>
        <w:t xml:space="preserve"> can at best for the appellant be interpreted as</w:t>
      </w:r>
      <w:r w:rsidR="00264DCD">
        <w:rPr>
          <w:rFonts w:ascii="Times New Roman" w:hAnsi="Times New Roman" w:cs="Times New Roman"/>
          <w:sz w:val="24"/>
          <w:szCs w:val="24"/>
        </w:rPr>
        <w:t xml:space="preserve"> an attack on</w:t>
      </w:r>
      <w:r w:rsidR="008D1855" w:rsidRPr="00B748CC">
        <w:rPr>
          <w:rFonts w:ascii="Times New Roman" w:hAnsi="Times New Roman" w:cs="Times New Roman"/>
          <w:sz w:val="24"/>
          <w:szCs w:val="24"/>
        </w:rPr>
        <w:t xml:space="preserve"> a finding based on facts and the law. It would therefore be a ground based on a mixture of the law and facts.</w:t>
      </w:r>
    </w:p>
    <w:p w:rsidR="001E1A22" w:rsidRPr="00B748CC" w:rsidRDefault="001E1A22" w:rsidP="008D1855">
      <w:pPr>
        <w:spacing w:after="0" w:line="480" w:lineRule="auto"/>
        <w:jc w:val="both"/>
        <w:rPr>
          <w:rFonts w:ascii="Times New Roman" w:hAnsi="Times New Roman" w:cs="Times New Roman"/>
          <w:sz w:val="24"/>
          <w:szCs w:val="24"/>
        </w:rPr>
      </w:pPr>
    </w:p>
    <w:p w:rsidR="008D1855" w:rsidRPr="00B748CC" w:rsidRDefault="001E1A22" w:rsidP="003F6536">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 xml:space="preserve">This is demonstrated by the court </w:t>
      </w:r>
      <w:r w:rsidR="008D1855" w:rsidRPr="00B748CC">
        <w:rPr>
          <w:rFonts w:ascii="Times New Roman" w:hAnsi="Times New Roman" w:cs="Times New Roman"/>
          <w:i/>
          <w:sz w:val="24"/>
          <w:szCs w:val="24"/>
        </w:rPr>
        <w:t>a quo</w:t>
      </w:r>
      <w:r w:rsidR="008D1855" w:rsidRPr="00B748CC">
        <w:rPr>
          <w:rFonts w:ascii="Times New Roman" w:hAnsi="Times New Roman" w:cs="Times New Roman"/>
          <w:sz w:val="24"/>
          <w:szCs w:val="24"/>
        </w:rPr>
        <w:t>’s finding a</w:t>
      </w:r>
      <w:r w:rsidR="005D1176" w:rsidRPr="00B748CC">
        <w:rPr>
          <w:rFonts w:ascii="Times New Roman" w:hAnsi="Times New Roman" w:cs="Times New Roman"/>
          <w:sz w:val="24"/>
          <w:szCs w:val="24"/>
        </w:rPr>
        <w:t>t para 30 of its judgment where</w:t>
      </w:r>
      <w:r w:rsidR="005C112E" w:rsidRPr="00B748CC">
        <w:rPr>
          <w:rFonts w:ascii="Times New Roman" w:hAnsi="Times New Roman" w:cs="Times New Roman"/>
          <w:sz w:val="24"/>
          <w:szCs w:val="24"/>
        </w:rPr>
        <w:t>,</w:t>
      </w:r>
      <w:r w:rsidR="008D1855" w:rsidRPr="00B748CC">
        <w:rPr>
          <w:rFonts w:ascii="Times New Roman" w:hAnsi="Times New Roman" w:cs="Times New Roman"/>
          <w:sz w:val="24"/>
          <w:szCs w:val="24"/>
        </w:rPr>
        <w:t xml:space="preserve"> after referring to case law on similar matters</w:t>
      </w:r>
      <w:r w:rsidR="005C112E" w:rsidRPr="00B748CC">
        <w:rPr>
          <w:rFonts w:ascii="Times New Roman" w:hAnsi="Times New Roman" w:cs="Times New Roman"/>
          <w:sz w:val="24"/>
          <w:szCs w:val="24"/>
        </w:rPr>
        <w:t>,</w:t>
      </w:r>
      <w:r w:rsidR="005D1176" w:rsidRPr="00B748CC">
        <w:rPr>
          <w:rFonts w:ascii="Times New Roman" w:hAnsi="Times New Roman" w:cs="Times New Roman"/>
          <w:sz w:val="24"/>
          <w:szCs w:val="24"/>
        </w:rPr>
        <w:t xml:space="preserve"> it</w:t>
      </w:r>
      <w:r w:rsidR="008D1855" w:rsidRPr="00B748CC">
        <w:rPr>
          <w:rFonts w:ascii="Times New Roman" w:hAnsi="Times New Roman" w:cs="Times New Roman"/>
          <w:sz w:val="24"/>
          <w:szCs w:val="24"/>
        </w:rPr>
        <w:t xml:space="preserve"> said:</w:t>
      </w:r>
    </w:p>
    <w:p w:rsidR="008D1855" w:rsidRPr="00B748CC" w:rsidRDefault="008D1855" w:rsidP="001E1A22">
      <w:pPr>
        <w:spacing w:after="0" w:line="240" w:lineRule="auto"/>
        <w:ind w:left="567"/>
        <w:jc w:val="both"/>
        <w:rPr>
          <w:rFonts w:ascii="Times New Roman" w:hAnsi="Times New Roman" w:cs="Times New Roman"/>
          <w:sz w:val="24"/>
          <w:szCs w:val="24"/>
        </w:rPr>
      </w:pPr>
      <w:r w:rsidRPr="00B748CC">
        <w:rPr>
          <w:rFonts w:ascii="Times New Roman" w:hAnsi="Times New Roman" w:cs="Times New Roman"/>
          <w:sz w:val="24"/>
          <w:szCs w:val="24"/>
        </w:rPr>
        <w:t>“In my view the appellant in the present matter has a similar difficulty. It has not proved that an absolute liability to make payment of the amount in question was incurred in the relevant year of assessment”.</w:t>
      </w:r>
    </w:p>
    <w:p w:rsidR="001E1A22" w:rsidRPr="00B748CC" w:rsidRDefault="001E1A22" w:rsidP="001E1A22">
      <w:pPr>
        <w:spacing w:after="0" w:line="240" w:lineRule="auto"/>
        <w:ind w:left="567"/>
        <w:jc w:val="both"/>
        <w:rPr>
          <w:rFonts w:ascii="Times New Roman" w:hAnsi="Times New Roman" w:cs="Times New Roman"/>
          <w:sz w:val="24"/>
          <w:szCs w:val="24"/>
        </w:rPr>
      </w:pPr>
    </w:p>
    <w:p w:rsidR="001E1A22" w:rsidRPr="00B748CC" w:rsidRDefault="001E1A22" w:rsidP="001E1A22">
      <w:pPr>
        <w:spacing w:after="0" w:line="240" w:lineRule="auto"/>
        <w:ind w:left="567"/>
        <w:jc w:val="both"/>
        <w:rPr>
          <w:rFonts w:ascii="Times New Roman" w:hAnsi="Times New Roman" w:cs="Times New Roman"/>
          <w:sz w:val="24"/>
          <w:szCs w:val="24"/>
        </w:rPr>
      </w:pPr>
    </w:p>
    <w:p w:rsidR="008D1855" w:rsidRPr="00B748CC" w:rsidRDefault="008D1855" w:rsidP="008D1855">
      <w:pPr>
        <w:spacing w:after="0" w:line="276" w:lineRule="auto"/>
        <w:ind w:left="720"/>
        <w:jc w:val="both"/>
        <w:rPr>
          <w:rFonts w:ascii="Times New Roman" w:hAnsi="Times New Roman" w:cs="Times New Roman"/>
          <w:sz w:val="24"/>
          <w:szCs w:val="24"/>
        </w:rPr>
      </w:pPr>
    </w:p>
    <w:p w:rsidR="008D1855" w:rsidRPr="00B748CC" w:rsidRDefault="001E1A22" w:rsidP="001F40AA">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This simply means the appellant failed to lead evidence to trigger the operation of law. An appeal against a finding based on a mixture of facts and the law can</w:t>
      </w:r>
      <w:r w:rsidR="00346369" w:rsidRPr="00B748CC">
        <w:rPr>
          <w:rFonts w:ascii="Times New Roman" w:hAnsi="Times New Roman" w:cs="Times New Roman"/>
          <w:sz w:val="24"/>
          <w:szCs w:val="24"/>
        </w:rPr>
        <w:t>,</w:t>
      </w:r>
      <w:r w:rsidR="001F40AA">
        <w:rPr>
          <w:rFonts w:ascii="Times New Roman" w:hAnsi="Times New Roman" w:cs="Times New Roman"/>
          <w:sz w:val="24"/>
          <w:szCs w:val="24"/>
        </w:rPr>
        <w:t xml:space="preserve"> in terms of s 66 </w:t>
      </w:r>
      <w:r w:rsidR="008D1855" w:rsidRPr="00B748CC">
        <w:rPr>
          <w:rFonts w:ascii="Times New Roman" w:hAnsi="Times New Roman" w:cs="Times New Roman"/>
          <w:sz w:val="24"/>
          <w:szCs w:val="24"/>
        </w:rPr>
        <w:t>(1) (b) of the Income Tax Act, only be noted with leave. This ground of appeal should also not have been noted without leave.</w:t>
      </w:r>
    </w:p>
    <w:p w:rsidR="008D1855" w:rsidRPr="00B748CC" w:rsidRDefault="008D1855" w:rsidP="008D1855">
      <w:pPr>
        <w:spacing w:after="0" w:line="480" w:lineRule="auto"/>
        <w:jc w:val="both"/>
        <w:rPr>
          <w:rFonts w:ascii="Times New Roman" w:hAnsi="Times New Roman" w:cs="Times New Roman"/>
          <w:sz w:val="24"/>
          <w:szCs w:val="24"/>
        </w:rPr>
      </w:pPr>
    </w:p>
    <w:p w:rsidR="005D70F1" w:rsidRPr="00B748CC" w:rsidRDefault="001E1A22" w:rsidP="00A217FF">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Ground 5 goes on to state, “the amount of $604 050.00 was of an income nature and thus properly subject to PAYE for the 2015 tax year in terms of the Income Tax Act [</w:t>
      </w:r>
      <w:r w:rsidRPr="00B748CC">
        <w:rPr>
          <w:rFonts w:ascii="Times New Roman" w:hAnsi="Times New Roman" w:cs="Times New Roman"/>
          <w:i/>
          <w:sz w:val="24"/>
          <w:szCs w:val="24"/>
        </w:rPr>
        <w:t>Chapter </w:t>
      </w:r>
      <w:r w:rsidR="008D1855" w:rsidRPr="00B748CC">
        <w:rPr>
          <w:rFonts w:ascii="Times New Roman" w:hAnsi="Times New Roman" w:cs="Times New Roman"/>
          <w:i/>
          <w:sz w:val="24"/>
          <w:szCs w:val="24"/>
        </w:rPr>
        <w:t>23:06</w:t>
      </w:r>
      <w:r w:rsidR="008D1855" w:rsidRPr="00B748CC">
        <w:rPr>
          <w:rFonts w:ascii="Times New Roman" w:hAnsi="Times New Roman" w:cs="Times New Roman"/>
          <w:sz w:val="24"/>
          <w:szCs w:val="24"/>
        </w:rPr>
        <w:t>].</w:t>
      </w:r>
      <w:r w:rsidR="005D70F1" w:rsidRPr="00B748CC">
        <w:rPr>
          <w:rFonts w:ascii="Times New Roman" w:hAnsi="Times New Roman" w:cs="Times New Roman"/>
          <w:sz w:val="24"/>
          <w:szCs w:val="24"/>
        </w:rPr>
        <w:t>”</w:t>
      </w:r>
      <w:r w:rsidR="008D1855" w:rsidRPr="00B748CC">
        <w:rPr>
          <w:rFonts w:ascii="Times New Roman" w:hAnsi="Times New Roman" w:cs="Times New Roman"/>
          <w:sz w:val="24"/>
          <w:szCs w:val="24"/>
        </w:rPr>
        <w:t xml:space="preserve"> </w:t>
      </w:r>
    </w:p>
    <w:p w:rsidR="005D70F1" w:rsidRPr="00B748CC" w:rsidRDefault="005D70F1" w:rsidP="008D1855">
      <w:pPr>
        <w:spacing w:after="0" w:line="480" w:lineRule="auto"/>
        <w:jc w:val="both"/>
        <w:rPr>
          <w:rFonts w:ascii="Times New Roman" w:hAnsi="Times New Roman" w:cs="Times New Roman"/>
          <w:sz w:val="24"/>
          <w:szCs w:val="24"/>
        </w:rPr>
      </w:pPr>
    </w:p>
    <w:p w:rsidR="008D1855" w:rsidRPr="00B748CC" w:rsidRDefault="001E1A22" w:rsidP="001E1A22">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 xml:space="preserve">A finding of whether or not a particular amount is of an income nature is a finding of fact. This is confirmed by the court </w:t>
      </w:r>
      <w:r w:rsidR="008D1855" w:rsidRPr="00B748CC">
        <w:rPr>
          <w:rFonts w:ascii="Times New Roman" w:hAnsi="Times New Roman" w:cs="Times New Roman"/>
          <w:i/>
          <w:sz w:val="24"/>
          <w:szCs w:val="24"/>
        </w:rPr>
        <w:t>a quo</w:t>
      </w:r>
      <w:r w:rsidR="008D1855" w:rsidRPr="00B748CC">
        <w:rPr>
          <w:rFonts w:ascii="Times New Roman" w:hAnsi="Times New Roman" w:cs="Times New Roman"/>
          <w:sz w:val="24"/>
          <w:szCs w:val="24"/>
        </w:rPr>
        <w:t>’s finding at para 34 of its judgment where it said:</w:t>
      </w:r>
    </w:p>
    <w:p w:rsidR="008D1855" w:rsidRPr="00B748CC" w:rsidRDefault="008D1855" w:rsidP="001E1A22">
      <w:pPr>
        <w:spacing w:after="0" w:line="240" w:lineRule="auto"/>
        <w:ind w:left="567"/>
        <w:jc w:val="both"/>
        <w:rPr>
          <w:rFonts w:ascii="Times New Roman" w:hAnsi="Times New Roman" w:cs="Times New Roman"/>
          <w:sz w:val="24"/>
          <w:szCs w:val="24"/>
        </w:rPr>
      </w:pPr>
      <w:r w:rsidRPr="00B748CC">
        <w:rPr>
          <w:rFonts w:ascii="Times New Roman" w:hAnsi="Times New Roman" w:cs="Times New Roman"/>
          <w:sz w:val="24"/>
          <w:szCs w:val="24"/>
        </w:rPr>
        <w:t>“In my judgment the appellant has not proved that the amount in question was a loan. Not only do the figures not add up, but no evidence of the date and terms of the loan, was produced to the Commissioner or to this Court. In the premises, I am unable to find that the decision of the Commissioner was wrong. The issue is decided against the appellant.”</w:t>
      </w:r>
    </w:p>
    <w:p w:rsidR="00843120" w:rsidRPr="00B748CC" w:rsidRDefault="00843120" w:rsidP="00843120">
      <w:pPr>
        <w:tabs>
          <w:tab w:val="left" w:pos="567"/>
        </w:tabs>
        <w:spacing w:after="0" w:line="240" w:lineRule="auto"/>
        <w:jc w:val="both"/>
        <w:rPr>
          <w:rFonts w:ascii="Times New Roman" w:hAnsi="Times New Roman" w:cs="Times New Roman"/>
          <w:sz w:val="24"/>
          <w:szCs w:val="24"/>
        </w:rPr>
      </w:pPr>
    </w:p>
    <w:p w:rsidR="008D1855" w:rsidRPr="00B748CC" w:rsidRDefault="001E1A22" w:rsidP="00196694">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lastRenderedPageBreak/>
        <w:tab/>
      </w:r>
      <w:r w:rsidR="008D1855" w:rsidRPr="00B748CC">
        <w:rPr>
          <w:rFonts w:ascii="Times New Roman" w:hAnsi="Times New Roman" w:cs="Times New Roman"/>
          <w:sz w:val="24"/>
          <w:szCs w:val="24"/>
        </w:rPr>
        <w:t xml:space="preserve">The court </w:t>
      </w:r>
      <w:r w:rsidR="008D1855" w:rsidRPr="00B748CC">
        <w:rPr>
          <w:rFonts w:ascii="Times New Roman" w:hAnsi="Times New Roman" w:cs="Times New Roman"/>
          <w:i/>
          <w:sz w:val="24"/>
          <w:szCs w:val="24"/>
        </w:rPr>
        <w:t>a quo</w:t>
      </w:r>
      <w:r w:rsidR="008D1855" w:rsidRPr="00B748CC">
        <w:rPr>
          <w:rFonts w:ascii="Times New Roman" w:hAnsi="Times New Roman" w:cs="Times New Roman"/>
          <w:sz w:val="24"/>
          <w:szCs w:val="24"/>
        </w:rPr>
        <w:t xml:space="preserve"> found that the appellant had not proved that the amount in question was a loan and</w:t>
      </w:r>
      <w:r w:rsidR="009E1C9B">
        <w:rPr>
          <w:rFonts w:ascii="Times New Roman" w:hAnsi="Times New Roman" w:cs="Times New Roman"/>
          <w:sz w:val="24"/>
          <w:szCs w:val="24"/>
        </w:rPr>
        <w:t xml:space="preserve"> also found</w:t>
      </w:r>
      <w:r w:rsidR="008D1855" w:rsidRPr="00B748CC">
        <w:rPr>
          <w:rFonts w:ascii="Times New Roman" w:hAnsi="Times New Roman" w:cs="Times New Roman"/>
          <w:sz w:val="24"/>
          <w:szCs w:val="24"/>
        </w:rPr>
        <w:t xml:space="preserve"> that the figures presented before it did not add up. These are findings of fact. Ground 5 should not have been noted without leave.</w:t>
      </w:r>
    </w:p>
    <w:p w:rsidR="008D1855" w:rsidRPr="00B748CC" w:rsidRDefault="008D1855" w:rsidP="008D1855">
      <w:pPr>
        <w:spacing w:after="0" w:line="480" w:lineRule="auto"/>
        <w:jc w:val="both"/>
        <w:rPr>
          <w:rFonts w:ascii="Times New Roman" w:hAnsi="Times New Roman" w:cs="Times New Roman"/>
          <w:sz w:val="24"/>
          <w:szCs w:val="24"/>
        </w:rPr>
      </w:pPr>
    </w:p>
    <w:p w:rsidR="005D70F1" w:rsidRPr="00B748CC" w:rsidRDefault="001E1A22" w:rsidP="001E1A22">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Ground 6</w:t>
      </w:r>
      <w:r w:rsidR="00EA05B1" w:rsidRPr="00B748CC">
        <w:rPr>
          <w:rFonts w:ascii="Times New Roman" w:hAnsi="Times New Roman" w:cs="Times New Roman"/>
          <w:sz w:val="24"/>
          <w:szCs w:val="24"/>
        </w:rPr>
        <w:t>,</w:t>
      </w:r>
      <w:r w:rsidR="008D1855" w:rsidRPr="00B748CC">
        <w:rPr>
          <w:rFonts w:ascii="Times New Roman" w:hAnsi="Times New Roman" w:cs="Times New Roman"/>
          <w:sz w:val="24"/>
          <w:szCs w:val="24"/>
        </w:rPr>
        <w:t xml:space="preserve"> after the common prefix alleges th</w:t>
      </w:r>
      <w:r w:rsidR="00196694">
        <w:rPr>
          <w:rFonts w:ascii="Times New Roman" w:hAnsi="Times New Roman" w:cs="Times New Roman"/>
          <w:sz w:val="24"/>
          <w:szCs w:val="24"/>
        </w:rPr>
        <w:t>at “the amounts totalling $741 </w:t>
      </w:r>
      <w:r w:rsidR="008D1855" w:rsidRPr="00B748CC">
        <w:rPr>
          <w:rFonts w:ascii="Times New Roman" w:hAnsi="Times New Roman" w:cs="Times New Roman"/>
          <w:sz w:val="24"/>
          <w:szCs w:val="24"/>
        </w:rPr>
        <w:t>392.00, paid to employees were remuneration in the hands of the appellant’s employees and thus subject to income tax in terms of s 46 of the Income Tax Act [</w:t>
      </w:r>
      <w:r w:rsidR="008D1855" w:rsidRPr="00B748CC">
        <w:rPr>
          <w:rFonts w:ascii="Times New Roman" w:hAnsi="Times New Roman" w:cs="Times New Roman"/>
          <w:i/>
          <w:sz w:val="24"/>
          <w:szCs w:val="24"/>
        </w:rPr>
        <w:t>Chapter 23:06</w:t>
      </w:r>
      <w:r w:rsidR="008D1855" w:rsidRPr="00B748CC">
        <w:rPr>
          <w:rFonts w:ascii="Times New Roman" w:hAnsi="Times New Roman" w:cs="Times New Roman"/>
          <w:sz w:val="24"/>
          <w:szCs w:val="24"/>
        </w:rPr>
        <w:t xml:space="preserve">]”. </w:t>
      </w:r>
    </w:p>
    <w:p w:rsidR="005D70F1" w:rsidRPr="00B748CC" w:rsidRDefault="005D70F1" w:rsidP="008D1855">
      <w:pPr>
        <w:spacing w:after="0" w:line="480" w:lineRule="auto"/>
        <w:jc w:val="both"/>
        <w:rPr>
          <w:rFonts w:ascii="Times New Roman" w:hAnsi="Times New Roman" w:cs="Times New Roman"/>
          <w:sz w:val="24"/>
          <w:szCs w:val="24"/>
        </w:rPr>
      </w:pPr>
    </w:p>
    <w:p w:rsidR="008D1855" w:rsidRPr="00B748CC" w:rsidRDefault="001E1A22" w:rsidP="00196694">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The challenge is on whether or not the amounts paid to employees were remuneration in the hands of the appellant’s employees, which finding determines whether or not it is subject to income tax in terms of s 46 of the Income Tax Act. This</w:t>
      </w:r>
      <w:r w:rsidR="00702CB0">
        <w:rPr>
          <w:rFonts w:ascii="Times New Roman" w:hAnsi="Times New Roman" w:cs="Times New Roman"/>
          <w:sz w:val="24"/>
          <w:szCs w:val="24"/>
        </w:rPr>
        <w:t>,</w:t>
      </w:r>
      <w:r w:rsidR="008D1855" w:rsidRPr="00B748CC">
        <w:rPr>
          <w:rFonts w:ascii="Times New Roman" w:hAnsi="Times New Roman" w:cs="Times New Roman"/>
          <w:sz w:val="24"/>
          <w:szCs w:val="24"/>
        </w:rPr>
        <w:t xml:space="preserve"> in my view</w:t>
      </w:r>
      <w:r w:rsidR="00702CB0">
        <w:rPr>
          <w:rFonts w:ascii="Times New Roman" w:hAnsi="Times New Roman" w:cs="Times New Roman"/>
          <w:sz w:val="24"/>
          <w:szCs w:val="24"/>
        </w:rPr>
        <w:t>,</w:t>
      </w:r>
      <w:r w:rsidR="008D1855" w:rsidRPr="00B748CC">
        <w:rPr>
          <w:rFonts w:ascii="Times New Roman" w:hAnsi="Times New Roman" w:cs="Times New Roman"/>
          <w:sz w:val="24"/>
          <w:szCs w:val="24"/>
        </w:rPr>
        <w:t xml:space="preserve"> is a finding of fact which triggers the operation of the law. In determining this issue the court </w:t>
      </w:r>
      <w:r w:rsidR="000B0D66" w:rsidRPr="00B748CC">
        <w:rPr>
          <w:rFonts w:ascii="Times New Roman" w:hAnsi="Times New Roman" w:cs="Times New Roman"/>
          <w:i/>
          <w:sz w:val="24"/>
          <w:szCs w:val="24"/>
        </w:rPr>
        <w:t>a </w:t>
      </w:r>
      <w:r w:rsidR="008D1855" w:rsidRPr="00B748CC">
        <w:rPr>
          <w:rFonts w:ascii="Times New Roman" w:hAnsi="Times New Roman" w:cs="Times New Roman"/>
          <w:i/>
          <w:sz w:val="24"/>
          <w:szCs w:val="24"/>
        </w:rPr>
        <w:t>quo</w:t>
      </w:r>
      <w:r w:rsidR="008D1855" w:rsidRPr="00B748CC">
        <w:rPr>
          <w:rFonts w:ascii="Times New Roman" w:hAnsi="Times New Roman" w:cs="Times New Roman"/>
          <w:sz w:val="24"/>
          <w:szCs w:val="24"/>
        </w:rPr>
        <w:t xml:space="preserve"> at para</w:t>
      </w:r>
      <w:r w:rsidR="005D70F1" w:rsidRPr="00B748CC">
        <w:rPr>
          <w:rFonts w:ascii="Times New Roman" w:hAnsi="Times New Roman" w:cs="Times New Roman"/>
          <w:sz w:val="24"/>
          <w:szCs w:val="24"/>
        </w:rPr>
        <w:t xml:space="preserve"> </w:t>
      </w:r>
      <w:r w:rsidR="008D1855" w:rsidRPr="00B748CC">
        <w:rPr>
          <w:rFonts w:ascii="Times New Roman" w:hAnsi="Times New Roman" w:cs="Times New Roman"/>
          <w:sz w:val="24"/>
          <w:szCs w:val="24"/>
        </w:rPr>
        <w:t>36 of its judgment said:</w:t>
      </w:r>
    </w:p>
    <w:p w:rsidR="008D1855" w:rsidRPr="00B748CC" w:rsidRDefault="008D1855" w:rsidP="001E1A22">
      <w:pPr>
        <w:spacing w:after="0" w:line="240" w:lineRule="auto"/>
        <w:ind w:left="567"/>
        <w:jc w:val="both"/>
        <w:rPr>
          <w:rFonts w:ascii="Times New Roman" w:hAnsi="Times New Roman" w:cs="Times New Roman"/>
          <w:sz w:val="24"/>
          <w:szCs w:val="24"/>
        </w:rPr>
      </w:pPr>
      <w:r w:rsidRPr="00B748CC">
        <w:rPr>
          <w:rFonts w:ascii="Times New Roman" w:hAnsi="Times New Roman" w:cs="Times New Roman"/>
          <w:sz w:val="24"/>
          <w:szCs w:val="24"/>
        </w:rPr>
        <w:t xml:space="preserve">“It is trite that the appellant bears the burden of proving the said amount was wrongly taxed. In my view this burden has not been discharged. No documentation was produced by the appellant proving the loans or the fact of their alleged repayment by the employees in question. In the absence of any evidence to the contrary, I must agree with Mr </w:t>
      </w:r>
      <w:proofErr w:type="spellStart"/>
      <w:r w:rsidRPr="000E12CB">
        <w:rPr>
          <w:rFonts w:ascii="Times New Roman" w:hAnsi="Times New Roman" w:cs="Times New Roman"/>
          <w:i/>
          <w:sz w:val="24"/>
          <w:szCs w:val="24"/>
        </w:rPr>
        <w:t>Bhebhe</w:t>
      </w:r>
      <w:proofErr w:type="spellEnd"/>
      <w:r w:rsidRPr="00B748CC">
        <w:rPr>
          <w:rFonts w:ascii="Times New Roman" w:hAnsi="Times New Roman" w:cs="Times New Roman"/>
          <w:sz w:val="24"/>
          <w:szCs w:val="24"/>
        </w:rPr>
        <w:t xml:space="preserve"> that the decision of the Commissioner to take the said payments as remuneration which is subject to taxation in accordance with s 8 (1) (b) of the Act, cannot be impugned. This issue is decided against the appellant.”</w:t>
      </w:r>
    </w:p>
    <w:p w:rsidR="001E1A22" w:rsidRPr="00B748CC" w:rsidRDefault="001E1A22" w:rsidP="001E1A22">
      <w:pPr>
        <w:spacing w:after="0" w:line="240" w:lineRule="auto"/>
        <w:ind w:left="567"/>
        <w:jc w:val="both"/>
        <w:rPr>
          <w:rFonts w:ascii="Times New Roman" w:hAnsi="Times New Roman" w:cs="Times New Roman"/>
          <w:sz w:val="24"/>
          <w:szCs w:val="24"/>
        </w:rPr>
      </w:pPr>
    </w:p>
    <w:p w:rsidR="001E1A22" w:rsidRPr="00B748CC" w:rsidRDefault="001E1A22" w:rsidP="001E1A22">
      <w:pPr>
        <w:spacing w:after="0" w:line="240" w:lineRule="auto"/>
        <w:ind w:left="567"/>
        <w:jc w:val="both"/>
        <w:rPr>
          <w:rFonts w:ascii="Times New Roman" w:hAnsi="Times New Roman" w:cs="Times New Roman"/>
          <w:sz w:val="24"/>
          <w:szCs w:val="24"/>
        </w:rPr>
      </w:pPr>
    </w:p>
    <w:p w:rsidR="008D1855" w:rsidRPr="00B748CC" w:rsidRDefault="001E1A22" w:rsidP="001E1A22">
      <w:pPr>
        <w:tabs>
          <w:tab w:val="left" w:pos="1134"/>
        </w:tabs>
        <w:spacing w:after="0" w:line="276" w:lineRule="auto"/>
        <w:ind w:left="720"/>
        <w:jc w:val="both"/>
        <w:rPr>
          <w:rFonts w:ascii="Times New Roman" w:hAnsi="Times New Roman" w:cs="Times New Roman"/>
          <w:sz w:val="24"/>
          <w:szCs w:val="24"/>
        </w:rPr>
      </w:pPr>
      <w:r w:rsidRPr="00B748CC">
        <w:rPr>
          <w:rFonts w:ascii="Times New Roman" w:hAnsi="Times New Roman" w:cs="Times New Roman"/>
          <w:sz w:val="24"/>
          <w:szCs w:val="24"/>
        </w:rPr>
        <w:tab/>
      </w:r>
    </w:p>
    <w:p w:rsidR="008D1855" w:rsidRPr="00B748CC" w:rsidRDefault="001E1A22" w:rsidP="00196694">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These are findings of fact which disentitle the appellant from noting ground 6 without the leave of court.</w:t>
      </w:r>
    </w:p>
    <w:p w:rsidR="008D1855" w:rsidRPr="00B748CC" w:rsidRDefault="008D1855" w:rsidP="008D1855">
      <w:pPr>
        <w:spacing w:after="0" w:line="480" w:lineRule="auto"/>
        <w:jc w:val="both"/>
        <w:rPr>
          <w:rFonts w:ascii="Times New Roman" w:hAnsi="Times New Roman" w:cs="Times New Roman"/>
          <w:sz w:val="24"/>
          <w:szCs w:val="24"/>
        </w:rPr>
      </w:pPr>
    </w:p>
    <w:p w:rsidR="008D1855" w:rsidRPr="00B748CC" w:rsidRDefault="001E1A22" w:rsidP="00196694">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 xml:space="preserve">Ground 7 reads: “The court </w:t>
      </w:r>
      <w:r w:rsidR="008D1855" w:rsidRPr="00B748CC">
        <w:rPr>
          <w:rFonts w:ascii="Times New Roman" w:hAnsi="Times New Roman" w:cs="Times New Roman"/>
          <w:i/>
          <w:sz w:val="24"/>
          <w:szCs w:val="24"/>
        </w:rPr>
        <w:t>a quo</w:t>
      </w:r>
      <w:r w:rsidR="008D1855" w:rsidRPr="00B748CC">
        <w:rPr>
          <w:rFonts w:ascii="Times New Roman" w:hAnsi="Times New Roman" w:cs="Times New Roman"/>
          <w:sz w:val="24"/>
          <w:szCs w:val="24"/>
        </w:rPr>
        <w:t xml:space="preserve"> erred at law in finding that the penalty imposed by the respondent was appropriate.”</w:t>
      </w:r>
      <w:r w:rsidR="000B0D66" w:rsidRPr="00B748CC">
        <w:rPr>
          <w:rFonts w:ascii="Times New Roman" w:hAnsi="Times New Roman" w:cs="Times New Roman"/>
          <w:sz w:val="24"/>
          <w:szCs w:val="24"/>
        </w:rPr>
        <w:t xml:space="preserve">  </w:t>
      </w:r>
      <w:r w:rsidR="008D1855" w:rsidRPr="00B748CC">
        <w:rPr>
          <w:rFonts w:ascii="Times New Roman" w:hAnsi="Times New Roman" w:cs="Times New Roman"/>
          <w:sz w:val="24"/>
          <w:szCs w:val="24"/>
        </w:rPr>
        <w:t>This ground of appeal is against the imposi</w:t>
      </w:r>
      <w:r w:rsidR="009B7A8A" w:rsidRPr="00B748CC">
        <w:rPr>
          <w:rFonts w:ascii="Times New Roman" w:hAnsi="Times New Roman" w:cs="Times New Roman"/>
          <w:sz w:val="24"/>
          <w:szCs w:val="24"/>
        </w:rPr>
        <w:t>tion</w:t>
      </w:r>
      <w:r w:rsidR="008D1855" w:rsidRPr="00B748CC">
        <w:rPr>
          <w:rFonts w:ascii="Times New Roman" w:hAnsi="Times New Roman" w:cs="Times New Roman"/>
          <w:sz w:val="24"/>
          <w:szCs w:val="24"/>
        </w:rPr>
        <w:t xml:space="preserve"> of a penalty. Penalties by their nature are influenced by findings of fact which make them appropriate or inappropriate. Therefore a finding that a penalty is appropriate is a finding of </w:t>
      </w:r>
      <w:r w:rsidR="008D1855" w:rsidRPr="00B748CC">
        <w:rPr>
          <w:rFonts w:ascii="Times New Roman" w:hAnsi="Times New Roman" w:cs="Times New Roman"/>
          <w:sz w:val="24"/>
          <w:szCs w:val="24"/>
        </w:rPr>
        <w:lastRenderedPageBreak/>
        <w:t>fact.</w:t>
      </w:r>
      <w:r w:rsidR="000B0D66" w:rsidRPr="00B748CC">
        <w:rPr>
          <w:rFonts w:ascii="Times New Roman" w:hAnsi="Times New Roman" w:cs="Times New Roman"/>
          <w:sz w:val="24"/>
          <w:szCs w:val="24"/>
        </w:rPr>
        <w:t xml:space="preserve">  </w:t>
      </w:r>
      <w:r w:rsidR="008D1855" w:rsidRPr="00B748CC">
        <w:rPr>
          <w:rFonts w:ascii="Times New Roman" w:hAnsi="Times New Roman" w:cs="Times New Roman"/>
          <w:sz w:val="24"/>
          <w:szCs w:val="24"/>
        </w:rPr>
        <w:t xml:space="preserve">The court </w:t>
      </w:r>
      <w:r w:rsidR="008D1855" w:rsidRPr="00B748CC">
        <w:rPr>
          <w:rFonts w:ascii="Times New Roman" w:hAnsi="Times New Roman" w:cs="Times New Roman"/>
          <w:i/>
          <w:sz w:val="24"/>
          <w:szCs w:val="24"/>
        </w:rPr>
        <w:t>a quo</w:t>
      </w:r>
      <w:r w:rsidR="008D1855" w:rsidRPr="00B748CC">
        <w:rPr>
          <w:rFonts w:ascii="Times New Roman" w:hAnsi="Times New Roman" w:cs="Times New Roman"/>
          <w:sz w:val="24"/>
          <w:szCs w:val="24"/>
        </w:rPr>
        <w:t xml:space="preserve"> determined the appropriateness of the penalty at para 38 of its judgment where it said:</w:t>
      </w:r>
    </w:p>
    <w:p w:rsidR="008D1855" w:rsidRPr="00B748CC" w:rsidRDefault="008D1855" w:rsidP="003F6536">
      <w:pPr>
        <w:spacing w:after="0" w:line="240" w:lineRule="auto"/>
        <w:ind w:left="567"/>
        <w:jc w:val="both"/>
        <w:rPr>
          <w:rFonts w:ascii="Times New Roman" w:hAnsi="Times New Roman" w:cs="Times New Roman"/>
          <w:sz w:val="24"/>
          <w:szCs w:val="24"/>
        </w:rPr>
      </w:pPr>
      <w:r w:rsidRPr="00B748CC">
        <w:rPr>
          <w:rFonts w:ascii="Times New Roman" w:hAnsi="Times New Roman" w:cs="Times New Roman"/>
          <w:b/>
          <w:sz w:val="24"/>
          <w:szCs w:val="24"/>
        </w:rPr>
        <w:t>“It goes without saying that the degree of culpability will depend on the particular facts of each case.</w:t>
      </w:r>
      <w:r w:rsidRPr="00B748CC">
        <w:rPr>
          <w:rFonts w:ascii="Times New Roman" w:hAnsi="Times New Roman" w:cs="Times New Roman"/>
          <w:sz w:val="24"/>
          <w:szCs w:val="24"/>
        </w:rPr>
        <w:t xml:space="preserve"> In this case, the Commissioner exercised his discretion and imposed a 75% penalty. While this Court is not bound by the exercise of the Commissioner’s discretion, the appellant has advanced no valid reason and I find none why this court should interfere with what I consider to be a proper exercise of his discretion by the Commissioner.” (</w:t>
      </w:r>
      <w:r w:rsidR="00FE1CAE" w:rsidRPr="00B748CC">
        <w:rPr>
          <w:rFonts w:ascii="Times New Roman" w:hAnsi="Times New Roman" w:cs="Times New Roman"/>
          <w:sz w:val="24"/>
          <w:szCs w:val="24"/>
        </w:rPr>
        <w:t>Emphasis</w:t>
      </w:r>
      <w:r w:rsidRPr="00B748CC">
        <w:rPr>
          <w:rFonts w:ascii="Times New Roman" w:hAnsi="Times New Roman" w:cs="Times New Roman"/>
          <w:sz w:val="24"/>
          <w:szCs w:val="24"/>
        </w:rPr>
        <w:t xml:space="preserve"> added)</w:t>
      </w:r>
    </w:p>
    <w:p w:rsidR="003F6536" w:rsidRPr="00B748CC" w:rsidRDefault="003F6536" w:rsidP="00843120">
      <w:pPr>
        <w:spacing w:after="0" w:line="240" w:lineRule="auto"/>
        <w:jc w:val="both"/>
        <w:rPr>
          <w:rFonts w:ascii="Times New Roman" w:hAnsi="Times New Roman" w:cs="Times New Roman"/>
          <w:sz w:val="24"/>
          <w:szCs w:val="24"/>
        </w:rPr>
      </w:pPr>
    </w:p>
    <w:p w:rsidR="003F6536" w:rsidRPr="00B748CC" w:rsidRDefault="003F6536" w:rsidP="003F6536">
      <w:pPr>
        <w:spacing w:after="0" w:line="480" w:lineRule="auto"/>
        <w:jc w:val="both"/>
        <w:rPr>
          <w:rFonts w:ascii="Times New Roman" w:hAnsi="Times New Roman" w:cs="Times New Roman"/>
          <w:sz w:val="24"/>
          <w:szCs w:val="24"/>
        </w:rPr>
      </w:pPr>
    </w:p>
    <w:p w:rsidR="008D1855" w:rsidRPr="00B748CC" w:rsidRDefault="001E1A22" w:rsidP="00196694">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 xml:space="preserve">It is beyond doubt that the degree of culpability and the severity of a penalty is determined on the basis of the facts found proved. The court </w:t>
      </w:r>
      <w:r w:rsidR="008D1855" w:rsidRPr="00B748CC">
        <w:rPr>
          <w:rFonts w:ascii="Times New Roman" w:hAnsi="Times New Roman" w:cs="Times New Roman"/>
          <w:i/>
          <w:sz w:val="24"/>
          <w:szCs w:val="24"/>
        </w:rPr>
        <w:t>a quo</w:t>
      </w:r>
      <w:r w:rsidR="008D1855" w:rsidRPr="00B748CC">
        <w:rPr>
          <w:rFonts w:ascii="Times New Roman" w:hAnsi="Times New Roman" w:cs="Times New Roman"/>
          <w:sz w:val="24"/>
          <w:szCs w:val="24"/>
        </w:rPr>
        <w:t xml:space="preserve"> agreed with the facts relied upon by the Commissioner and upheld the penalty purely on a factual basis. Ground 7 should therefore not have been noted without leave.</w:t>
      </w:r>
    </w:p>
    <w:p w:rsidR="008D1855" w:rsidRPr="00B748CC" w:rsidRDefault="008D1855" w:rsidP="008D1855">
      <w:pPr>
        <w:spacing w:after="0" w:line="480" w:lineRule="auto"/>
        <w:jc w:val="both"/>
        <w:rPr>
          <w:rFonts w:ascii="Times New Roman" w:hAnsi="Times New Roman" w:cs="Times New Roman"/>
          <w:sz w:val="24"/>
          <w:szCs w:val="24"/>
        </w:rPr>
      </w:pPr>
    </w:p>
    <w:p w:rsidR="008D1855" w:rsidRPr="00B748CC" w:rsidRDefault="001E1A22" w:rsidP="001E1A22">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 xml:space="preserve">It is apparent that the appellant’s grounds of appeal attack the court </w:t>
      </w:r>
      <w:r w:rsidR="008D1855" w:rsidRPr="00B748CC">
        <w:rPr>
          <w:rFonts w:ascii="Times New Roman" w:hAnsi="Times New Roman" w:cs="Times New Roman"/>
          <w:i/>
          <w:sz w:val="24"/>
          <w:szCs w:val="24"/>
        </w:rPr>
        <w:t>a quo</w:t>
      </w:r>
      <w:r w:rsidR="008D1855" w:rsidRPr="00B748CC">
        <w:rPr>
          <w:rFonts w:ascii="Times New Roman" w:hAnsi="Times New Roman" w:cs="Times New Roman"/>
          <w:sz w:val="24"/>
          <w:szCs w:val="24"/>
        </w:rPr>
        <w:t>’s findings of fact. The appeal should not have been noted without leave. The appellant’s notice of appeal is therefore fatally defective. It is a nullity which should be struck off the roll.</w:t>
      </w:r>
    </w:p>
    <w:p w:rsidR="001E1A22" w:rsidRPr="00B748CC" w:rsidRDefault="001E1A22" w:rsidP="001E1A22">
      <w:pPr>
        <w:tabs>
          <w:tab w:val="left" w:pos="1134"/>
        </w:tabs>
        <w:spacing w:after="0" w:line="480" w:lineRule="auto"/>
        <w:jc w:val="both"/>
        <w:rPr>
          <w:rFonts w:ascii="Times New Roman" w:hAnsi="Times New Roman" w:cs="Times New Roman"/>
          <w:sz w:val="24"/>
          <w:szCs w:val="24"/>
        </w:rPr>
      </w:pPr>
    </w:p>
    <w:p w:rsidR="008D1855" w:rsidRPr="00B748CC" w:rsidRDefault="001E1A22" w:rsidP="001E1A22">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 xml:space="preserve">This being a tax case </w:t>
      </w:r>
      <w:r w:rsidR="007B1565" w:rsidRPr="00B748CC">
        <w:rPr>
          <w:rFonts w:ascii="Times New Roman" w:hAnsi="Times New Roman" w:cs="Times New Roman"/>
          <w:sz w:val="24"/>
          <w:szCs w:val="24"/>
        </w:rPr>
        <w:t>for which</w:t>
      </w:r>
      <w:r w:rsidR="008D1855" w:rsidRPr="00B748CC">
        <w:rPr>
          <w:rFonts w:ascii="Times New Roman" w:hAnsi="Times New Roman" w:cs="Times New Roman"/>
          <w:sz w:val="24"/>
          <w:szCs w:val="24"/>
        </w:rPr>
        <w:t xml:space="preserve"> s 65 (12) of the Income Tax Act</w:t>
      </w:r>
      <w:r w:rsidR="007B1565" w:rsidRPr="00B748CC">
        <w:rPr>
          <w:rFonts w:ascii="Times New Roman" w:hAnsi="Times New Roman" w:cs="Times New Roman"/>
          <w:sz w:val="24"/>
          <w:szCs w:val="24"/>
        </w:rPr>
        <w:t xml:space="preserve"> provides that</w:t>
      </w:r>
      <w:r w:rsidR="008D1855" w:rsidRPr="00B748CC">
        <w:rPr>
          <w:rFonts w:ascii="Times New Roman" w:hAnsi="Times New Roman" w:cs="Times New Roman"/>
          <w:sz w:val="24"/>
          <w:szCs w:val="24"/>
        </w:rPr>
        <w:t xml:space="preserve"> costs do not arise unless there is proof that the Commissioner’s decision is unreasonable or the appellant’s appeal is frivolous</w:t>
      </w:r>
      <w:r w:rsidR="009E282D">
        <w:rPr>
          <w:rFonts w:ascii="Times New Roman" w:hAnsi="Times New Roman" w:cs="Times New Roman"/>
          <w:sz w:val="24"/>
          <w:szCs w:val="24"/>
        </w:rPr>
        <w:t>,</w:t>
      </w:r>
      <w:r w:rsidR="004E392D" w:rsidRPr="00B748CC">
        <w:rPr>
          <w:rFonts w:ascii="Times New Roman" w:hAnsi="Times New Roman" w:cs="Times New Roman"/>
          <w:sz w:val="24"/>
          <w:szCs w:val="24"/>
        </w:rPr>
        <w:t xml:space="preserve"> the issue of costs does not arise</w:t>
      </w:r>
      <w:r w:rsidR="00E062E8" w:rsidRPr="00B748CC">
        <w:rPr>
          <w:rFonts w:ascii="Times New Roman" w:hAnsi="Times New Roman" w:cs="Times New Roman"/>
          <w:sz w:val="24"/>
          <w:szCs w:val="24"/>
        </w:rPr>
        <w:t>.</w:t>
      </w:r>
      <w:r w:rsidR="007B1565" w:rsidRPr="00B748CC">
        <w:rPr>
          <w:rFonts w:ascii="Times New Roman" w:hAnsi="Times New Roman" w:cs="Times New Roman"/>
          <w:sz w:val="24"/>
          <w:szCs w:val="24"/>
        </w:rPr>
        <w:t xml:space="preserve"> </w:t>
      </w:r>
      <w:r w:rsidR="00E062E8" w:rsidRPr="00B748CC">
        <w:rPr>
          <w:rFonts w:ascii="Times New Roman" w:hAnsi="Times New Roman" w:cs="Times New Roman"/>
          <w:sz w:val="24"/>
          <w:szCs w:val="24"/>
        </w:rPr>
        <w:t>T</w:t>
      </w:r>
      <w:r w:rsidR="007B1565" w:rsidRPr="00B748CC">
        <w:rPr>
          <w:rFonts w:ascii="Times New Roman" w:hAnsi="Times New Roman" w:cs="Times New Roman"/>
          <w:sz w:val="24"/>
          <w:szCs w:val="24"/>
        </w:rPr>
        <w:t>here will</w:t>
      </w:r>
      <w:r w:rsidR="00E062E8" w:rsidRPr="00B748CC">
        <w:rPr>
          <w:rFonts w:ascii="Times New Roman" w:hAnsi="Times New Roman" w:cs="Times New Roman"/>
          <w:sz w:val="24"/>
          <w:szCs w:val="24"/>
        </w:rPr>
        <w:t xml:space="preserve"> therefore</w:t>
      </w:r>
      <w:r w:rsidR="007B1565" w:rsidRPr="00B748CC">
        <w:rPr>
          <w:rFonts w:ascii="Times New Roman" w:hAnsi="Times New Roman" w:cs="Times New Roman"/>
          <w:sz w:val="24"/>
          <w:szCs w:val="24"/>
        </w:rPr>
        <w:t xml:space="preserve"> be no order as to costs</w:t>
      </w:r>
      <w:r w:rsidR="00E062E8" w:rsidRPr="00B748CC">
        <w:rPr>
          <w:rFonts w:ascii="Times New Roman" w:hAnsi="Times New Roman" w:cs="Times New Roman"/>
          <w:sz w:val="24"/>
          <w:szCs w:val="24"/>
        </w:rPr>
        <w:t xml:space="preserve"> as no determination has been made on the merits of the appeal.</w:t>
      </w:r>
      <w:r w:rsidR="00A8027B" w:rsidRPr="00B748CC">
        <w:rPr>
          <w:rFonts w:ascii="Times New Roman" w:hAnsi="Times New Roman" w:cs="Times New Roman"/>
          <w:sz w:val="24"/>
          <w:szCs w:val="24"/>
        </w:rPr>
        <w:t xml:space="preserve"> </w:t>
      </w:r>
    </w:p>
    <w:p w:rsidR="001E1A22" w:rsidRPr="00B748CC" w:rsidRDefault="001E1A22" w:rsidP="001E1A22">
      <w:pPr>
        <w:tabs>
          <w:tab w:val="left" w:pos="1134"/>
        </w:tabs>
        <w:spacing w:after="0" w:line="480" w:lineRule="auto"/>
        <w:jc w:val="both"/>
        <w:rPr>
          <w:rFonts w:ascii="Times New Roman" w:hAnsi="Times New Roman" w:cs="Times New Roman"/>
          <w:sz w:val="24"/>
          <w:szCs w:val="24"/>
        </w:rPr>
      </w:pPr>
    </w:p>
    <w:p w:rsidR="008D1855" w:rsidRPr="00B748CC" w:rsidRDefault="006E0A48" w:rsidP="006E0A48">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In the result it is ordered as follows:</w:t>
      </w:r>
    </w:p>
    <w:p w:rsidR="008D1855" w:rsidRPr="00B748CC" w:rsidRDefault="00AF5ED3" w:rsidP="00AF5ED3">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tab/>
      </w:r>
      <w:r w:rsidR="008D1855" w:rsidRPr="00B748CC">
        <w:rPr>
          <w:rFonts w:ascii="Times New Roman" w:hAnsi="Times New Roman" w:cs="Times New Roman"/>
          <w:sz w:val="24"/>
          <w:szCs w:val="24"/>
        </w:rPr>
        <w:t>The matter be and is hereby struck off the roll with no order as to costs.</w:t>
      </w:r>
    </w:p>
    <w:p w:rsidR="00CB31D8" w:rsidRDefault="00CB31D8" w:rsidP="006E0A48">
      <w:pPr>
        <w:spacing w:after="0" w:line="480" w:lineRule="auto"/>
        <w:jc w:val="both"/>
        <w:rPr>
          <w:rFonts w:ascii="Times New Roman" w:hAnsi="Times New Roman" w:cs="Times New Roman"/>
          <w:sz w:val="24"/>
          <w:szCs w:val="24"/>
        </w:rPr>
      </w:pPr>
    </w:p>
    <w:p w:rsidR="00604D4A" w:rsidRDefault="00604D4A" w:rsidP="006E0A48">
      <w:pPr>
        <w:spacing w:after="0" w:line="480" w:lineRule="auto"/>
        <w:jc w:val="both"/>
        <w:rPr>
          <w:rFonts w:ascii="Times New Roman" w:hAnsi="Times New Roman" w:cs="Times New Roman"/>
          <w:sz w:val="24"/>
          <w:szCs w:val="24"/>
        </w:rPr>
      </w:pPr>
    </w:p>
    <w:p w:rsidR="00BF3A6E" w:rsidRPr="00B748CC" w:rsidRDefault="00BF3A6E" w:rsidP="006E0A48">
      <w:pPr>
        <w:spacing w:after="0" w:line="480" w:lineRule="auto"/>
        <w:jc w:val="both"/>
        <w:rPr>
          <w:rFonts w:ascii="Times New Roman" w:hAnsi="Times New Roman" w:cs="Times New Roman"/>
          <w:sz w:val="24"/>
          <w:szCs w:val="24"/>
        </w:rPr>
      </w:pPr>
    </w:p>
    <w:p w:rsidR="00954510" w:rsidRDefault="006E0A48" w:rsidP="006E0A48">
      <w:pPr>
        <w:tabs>
          <w:tab w:val="left" w:pos="1134"/>
        </w:tabs>
        <w:spacing w:after="0" w:line="480" w:lineRule="auto"/>
        <w:jc w:val="both"/>
        <w:rPr>
          <w:rFonts w:ascii="Times New Roman" w:hAnsi="Times New Roman" w:cs="Times New Roman"/>
          <w:sz w:val="24"/>
          <w:szCs w:val="24"/>
        </w:rPr>
      </w:pPr>
      <w:r w:rsidRPr="00B748CC">
        <w:rPr>
          <w:rFonts w:ascii="Times New Roman" w:hAnsi="Times New Roman" w:cs="Times New Roman"/>
          <w:sz w:val="24"/>
          <w:szCs w:val="24"/>
        </w:rPr>
        <w:lastRenderedPageBreak/>
        <w:tab/>
      </w:r>
    </w:p>
    <w:p w:rsidR="00954510" w:rsidRDefault="00954510" w:rsidP="006E0A48">
      <w:pPr>
        <w:tabs>
          <w:tab w:val="left" w:pos="1134"/>
        </w:tabs>
        <w:spacing w:after="0" w:line="480" w:lineRule="auto"/>
        <w:jc w:val="both"/>
        <w:rPr>
          <w:rFonts w:ascii="Times New Roman" w:hAnsi="Times New Roman" w:cs="Times New Roman"/>
          <w:sz w:val="24"/>
          <w:szCs w:val="24"/>
        </w:rPr>
      </w:pPr>
    </w:p>
    <w:p w:rsidR="008D1855" w:rsidRPr="00B748CC" w:rsidRDefault="00954510" w:rsidP="006E0A48">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D1855" w:rsidRPr="00B748CC">
        <w:rPr>
          <w:rFonts w:ascii="Times New Roman" w:hAnsi="Times New Roman" w:cs="Times New Roman"/>
          <w:b/>
          <w:sz w:val="24"/>
          <w:szCs w:val="24"/>
        </w:rPr>
        <w:t>MATHONSI JA:</w:t>
      </w:r>
      <w:r w:rsidR="008D1855" w:rsidRPr="00B748CC">
        <w:rPr>
          <w:rFonts w:ascii="Times New Roman" w:hAnsi="Times New Roman" w:cs="Times New Roman"/>
          <w:sz w:val="24"/>
          <w:szCs w:val="24"/>
        </w:rPr>
        <w:t xml:space="preserve">  </w:t>
      </w:r>
      <w:r w:rsidR="008D1855" w:rsidRPr="00B748CC">
        <w:rPr>
          <w:rFonts w:ascii="Times New Roman" w:hAnsi="Times New Roman" w:cs="Times New Roman"/>
          <w:sz w:val="24"/>
          <w:szCs w:val="24"/>
        </w:rPr>
        <w:tab/>
      </w:r>
      <w:r w:rsidR="008D1855" w:rsidRPr="00B748CC">
        <w:rPr>
          <w:rFonts w:ascii="Times New Roman" w:hAnsi="Times New Roman" w:cs="Times New Roman"/>
          <w:sz w:val="24"/>
          <w:szCs w:val="24"/>
        </w:rPr>
        <w:tab/>
      </w:r>
      <w:r w:rsidR="00FE1CAE" w:rsidRPr="00B748CC">
        <w:rPr>
          <w:rFonts w:ascii="Times New Roman" w:hAnsi="Times New Roman" w:cs="Times New Roman"/>
          <w:sz w:val="24"/>
          <w:szCs w:val="24"/>
        </w:rPr>
        <w:tab/>
      </w:r>
      <w:r w:rsidR="008D1855" w:rsidRPr="00B748CC">
        <w:rPr>
          <w:rFonts w:ascii="Times New Roman" w:hAnsi="Times New Roman" w:cs="Times New Roman"/>
          <w:sz w:val="24"/>
          <w:szCs w:val="24"/>
        </w:rPr>
        <w:t>I agree</w:t>
      </w:r>
    </w:p>
    <w:p w:rsidR="008D1855" w:rsidRPr="00B748CC" w:rsidRDefault="008D1855" w:rsidP="008D1855">
      <w:pPr>
        <w:spacing w:after="0" w:line="480" w:lineRule="auto"/>
        <w:jc w:val="both"/>
        <w:rPr>
          <w:rFonts w:ascii="Times New Roman" w:hAnsi="Times New Roman" w:cs="Times New Roman"/>
          <w:sz w:val="24"/>
          <w:szCs w:val="24"/>
        </w:rPr>
      </w:pPr>
    </w:p>
    <w:p w:rsidR="008D1855" w:rsidRPr="00B748CC" w:rsidRDefault="008D1855" w:rsidP="008D1855">
      <w:pPr>
        <w:spacing w:after="0" w:line="480" w:lineRule="auto"/>
        <w:jc w:val="both"/>
        <w:rPr>
          <w:rFonts w:ascii="Times New Roman" w:hAnsi="Times New Roman" w:cs="Times New Roman"/>
          <w:sz w:val="24"/>
          <w:szCs w:val="24"/>
        </w:rPr>
      </w:pPr>
    </w:p>
    <w:p w:rsidR="008D1855" w:rsidRPr="00B748CC" w:rsidRDefault="008D1855" w:rsidP="00604D4A">
      <w:pPr>
        <w:spacing w:after="0" w:line="480" w:lineRule="auto"/>
        <w:ind w:left="720" w:firstLine="414"/>
        <w:jc w:val="both"/>
        <w:rPr>
          <w:rFonts w:ascii="Times New Roman" w:hAnsi="Times New Roman" w:cs="Times New Roman"/>
          <w:sz w:val="24"/>
          <w:szCs w:val="24"/>
        </w:rPr>
      </w:pPr>
      <w:r w:rsidRPr="00B748CC">
        <w:rPr>
          <w:rFonts w:ascii="Times New Roman" w:hAnsi="Times New Roman" w:cs="Times New Roman"/>
          <w:b/>
          <w:sz w:val="24"/>
          <w:szCs w:val="24"/>
        </w:rPr>
        <w:t>KUDYA JA:</w:t>
      </w:r>
      <w:r w:rsidRPr="00B748CC">
        <w:rPr>
          <w:rFonts w:ascii="Times New Roman" w:hAnsi="Times New Roman" w:cs="Times New Roman"/>
          <w:sz w:val="24"/>
          <w:szCs w:val="24"/>
        </w:rPr>
        <w:tab/>
      </w:r>
      <w:r w:rsidRPr="00B748CC">
        <w:rPr>
          <w:rFonts w:ascii="Times New Roman" w:hAnsi="Times New Roman" w:cs="Times New Roman"/>
          <w:sz w:val="24"/>
          <w:szCs w:val="24"/>
        </w:rPr>
        <w:tab/>
        <w:t xml:space="preserve">      </w:t>
      </w:r>
      <w:r w:rsidR="00FE1CAE" w:rsidRPr="00B748CC">
        <w:rPr>
          <w:rFonts w:ascii="Times New Roman" w:hAnsi="Times New Roman" w:cs="Times New Roman"/>
          <w:sz w:val="24"/>
          <w:szCs w:val="24"/>
        </w:rPr>
        <w:tab/>
      </w:r>
      <w:r w:rsidR="00196694">
        <w:rPr>
          <w:rFonts w:ascii="Times New Roman" w:hAnsi="Times New Roman" w:cs="Times New Roman"/>
          <w:sz w:val="24"/>
          <w:szCs w:val="24"/>
        </w:rPr>
        <w:tab/>
      </w:r>
      <w:r w:rsidRPr="00B748CC">
        <w:rPr>
          <w:rFonts w:ascii="Times New Roman" w:hAnsi="Times New Roman" w:cs="Times New Roman"/>
          <w:sz w:val="24"/>
          <w:szCs w:val="24"/>
        </w:rPr>
        <w:t xml:space="preserve">I agree  </w:t>
      </w:r>
    </w:p>
    <w:p w:rsidR="008D1855" w:rsidRPr="00B748CC" w:rsidRDefault="008D1855" w:rsidP="008D1855">
      <w:pPr>
        <w:spacing w:after="0" w:line="480" w:lineRule="auto"/>
        <w:jc w:val="both"/>
        <w:rPr>
          <w:rFonts w:ascii="Times New Roman" w:hAnsi="Times New Roman" w:cs="Times New Roman"/>
          <w:sz w:val="24"/>
          <w:szCs w:val="24"/>
        </w:rPr>
      </w:pPr>
    </w:p>
    <w:p w:rsidR="008D1855" w:rsidRPr="00B748CC" w:rsidRDefault="008D1855" w:rsidP="008D1855">
      <w:pPr>
        <w:spacing w:after="0" w:line="480" w:lineRule="auto"/>
        <w:jc w:val="both"/>
        <w:rPr>
          <w:rFonts w:ascii="Times New Roman" w:hAnsi="Times New Roman" w:cs="Times New Roman"/>
          <w:sz w:val="24"/>
          <w:szCs w:val="24"/>
        </w:rPr>
      </w:pPr>
    </w:p>
    <w:p w:rsidR="008D1855" w:rsidRPr="00B748CC" w:rsidRDefault="008D1855" w:rsidP="008D1855">
      <w:pPr>
        <w:spacing w:after="0" w:line="480" w:lineRule="auto"/>
        <w:jc w:val="both"/>
        <w:rPr>
          <w:rFonts w:ascii="Times New Roman" w:hAnsi="Times New Roman" w:cs="Times New Roman"/>
          <w:sz w:val="24"/>
          <w:szCs w:val="24"/>
        </w:rPr>
      </w:pPr>
      <w:r w:rsidRPr="00B748CC">
        <w:rPr>
          <w:rFonts w:ascii="Times New Roman" w:hAnsi="Times New Roman" w:cs="Times New Roman"/>
          <w:i/>
          <w:sz w:val="24"/>
          <w:szCs w:val="24"/>
        </w:rPr>
        <w:t xml:space="preserve">Gill, </w:t>
      </w:r>
      <w:proofErr w:type="spellStart"/>
      <w:r w:rsidRPr="00B748CC">
        <w:rPr>
          <w:rFonts w:ascii="Times New Roman" w:hAnsi="Times New Roman" w:cs="Times New Roman"/>
          <w:i/>
          <w:sz w:val="24"/>
          <w:szCs w:val="24"/>
        </w:rPr>
        <w:t>Godlonton</w:t>
      </w:r>
      <w:proofErr w:type="spellEnd"/>
      <w:r w:rsidR="00E94D24" w:rsidRPr="00B748CC">
        <w:rPr>
          <w:rFonts w:ascii="Times New Roman" w:hAnsi="Times New Roman" w:cs="Times New Roman"/>
          <w:i/>
          <w:sz w:val="24"/>
          <w:szCs w:val="24"/>
        </w:rPr>
        <w:t xml:space="preserve"> </w:t>
      </w:r>
      <w:r w:rsidRPr="00B748CC">
        <w:rPr>
          <w:rFonts w:ascii="Times New Roman" w:hAnsi="Times New Roman" w:cs="Times New Roman"/>
          <w:i/>
          <w:sz w:val="24"/>
          <w:szCs w:val="24"/>
        </w:rPr>
        <w:t>&amp;</w:t>
      </w:r>
      <w:r w:rsidR="00E94D24" w:rsidRPr="00B748CC">
        <w:rPr>
          <w:rFonts w:ascii="Times New Roman" w:hAnsi="Times New Roman" w:cs="Times New Roman"/>
          <w:i/>
          <w:sz w:val="24"/>
          <w:szCs w:val="24"/>
        </w:rPr>
        <w:t xml:space="preserve"> </w:t>
      </w:r>
      <w:proofErr w:type="spellStart"/>
      <w:r w:rsidRPr="00B748CC">
        <w:rPr>
          <w:rFonts w:ascii="Times New Roman" w:hAnsi="Times New Roman" w:cs="Times New Roman"/>
          <w:i/>
          <w:sz w:val="24"/>
          <w:szCs w:val="24"/>
        </w:rPr>
        <w:t>Gerrans</w:t>
      </w:r>
      <w:proofErr w:type="spellEnd"/>
      <w:r w:rsidRPr="00B748CC">
        <w:rPr>
          <w:rFonts w:ascii="Times New Roman" w:hAnsi="Times New Roman" w:cs="Times New Roman"/>
          <w:sz w:val="24"/>
          <w:szCs w:val="24"/>
        </w:rPr>
        <w:t>, appellant’s legal practitioners</w:t>
      </w:r>
    </w:p>
    <w:p w:rsidR="008D1855" w:rsidRPr="00B748CC" w:rsidRDefault="008D1855" w:rsidP="008D1855">
      <w:pPr>
        <w:spacing w:after="0" w:line="480" w:lineRule="auto"/>
        <w:jc w:val="both"/>
        <w:rPr>
          <w:rFonts w:ascii="Times New Roman" w:hAnsi="Times New Roman" w:cs="Times New Roman"/>
          <w:sz w:val="24"/>
          <w:szCs w:val="24"/>
        </w:rPr>
      </w:pPr>
      <w:r w:rsidRPr="00B748CC">
        <w:rPr>
          <w:rFonts w:ascii="Times New Roman" w:hAnsi="Times New Roman" w:cs="Times New Roman"/>
          <w:i/>
          <w:sz w:val="24"/>
          <w:szCs w:val="24"/>
        </w:rPr>
        <w:t>Kantor &amp;</w:t>
      </w:r>
      <w:r w:rsidR="00E94D24" w:rsidRPr="00B748CC">
        <w:rPr>
          <w:rFonts w:ascii="Times New Roman" w:hAnsi="Times New Roman" w:cs="Times New Roman"/>
          <w:i/>
          <w:sz w:val="24"/>
          <w:szCs w:val="24"/>
        </w:rPr>
        <w:t xml:space="preserve"> </w:t>
      </w:r>
      <w:proofErr w:type="spellStart"/>
      <w:r w:rsidRPr="00B748CC">
        <w:rPr>
          <w:rFonts w:ascii="Times New Roman" w:hAnsi="Times New Roman" w:cs="Times New Roman"/>
          <w:i/>
          <w:sz w:val="24"/>
          <w:szCs w:val="24"/>
        </w:rPr>
        <w:t>Immerman</w:t>
      </w:r>
      <w:proofErr w:type="spellEnd"/>
      <w:r w:rsidRPr="00B748CC">
        <w:rPr>
          <w:rFonts w:ascii="Times New Roman" w:hAnsi="Times New Roman" w:cs="Times New Roman"/>
          <w:i/>
          <w:sz w:val="24"/>
          <w:szCs w:val="24"/>
        </w:rPr>
        <w:t>,</w:t>
      </w:r>
      <w:r w:rsidRPr="00B748CC">
        <w:rPr>
          <w:rFonts w:ascii="Times New Roman" w:hAnsi="Times New Roman" w:cs="Times New Roman"/>
          <w:sz w:val="24"/>
          <w:szCs w:val="24"/>
        </w:rPr>
        <w:t xml:space="preserve"> respondent’s legal practitioners</w:t>
      </w:r>
    </w:p>
    <w:p w:rsidR="008D1855" w:rsidRPr="00B748CC" w:rsidRDefault="008D1855" w:rsidP="00A22C8C">
      <w:pPr>
        <w:spacing w:after="0" w:line="480" w:lineRule="auto"/>
        <w:ind w:firstLine="1134"/>
        <w:jc w:val="both"/>
        <w:rPr>
          <w:rFonts w:ascii="Times New Roman" w:hAnsi="Times New Roman" w:cs="Times New Roman"/>
          <w:sz w:val="24"/>
          <w:szCs w:val="24"/>
        </w:rPr>
      </w:pPr>
    </w:p>
    <w:sectPr w:rsidR="008D1855" w:rsidRPr="00B748CC" w:rsidSect="00F703C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553" w:rsidRDefault="00C66553" w:rsidP="00FC6DB3">
      <w:pPr>
        <w:spacing w:after="0" w:line="240" w:lineRule="auto"/>
      </w:pPr>
      <w:r>
        <w:separator/>
      </w:r>
    </w:p>
  </w:endnote>
  <w:endnote w:type="continuationSeparator" w:id="0">
    <w:p w:rsidR="00C66553" w:rsidRDefault="00C66553" w:rsidP="00FC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553" w:rsidRDefault="00C66553" w:rsidP="00FC6DB3">
      <w:pPr>
        <w:spacing w:after="0" w:line="240" w:lineRule="auto"/>
      </w:pPr>
      <w:r>
        <w:separator/>
      </w:r>
    </w:p>
  </w:footnote>
  <w:footnote w:type="continuationSeparator" w:id="0">
    <w:p w:rsidR="00C66553" w:rsidRDefault="00C66553" w:rsidP="00FC6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30" w:rsidRDefault="00057556" w:rsidP="00FC0E83">
    <w:pPr>
      <w:pStyle w:val="Header"/>
      <w:tabs>
        <w:tab w:val="clear" w:pos="4513"/>
        <w:tab w:val="clear" w:pos="9026"/>
        <w:tab w:val="left" w:pos="6840"/>
      </w:tabs>
    </w:pPr>
    <w:r>
      <w:rPr>
        <w:noProof/>
        <w:lang w:eastAsia="en-ZW"/>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731510" cy="340995"/>
              <wp:effectExtent l="0" t="0" r="0" b="1905"/>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EEC" w:rsidRPr="00B748CC" w:rsidRDefault="00AC2EEC">
                          <w:pPr>
                            <w:spacing w:after="0" w:line="240" w:lineRule="auto"/>
                            <w:jc w:val="right"/>
                            <w:rPr>
                              <w:rFonts w:ascii="Times New Roman" w:hAnsi="Times New Roman" w:cs="Times New Roman"/>
                              <w:noProof/>
                              <w:sz w:val="24"/>
                              <w:szCs w:val="24"/>
                            </w:rPr>
                          </w:pPr>
                          <w:r w:rsidRPr="00B748CC">
                            <w:rPr>
                              <w:rFonts w:ascii="Times New Roman" w:hAnsi="Times New Roman" w:cs="Times New Roman"/>
                              <w:noProof/>
                              <w:sz w:val="24"/>
                              <w:szCs w:val="24"/>
                            </w:rPr>
                            <w:t xml:space="preserve">Judgment No. SC </w:t>
                          </w:r>
                          <w:r w:rsidR="005B064C">
                            <w:rPr>
                              <w:rFonts w:ascii="Times New Roman" w:hAnsi="Times New Roman" w:cs="Times New Roman"/>
                              <w:noProof/>
                              <w:sz w:val="24"/>
                              <w:szCs w:val="24"/>
                            </w:rPr>
                            <w:t>6</w:t>
                          </w:r>
                          <w:r w:rsidRPr="00B748CC">
                            <w:rPr>
                              <w:rFonts w:ascii="Times New Roman" w:hAnsi="Times New Roman" w:cs="Times New Roman"/>
                              <w:noProof/>
                              <w:sz w:val="24"/>
                              <w:szCs w:val="24"/>
                            </w:rPr>
                            <w:t>/23</w:t>
                          </w:r>
                        </w:p>
                        <w:p w:rsidR="00AC2EEC" w:rsidRPr="00B748CC" w:rsidRDefault="00AC2EEC">
                          <w:pPr>
                            <w:spacing w:after="0" w:line="240" w:lineRule="auto"/>
                            <w:jc w:val="right"/>
                            <w:rPr>
                              <w:rFonts w:ascii="Times New Roman" w:hAnsi="Times New Roman" w:cs="Times New Roman"/>
                              <w:noProof/>
                              <w:sz w:val="24"/>
                              <w:szCs w:val="24"/>
                            </w:rPr>
                          </w:pPr>
                          <w:r w:rsidRPr="00B748CC">
                            <w:rPr>
                              <w:rFonts w:ascii="Times New Roman" w:hAnsi="Times New Roman" w:cs="Times New Roman"/>
                              <w:noProof/>
                              <w:sz w:val="24"/>
                              <w:szCs w:val="24"/>
                            </w:rPr>
                            <w:t>Civil Appeal No. SC 446/20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51.3pt;height:26.85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2fwtAIAALU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" o:allowincell="f" filled="f" stroked="f">
              <v:textbox style="mso-fit-shape-to-text:t" inset=",0,,0">
                <w:txbxContent>
                  <w:p w:rsidR="00AC2EEC" w:rsidRPr="00B748CC" w:rsidRDefault="00AC2EEC">
                    <w:pPr>
                      <w:spacing w:after="0" w:line="240" w:lineRule="auto"/>
                      <w:jc w:val="right"/>
                      <w:rPr>
                        <w:rFonts w:ascii="Times New Roman" w:hAnsi="Times New Roman" w:cs="Times New Roman"/>
                        <w:noProof/>
                        <w:sz w:val="24"/>
                        <w:szCs w:val="24"/>
                      </w:rPr>
                    </w:pPr>
                    <w:r w:rsidRPr="00B748CC">
                      <w:rPr>
                        <w:rFonts w:ascii="Times New Roman" w:hAnsi="Times New Roman" w:cs="Times New Roman"/>
                        <w:noProof/>
                        <w:sz w:val="24"/>
                        <w:szCs w:val="24"/>
                      </w:rPr>
                      <w:t xml:space="preserve">Judgment No. SC </w:t>
                    </w:r>
                    <w:r w:rsidR="005B064C">
                      <w:rPr>
                        <w:rFonts w:ascii="Times New Roman" w:hAnsi="Times New Roman" w:cs="Times New Roman"/>
                        <w:noProof/>
                        <w:sz w:val="24"/>
                        <w:szCs w:val="24"/>
                      </w:rPr>
                      <w:t>6</w:t>
                    </w:r>
                    <w:r w:rsidRPr="00B748CC">
                      <w:rPr>
                        <w:rFonts w:ascii="Times New Roman" w:hAnsi="Times New Roman" w:cs="Times New Roman"/>
                        <w:noProof/>
                        <w:sz w:val="24"/>
                        <w:szCs w:val="24"/>
                      </w:rPr>
                      <w:t>/23</w:t>
                    </w:r>
                  </w:p>
                  <w:p w:rsidR="00AC2EEC" w:rsidRPr="00B748CC" w:rsidRDefault="00AC2EEC">
                    <w:pPr>
                      <w:spacing w:after="0" w:line="240" w:lineRule="auto"/>
                      <w:jc w:val="right"/>
                      <w:rPr>
                        <w:rFonts w:ascii="Times New Roman" w:hAnsi="Times New Roman" w:cs="Times New Roman"/>
                        <w:noProof/>
                        <w:sz w:val="24"/>
                        <w:szCs w:val="24"/>
                      </w:rPr>
                    </w:pPr>
                    <w:r w:rsidRPr="00B748CC">
                      <w:rPr>
                        <w:rFonts w:ascii="Times New Roman" w:hAnsi="Times New Roman" w:cs="Times New Roman"/>
                        <w:noProof/>
                        <w:sz w:val="24"/>
                        <w:szCs w:val="24"/>
                      </w:rPr>
                      <w:t>Civil Appeal No. SC 446/20</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C2EEC" w:rsidRDefault="00AC2EEC">
                          <w:pPr>
                            <w:spacing w:after="0" w:line="240" w:lineRule="auto"/>
                            <w:rPr>
                              <w:color w:val="FFFFFF" w:themeColor="background1"/>
                            </w:rPr>
                          </w:pPr>
                          <w:r>
                            <w:fldChar w:fldCharType="begin"/>
                          </w:r>
                          <w:r>
                            <w:instrText xml:space="preserve"> PAGE   \* MERGEFORMAT </w:instrText>
                          </w:r>
                          <w:r>
                            <w:fldChar w:fldCharType="separate"/>
                          </w:r>
                          <w:r w:rsidR="0070788D" w:rsidRPr="0070788D">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" o:allowincell="f" fillcolor="#a8d08d [1945]" stroked="f">
              <v:textbox style="mso-fit-shape-to-text:t" inset=",0,,0">
                <w:txbxContent>
                  <w:p w:rsidR="00AC2EEC" w:rsidRDefault="00AC2EEC">
                    <w:pPr>
                      <w:spacing w:after="0" w:line="240" w:lineRule="auto"/>
                      <w:rPr>
                        <w:color w:val="FFFFFF" w:themeColor="background1"/>
                      </w:rPr>
                    </w:pPr>
                    <w:r>
                      <w:fldChar w:fldCharType="begin"/>
                    </w:r>
                    <w:r>
                      <w:instrText xml:space="preserve"> PAGE   \* MERGEFORMAT </w:instrText>
                    </w:r>
                    <w:r>
                      <w:fldChar w:fldCharType="separate"/>
                    </w:r>
                    <w:r w:rsidR="0070788D" w:rsidRPr="0070788D">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6B67"/>
    <w:multiLevelType w:val="hybridMultilevel"/>
    <w:tmpl w:val="B7C8FA7E"/>
    <w:lvl w:ilvl="0" w:tplc="8B34C9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7EA3B84"/>
    <w:multiLevelType w:val="hybridMultilevel"/>
    <w:tmpl w:val="8AF0A98A"/>
    <w:lvl w:ilvl="0" w:tplc="DFF414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27667A6"/>
    <w:multiLevelType w:val="hybridMultilevel"/>
    <w:tmpl w:val="EBF2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22020"/>
    <w:multiLevelType w:val="hybridMultilevel"/>
    <w:tmpl w:val="F06C028E"/>
    <w:lvl w:ilvl="0" w:tplc="50DA204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23F8100C"/>
    <w:multiLevelType w:val="hybridMultilevel"/>
    <w:tmpl w:val="D4425FB4"/>
    <w:lvl w:ilvl="0" w:tplc="7C5652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98B6D9E"/>
    <w:multiLevelType w:val="hybridMultilevel"/>
    <w:tmpl w:val="EBF2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21782"/>
    <w:multiLevelType w:val="multilevel"/>
    <w:tmpl w:val="3C587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0D7E38"/>
    <w:multiLevelType w:val="hybridMultilevel"/>
    <w:tmpl w:val="EBF2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232B9"/>
    <w:multiLevelType w:val="hybridMultilevel"/>
    <w:tmpl w:val="EBF2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D2758"/>
    <w:multiLevelType w:val="hybridMultilevel"/>
    <w:tmpl w:val="EBF2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910F9"/>
    <w:multiLevelType w:val="hybridMultilevel"/>
    <w:tmpl w:val="13AABA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6C76912"/>
    <w:multiLevelType w:val="hybridMultilevel"/>
    <w:tmpl w:val="376814E2"/>
    <w:lvl w:ilvl="0" w:tplc="DE9A754A">
      <w:start w:val="1"/>
      <w:numFmt w:val="decimal"/>
      <w:lvlText w:val="%1."/>
      <w:lvlJc w:val="left"/>
      <w:pPr>
        <w:ind w:left="135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6E2645A"/>
    <w:multiLevelType w:val="hybridMultilevel"/>
    <w:tmpl w:val="420C518E"/>
    <w:lvl w:ilvl="0" w:tplc="7C703B5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15:restartNumberingAfterBreak="0">
    <w:nsid w:val="5872546B"/>
    <w:multiLevelType w:val="hybridMultilevel"/>
    <w:tmpl w:val="738C35AA"/>
    <w:lvl w:ilvl="0" w:tplc="CF5CA772">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5A6C2541"/>
    <w:multiLevelType w:val="hybridMultilevel"/>
    <w:tmpl w:val="98FCAB8E"/>
    <w:lvl w:ilvl="0" w:tplc="9F1461DC">
      <w:start w:val="1"/>
      <w:numFmt w:val="lowerLetter"/>
      <w:lvlText w:val="(%1)"/>
      <w:lvlJc w:val="left"/>
      <w:pPr>
        <w:ind w:left="1440" w:hanging="360"/>
      </w:pPr>
      <w:rPr>
        <w:rFonts w:hint="default"/>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720F7CED"/>
    <w:multiLevelType w:val="hybridMultilevel"/>
    <w:tmpl w:val="EBF2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AC3AD3"/>
    <w:multiLevelType w:val="hybridMultilevel"/>
    <w:tmpl w:val="432C75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6"/>
  </w:num>
  <w:num w:numId="2">
    <w:abstractNumId w:val="0"/>
  </w:num>
  <w:num w:numId="3">
    <w:abstractNumId w:val="1"/>
  </w:num>
  <w:num w:numId="4">
    <w:abstractNumId w:val="3"/>
  </w:num>
  <w:num w:numId="5">
    <w:abstractNumId w:val="12"/>
  </w:num>
  <w:num w:numId="6">
    <w:abstractNumId w:val="14"/>
  </w:num>
  <w:num w:numId="7">
    <w:abstractNumId w:val="9"/>
  </w:num>
  <w:num w:numId="8">
    <w:abstractNumId w:val="4"/>
  </w:num>
  <w:num w:numId="9">
    <w:abstractNumId w:val="11"/>
  </w:num>
  <w:num w:numId="10">
    <w:abstractNumId w:val="10"/>
  </w:num>
  <w:num w:numId="11">
    <w:abstractNumId w:val="6"/>
  </w:num>
  <w:num w:numId="12">
    <w:abstractNumId w:val="13"/>
  </w:num>
  <w:num w:numId="13">
    <w:abstractNumId w:val="7"/>
  </w:num>
  <w:num w:numId="14">
    <w:abstractNumId w:val="8"/>
  </w:num>
  <w:num w:numId="15">
    <w:abstractNumId w:val="2"/>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B3"/>
    <w:rsid w:val="000106A1"/>
    <w:rsid w:val="00015DB1"/>
    <w:rsid w:val="00017DA4"/>
    <w:rsid w:val="00031FCE"/>
    <w:rsid w:val="000335B6"/>
    <w:rsid w:val="00035A3E"/>
    <w:rsid w:val="00037252"/>
    <w:rsid w:val="00045CDB"/>
    <w:rsid w:val="00047FEC"/>
    <w:rsid w:val="00051DE2"/>
    <w:rsid w:val="00052588"/>
    <w:rsid w:val="00055CE5"/>
    <w:rsid w:val="00056DDB"/>
    <w:rsid w:val="00057556"/>
    <w:rsid w:val="00070890"/>
    <w:rsid w:val="00076498"/>
    <w:rsid w:val="00080562"/>
    <w:rsid w:val="000867E4"/>
    <w:rsid w:val="00086D08"/>
    <w:rsid w:val="000900E3"/>
    <w:rsid w:val="000901A6"/>
    <w:rsid w:val="000A1310"/>
    <w:rsid w:val="000B0D66"/>
    <w:rsid w:val="000B27B5"/>
    <w:rsid w:val="000B3520"/>
    <w:rsid w:val="000B35AE"/>
    <w:rsid w:val="000B35D5"/>
    <w:rsid w:val="000B4915"/>
    <w:rsid w:val="000B50C1"/>
    <w:rsid w:val="000B7ABC"/>
    <w:rsid w:val="000C1F87"/>
    <w:rsid w:val="000C67BB"/>
    <w:rsid w:val="000C7900"/>
    <w:rsid w:val="000D58E4"/>
    <w:rsid w:val="000E0295"/>
    <w:rsid w:val="000E12CB"/>
    <w:rsid w:val="000E20A7"/>
    <w:rsid w:val="000E2F2E"/>
    <w:rsid w:val="000F1ADB"/>
    <w:rsid w:val="000F7952"/>
    <w:rsid w:val="00102AE0"/>
    <w:rsid w:val="00112342"/>
    <w:rsid w:val="00117E01"/>
    <w:rsid w:val="00121662"/>
    <w:rsid w:val="00127174"/>
    <w:rsid w:val="00127C2A"/>
    <w:rsid w:val="001313E2"/>
    <w:rsid w:val="00133E5D"/>
    <w:rsid w:val="0013409D"/>
    <w:rsid w:val="001365D7"/>
    <w:rsid w:val="0014156C"/>
    <w:rsid w:val="0014178A"/>
    <w:rsid w:val="001427A6"/>
    <w:rsid w:val="00142957"/>
    <w:rsid w:val="001436F9"/>
    <w:rsid w:val="001467E2"/>
    <w:rsid w:val="00147849"/>
    <w:rsid w:val="00155641"/>
    <w:rsid w:val="00157B45"/>
    <w:rsid w:val="00160491"/>
    <w:rsid w:val="001609AA"/>
    <w:rsid w:val="00161115"/>
    <w:rsid w:val="00162F84"/>
    <w:rsid w:val="00165D3B"/>
    <w:rsid w:val="00171380"/>
    <w:rsid w:val="00177A92"/>
    <w:rsid w:val="00196694"/>
    <w:rsid w:val="001B0933"/>
    <w:rsid w:val="001B1DBC"/>
    <w:rsid w:val="001B3352"/>
    <w:rsid w:val="001B4302"/>
    <w:rsid w:val="001C5018"/>
    <w:rsid w:val="001D62DA"/>
    <w:rsid w:val="001E1A22"/>
    <w:rsid w:val="001F1B75"/>
    <w:rsid w:val="001F40AA"/>
    <w:rsid w:val="001F413E"/>
    <w:rsid w:val="001F671B"/>
    <w:rsid w:val="0020277A"/>
    <w:rsid w:val="0020327E"/>
    <w:rsid w:val="002040D6"/>
    <w:rsid w:val="0020522B"/>
    <w:rsid w:val="00205640"/>
    <w:rsid w:val="00212608"/>
    <w:rsid w:val="0022240A"/>
    <w:rsid w:val="00234817"/>
    <w:rsid w:val="0023505F"/>
    <w:rsid w:val="002355FC"/>
    <w:rsid w:val="00245321"/>
    <w:rsid w:val="00246B10"/>
    <w:rsid w:val="00254E23"/>
    <w:rsid w:val="00264DCD"/>
    <w:rsid w:val="00276C0D"/>
    <w:rsid w:val="00277314"/>
    <w:rsid w:val="00282954"/>
    <w:rsid w:val="00284544"/>
    <w:rsid w:val="00287879"/>
    <w:rsid w:val="0029200C"/>
    <w:rsid w:val="00296E65"/>
    <w:rsid w:val="00297A91"/>
    <w:rsid w:val="00297BA1"/>
    <w:rsid w:val="002A0D30"/>
    <w:rsid w:val="002A4197"/>
    <w:rsid w:val="002B4429"/>
    <w:rsid w:val="002C0202"/>
    <w:rsid w:val="002C5516"/>
    <w:rsid w:val="002C6BCD"/>
    <w:rsid w:val="002D0CCE"/>
    <w:rsid w:val="002D522C"/>
    <w:rsid w:val="002E3084"/>
    <w:rsid w:val="002E3F64"/>
    <w:rsid w:val="002E3FF6"/>
    <w:rsid w:val="002E62FF"/>
    <w:rsid w:val="002F1A50"/>
    <w:rsid w:val="002F3D61"/>
    <w:rsid w:val="002F4304"/>
    <w:rsid w:val="0030063E"/>
    <w:rsid w:val="00304D9F"/>
    <w:rsid w:val="00311734"/>
    <w:rsid w:val="003148EA"/>
    <w:rsid w:val="00316FDC"/>
    <w:rsid w:val="003364F6"/>
    <w:rsid w:val="00340921"/>
    <w:rsid w:val="003461A7"/>
    <w:rsid w:val="00346369"/>
    <w:rsid w:val="00347872"/>
    <w:rsid w:val="00353241"/>
    <w:rsid w:val="003540DC"/>
    <w:rsid w:val="00354FF1"/>
    <w:rsid w:val="003565DB"/>
    <w:rsid w:val="00356852"/>
    <w:rsid w:val="00356A21"/>
    <w:rsid w:val="00356D2D"/>
    <w:rsid w:val="00357527"/>
    <w:rsid w:val="00367F22"/>
    <w:rsid w:val="00371CF4"/>
    <w:rsid w:val="00371EC1"/>
    <w:rsid w:val="00380F1A"/>
    <w:rsid w:val="00381D21"/>
    <w:rsid w:val="003824E5"/>
    <w:rsid w:val="00382CF9"/>
    <w:rsid w:val="00385FC1"/>
    <w:rsid w:val="003861A3"/>
    <w:rsid w:val="00386F31"/>
    <w:rsid w:val="0038760D"/>
    <w:rsid w:val="003903B3"/>
    <w:rsid w:val="00391684"/>
    <w:rsid w:val="00393A2E"/>
    <w:rsid w:val="00397D56"/>
    <w:rsid w:val="003A1E45"/>
    <w:rsid w:val="003A228C"/>
    <w:rsid w:val="003A2C2E"/>
    <w:rsid w:val="003A3E4D"/>
    <w:rsid w:val="003B0DD4"/>
    <w:rsid w:val="003B338A"/>
    <w:rsid w:val="003B4CA5"/>
    <w:rsid w:val="003B5A12"/>
    <w:rsid w:val="003C0C3F"/>
    <w:rsid w:val="003C164E"/>
    <w:rsid w:val="003C2851"/>
    <w:rsid w:val="003C66E4"/>
    <w:rsid w:val="003C7559"/>
    <w:rsid w:val="003D7DD2"/>
    <w:rsid w:val="003E0354"/>
    <w:rsid w:val="003E231A"/>
    <w:rsid w:val="003E2A3F"/>
    <w:rsid w:val="003E3A05"/>
    <w:rsid w:val="003E5114"/>
    <w:rsid w:val="003F1FAB"/>
    <w:rsid w:val="003F5588"/>
    <w:rsid w:val="003F6536"/>
    <w:rsid w:val="0040526D"/>
    <w:rsid w:val="00410DDD"/>
    <w:rsid w:val="004111F9"/>
    <w:rsid w:val="00426985"/>
    <w:rsid w:val="00434361"/>
    <w:rsid w:val="00435B81"/>
    <w:rsid w:val="00437177"/>
    <w:rsid w:val="00437BE0"/>
    <w:rsid w:val="00441840"/>
    <w:rsid w:val="0046396C"/>
    <w:rsid w:val="00471992"/>
    <w:rsid w:val="00471E16"/>
    <w:rsid w:val="00475F9D"/>
    <w:rsid w:val="0048740F"/>
    <w:rsid w:val="00487A9A"/>
    <w:rsid w:val="00490A2A"/>
    <w:rsid w:val="00493765"/>
    <w:rsid w:val="004A6443"/>
    <w:rsid w:val="004B4056"/>
    <w:rsid w:val="004B4A2E"/>
    <w:rsid w:val="004B7AF3"/>
    <w:rsid w:val="004C2312"/>
    <w:rsid w:val="004D0CF7"/>
    <w:rsid w:val="004E392D"/>
    <w:rsid w:val="004F3518"/>
    <w:rsid w:val="004F3BC7"/>
    <w:rsid w:val="004F5A00"/>
    <w:rsid w:val="005002F1"/>
    <w:rsid w:val="005078B3"/>
    <w:rsid w:val="00511B4E"/>
    <w:rsid w:val="00516435"/>
    <w:rsid w:val="00525AEE"/>
    <w:rsid w:val="0052735B"/>
    <w:rsid w:val="00532F5E"/>
    <w:rsid w:val="00537C0C"/>
    <w:rsid w:val="005407EC"/>
    <w:rsid w:val="005430E7"/>
    <w:rsid w:val="005442DC"/>
    <w:rsid w:val="00546C35"/>
    <w:rsid w:val="00550751"/>
    <w:rsid w:val="0055180C"/>
    <w:rsid w:val="0055350A"/>
    <w:rsid w:val="00553948"/>
    <w:rsid w:val="005608ED"/>
    <w:rsid w:val="00567F00"/>
    <w:rsid w:val="00571A3C"/>
    <w:rsid w:val="00573270"/>
    <w:rsid w:val="00577580"/>
    <w:rsid w:val="00582C07"/>
    <w:rsid w:val="00586F1F"/>
    <w:rsid w:val="005926EE"/>
    <w:rsid w:val="00595793"/>
    <w:rsid w:val="005A210C"/>
    <w:rsid w:val="005B064C"/>
    <w:rsid w:val="005B54A3"/>
    <w:rsid w:val="005B54CC"/>
    <w:rsid w:val="005C112E"/>
    <w:rsid w:val="005D1176"/>
    <w:rsid w:val="005D44BB"/>
    <w:rsid w:val="005D70F1"/>
    <w:rsid w:val="005E0D38"/>
    <w:rsid w:val="005E1238"/>
    <w:rsid w:val="005E224E"/>
    <w:rsid w:val="005E5C67"/>
    <w:rsid w:val="005E6094"/>
    <w:rsid w:val="005F1E95"/>
    <w:rsid w:val="005F3830"/>
    <w:rsid w:val="00602ECF"/>
    <w:rsid w:val="00604D4A"/>
    <w:rsid w:val="00606782"/>
    <w:rsid w:val="006130B3"/>
    <w:rsid w:val="00613513"/>
    <w:rsid w:val="006209C3"/>
    <w:rsid w:val="006305D1"/>
    <w:rsid w:val="006325B4"/>
    <w:rsid w:val="00636FE7"/>
    <w:rsid w:val="00640456"/>
    <w:rsid w:val="00642D91"/>
    <w:rsid w:val="00647975"/>
    <w:rsid w:val="00652491"/>
    <w:rsid w:val="00673CB6"/>
    <w:rsid w:val="00673F86"/>
    <w:rsid w:val="00681B88"/>
    <w:rsid w:val="00685D3B"/>
    <w:rsid w:val="0069091F"/>
    <w:rsid w:val="0069094F"/>
    <w:rsid w:val="006A7D01"/>
    <w:rsid w:val="006B3BAD"/>
    <w:rsid w:val="006B3E3A"/>
    <w:rsid w:val="006B74C0"/>
    <w:rsid w:val="006B7F5B"/>
    <w:rsid w:val="006C09BD"/>
    <w:rsid w:val="006C1570"/>
    <w:rsid w:val="006C27BE"/>
    <w:rsid w:val="006C2A93"/>
    <w:rsid w:val="006D18EA"/>
    <w:rsid w:val="006D5740"/>
    <w:rsid w:val="006D779A"/>
    <w:rsid w:val="006E0A48"/>
    <w:rsid w:val="006E12FD"/>
    <w:rsid w:val="006F5F03"/>
    <w:rsid w:val="006F6686"/>
    <w:rsid w:val="00700464"/>
    <w:rsid w:val="00702CB0"/>
    <w:rsid w:val="007070E0"/>
    <w:rsid w:val="0070788D"/>
    <w:rsid w:val="00710C6E"/>
    <w:rsid w:val="00710CFB"/>
    <w:rsid w:val="007150A4"/>
    <w:rsid w:val="00721443"/>
    <w:rsid w:val="00724160"/>
    <w:rsid w:val="007258B3"/>
    <w:rsid w:val="00726F6B"/>
    <w:rsid w:val="007425C0"/>
    <w:rsid w:val="00752070"/>
    <w:rsid w:val="007520E6"/>
    <w:rsid w:val="0076050F"/>
    <w:rsid w:val="007607C2"/>
    <w:rsid w:val="007627BF"/>
    <w:rsid w:val="00770939"/>
    <w:rsid w:val="007714B0"/>
    <w:rsid w:val="00771FD1"/>
    <w:rsid w:val="00777892"/>
    <w:rsid w:val="007821C8"/>
    <w:rsid w:val="00787B2C"/>
    <w:rsid w:val="00791BF2"/>
    <w:rsid w:val="00793890"/>
    <w:rsid w:val="00793ED4"/>
    <w:rsid w:val="00795C35"/>
    <w:rsid w:val="007A1126"/>
    <w:rsid w:val="007B077D"/>
    <w:rsid w:val="007B1565"/>
    <w:rsid w:val="007B7992"/>
    <w:rsid w:val="007C26AC"/>
    <w:rsid w:val="007C45F8"/>
    <w:rsid w:val="007D3777"/>
    <w:rsid w:val="007D5614"/>
    <w:rsid w:val="007D5C2C"/>
    <w:rsid w:val="007E21A6"/>
    <w:rsid w:val="007E78A0"/>
    <w:rsid w:val="00805A4F"/>
    <w:rsid w:val="008062BD"/>
    <w:rsid w:val="00810D7B"/>
    <w:rsid w:val="00812D61"/>
    <w:rsid w:val="008135A2"/>
    <w:rsid w:val="00814889"/>
    <w:rsid w:val="008179BA"/>
    <w:rsid w:val="00823D33"/>
    <w:rsid w:val="00824CA5"/>
    <w:rsid w:val="0083154D"/>
    <w:rsid w:val="00837AB0"/>
    <w:rsid w:val="00843120"/>
    <w:rsid w:val="00843C88"/>
    <w:rsid w:val="00844B96"/>
    <w:rsid w:val="00845C11"/>
    <w:rsid w:val="00851C4C"/>
    <w:rsid w:val="008520EC"/>
    <w:rsid w:val="008543AD"/>
    <w:rsid w:val="00862D8A"/>
    <w:rsid w:val="00864AEA"/>
    <w:rsid w:val="00865EBD"/>
    <w:rsid w:val="00870407"/>
    <w:rsid w:val="00870AF7"/>
    <w:rsid w:val="00872D6F"/>
    <w:rsid w:val="00872FA6"/>
    <w:rsid w:val="00873E5E"/>
    <w:rsid w:val="00877A6B"/>
    <w:rsid w:val="00877DE8"/>
    <w:rsid w:val="00882E84"/>
    <w:rsid w:val="00886DAA"/>
    <w:rsid w:val="008905C7"/>
    <w:rsid w:val="00896F0B"/>
    <w:rsid w:val="008B329A"/>
    <w:rsid w:val="008B4648"/>
    <w:rsid w:val="008B6D70"/>
    <w:rsid w:val="008C26A6"/>
    <w:rsid w:val="008C3153"/>
    <w:rsid w:val="008D1855"/>
    <w:rsid w:val="008D37DF"/>
    <w:rsid w:val="008D6FAD"/>
    <w:rsid w:val="008D79B0"/>
    <w:rsid w:val="008F0F6A"/>
    <w:rsid w:val="008F4FF5"/>
    <w:rsid w:val="00900351"/>
    <w:rsid w:val="00901C18"/>
    <w:rsid w:val="009022EB"/>
    <w:rsid w:val="00913DB8"/>
    <w:rsid w:val="00917CE9"/>
    <w:rsid w:val="00923768"/>
    <w:rsid w:val="009259B1"/>
    <w:rsid w:val="00932CEA"/>
    <w:rsid w:val="00933AAD"/>
    <w:rsid w:val="00934B5D"/>
    <w:rsid w:val="009364A4"/>
    <w:rsid w:val="00944296"/>
    <w:rsid w:val="00950545"/>
    <w:rsid w:val="00950784"/>
    <w:rsid w:val="00954510"/>
    <w:rsid w:val="00955F87"/>
    <w:rsid w:val="009566ED"/>
    <w:rsid w:val="00957907"/>
    <w:rsid w:val="009636E8"/>
    <w:rsid w:val="00963FD1"/>
    <w:rsid w:val="00967601"/>
    <w:rsid w:val="00972276"/>
    <w:rsid w:val="009732DC"/>
    <w:rsid w:val="00975DE3"/>
    <w:rsid w:val="0098092E"/>
    <w:rsid w:val="00981044"/>
    <w:rsid w:val="00983FD3"/>
    <w:rsid w:val="00986B2C"/>
    <w:rsid w:val="0098748C"/>
    <w:rsid w:val="00987B94"/>
    <w:rsid w:val="00995934"/>
    <w:rsid w:val="0099745E"/>
    <w:rsid w:val="00997E7C"/>
    <w:rsid w:val="009A0CF9"/>
    <w:rsid w:val="009B15CD"/>
    <w:rsid w:val="009B2023"/>
    <w:rsid w:val="009B2A52"/>
    <w:rsid w:val="009B7A8A"/>
    <w:rsid w:val="009C0E19"/>
    <w:rsid w:val="009C30B4"/>
    <w:rsid w:val="009C45B4"/>
    <w:rsid w:val="009E1C9B"/>
    <w:rsid w:val="009E282D"/>
    <w:rsid w:val="009E4902"/>
    <w:rsid w:val="009F305B"/>
    <w:rsid w:val="009F6B4F"/>
    <w:rsid w:val="009F6D80"/>
    <w:rsid w:val="00A022F2"/>
    <w:rsid w:val="00A074CD"/>
    <w:rsid w:val="00A111DC"/>
    <w:rsid w:val="00A157E6"/>
    <w:rsid w:val="00A16CBB"/>
    <w:rsid w:val="00A21546"/>
    <w:rsid w:val="00A215EA"/>
    <w:rsid w:val="00A217FF"/>
    <w:rsid w:val="00A22C8C"/>
    <w:rsid w:val="00A277D3"/>
    <w:rsid w:val="00A2799E"/>
    <w:rsid w:val="00A34936"/>
    <w:rsid w:val="00A404B3"/>
    <w:rsid w:val="00A53681"/>
    <w:rsid w:val="00A56DDB"/>
    <w:rsid w:val="00A624BF"/>
    <w:rsid w:val="00A64F2F"/>
    <w:rsid w:val="00A8027B"/>
    <w:rsid w:val="00A82ECC"/>
    <w:rsid w:val="00A84F52"/>
    <w:rsid w:val="00A96E04"/>
    <w:rsid w:val="00AA4192"/>
    <w:rsid w:val="00AB199B"/>
    <w:rsid w:val="00AB2C50"/>
    <w:rsid w:val="00AB3A94"/>
    <w:rsid w:val="00AC2EEC"/>
    <w:rsid w:val="00AC32D0"/>
    <w:rsid w:val="00AD1425"/>
    <w:rsid w:val="00AD4E79"/>
    <w:rsid w:val="00AD5A65"/>
    <w:rsid w:val="00AE3CA9"/>
    <w:rsid w:val="00AE638B"/>
    <w:rsid w:val="00AE6560"/>
    <w:rsid w:val="00AE7E7A"/>
    <w:rsid w:val="00AF5ED3"/>
    <w:rsid w:val="00B0030B"/>
    <w:rsid w:val="00B0101C"/>
    <w:rsid w:val="00B029DE"/>
    <w:rsid w:val="00B12402"/>
    <w:rsid w:val="00B1611C"/>
    <w:rsid w:val="00B218B9"/>
    <w:rsid w:val="00B250A6"/>
    <w:rsid w:val="00B257C7"/>
    <w:rsid w:val="00B262D4"/>
    <w:rsid w:val="00B36C5B"/>
    <w:rsid w:val="00B370F8"/>
    <w:rsid w:val="00B4355D"/>
    <w:rsid w:val="00B460F9"/>
    <w:rsid w:val="00B473A4"/>
    <w:rsid w:val="00B52AFD"/>
    <w:rsid w:val="00B6049F"/>
    <w:rsid w:val="00B6365D"/>
    <w:rsid w:val="00B70F96"/>
    <w:rsid w:val="00B748CC"/>
    <w:rsid w:val="00B7522F"/>
    <w:rsid w:val="00B8763E"/>
    <w:rsid w:val="00B933B8"/>
    <w:rsid w:val="00B9782F"/>
    <w:rsid w:val="00BA1A73"/>
    <w:rsid w:val="00BA569B"/>
    <w:rsid w:val="00BA75E6"/>
    <w:rsid w:val="00BB50ED"/>
    <w:rsid w:val="00BB62DF"/>
    <w:rsid w:val="00BC2FDF"/>
    <w:rsid w:val="00BC349E"/>
    <w:rsid w:val="00BC42F2"/>
    <w:rsid w:val="00BC6922"/>
    <w:rsid w:val="00BE3BA7"/>
    <w:rsid w:val="00BF2AC5"/>
    <w:rsid w:val="00BF3A6E"/>
    <w:rsid w:val="00BF402C"/>
    <w:rsid w:val="00C0592F"/>
    <w:rsid w:val="00C06530"/>
    <w:rsid w:val="00C065AD"/>
    <w:rsid w:val="00C13DB6"/>
    <w:rsid w:val="00C21B81"/>
    <w:rsid w:val="00C21D27"/>
    <w:rsid w:val="00C30BB7"/>
    <w:rsid w:val="00C36ACC"/>
    <w:rsid w:val="00C41250"/>
    <w:rsid w:val="00C43F66"/>
    <w:rsid w:val="00C45F76"/>
    <w:rsid w:val="00C4643C"/>
    <w:rsid w:val="00C47414"/>
    <w:rsid w:val="00C50C10"/>
    <w:rsid w:val="00C51F99"/>
    <w:rsid w:val="00C5379C"/>
    <w:rsid w:val="00C53A27"/>
    <w:rsid w:val="00C569EC"/>
    <w:rsid w:val="00C64ADD"/>
    <w:rsid w:val="00C66553"/>
    <w:rsid w:val="00C71286"/>
    <w:rsid w:val="00C734B3"/>
    <w:rsid w:val="00C75048"/>
    <w:rsid w:val="00C762A5"/>
    <w:rsid w:val="00C81623"/>
    <w:rsid w:val="00C935F4"/>
    <w:rsid w:val="00CA12A8"/>
    <w:rsid w:val="00CB139F"/>
    <w:rsid w:val="00CB2003"/>
    <w:rsid w:val="00CB31D8"/>
    <w:rsid w:val="00CB611C"/>
    <w:rsid w:val="00CB7C71"/>
    <w:rsid w:val="00CC20D2"/>
    <w:rsid w:val="00CC36EB"/>
    <w:rsid w:val="00CC5897"/>
    <w:rsid w:val="00CD15F4"/>
    <w:rsid w:val="00CD5AE6"/>
    <w:rsid w:val="00CD6256"/>
    <w:rsid w:val="00CF05DD"/>
    <w:rsid w:val="00CF2CB8"/>
    <w:rsid w:val="00D12994"/>
    <w:rsid w:val="00D20560"/>
    <w:rsid w:val="00D20AF7"/>
    <w:rsid w:val="00D45D25"/>
    <w:rsid w:val="00D518AA"/>
    <w:rsid w:val="00D550D3"/>
    <w:rsid w:val="00D57CD7"/>
    <w:rsid w:val="00D62166"/>
    <w:rsid w:val="00D6261C"/>
    <w:rsid w:val="00D62E40"/>
    <w:rsid w:val="00D6484B"/>
    <w:rsid w:val="00D65752"/>
    <w:rsid w:val="00D705D7"/>
    <w:rsid w:val="00D72B0D"/>
    <w:rsid w:val="00D75223"/>
    <w:rsid w:val="00D808A3"/>
    <w:rsid w:val="00D856AA"/>
    <w:rsid w:val="00D929BB"/>
    <w:rsid w:val="00D944CC"/>
    <w:rsid w:val="00DA2DCE"/>
    <w:rsid w:val="00DA5BD5"/>
    <w:rsid w:val="00DA5EB8"/>
    <w:rsid w:val="00DA6216"/>
    <w:rsid w:val="00DB155A"/>
    <w:rsid w:val="00DB453F"/>
    <w:rsid w:val="00DB4AC0"/>
    <w:rsid w:val="00DB520E"/>
    <w:rsid w:val="00DB5637"/>
    <w:rsid w:val="00DB644E"/>
    <w:rsid w:val="00DC4685"/>
    <w:rsid w:val="00DC4F30"/>
    <w:rsid w:val="00DC55EF"/>
    <w:rsid w:val="00DC634F"/>
    <w:rsid w:val="00DC654F"/>
    <w:rsid w:val="00DC7560"/>
    <w:rsid w:val="00DD4519"/>
    <w:rsid w:val="00DD5F3E"/>
    <w:rsid w:val="00DE1391"/>
    <w:rsid w:val="00DE6296"/>
    <w:rsid w:val="00DF14F7"/>
    <w:rsid w:val="00DF3406"/>
    <w:rsid w:val="00DF654D"/>
    <w:rsid w:val="00E02031"/>
    <w:rsid w:val="00E0259D"/>
    <w:rsid w:val="00E04BDE"/>
    <w:rsid w:val="00E062E8"/>
    <w:rsid w:val="00E11F7D"/>
    <w:rsid w:val="00E13A57"/>
    <w:rsid w:val="00E228D6"/>
    <w:rsid w:val="00E255BD"/>
    <w:rsid w:val="00E256F2"/>
    <w:rsid w:val="00E2676E"/>
    <w:rsid w:val="00E26EF7"/>
    <w:rsid w:val="00E31DD1"/>
    <w:rsid w:val="00E36F94"/>
    <w:rsid w:val="00E3725F"/>
    <w:rsid w:val="00E416BC"/>
    <w:rsid w:val="00E45F54"/>
    <w:rsid w:val="00E46F8E"/>
    <w:rsid w:val="00E53B33"/>
    <w:rsid w:val="00E55716"/>
    <w:rsid w:val="00E7448D"/>
    <w:rsid w:val="00E758BB"/>
    <w:rsid w:val="00E83BCB"/>
    <w:rsid w:val="00E94D24"/>
    <w:rsid w:val="00E9583E"/>
    <w:rsid w:val="00E95DD0"/>
    <w:rsid w:val="00EA05B1"/>
    <w:rsid w:val="00EA1358"/>
    <w:rsid w:val="00EA20C3"/>
    <w:rsid w:val="00EA5AAA"/>
    <w:rsid w:val="00EA68AA"/>
    <w:rsid w:val="00EB0646"/>
    <w:rsid w:val="00EB6248"/>
    <w:rsid w:val="00EB6DFF"/>
    <w:rsid w:val="00EB71DD"/>
    <w:rsid w:val="00EC18B2"/>
    <w:rsid w:val="00EC2576"/>
    <w:rsid w:val="00ED15CB"/>
    <w:rsid w:val="00ED7000"/>
    <w:rsid w:val="00EE5EB0"/>
    <w:rsid w:val="00EE7DD4"/>
    <w:rsid w:val="00EF053C"/>
    <w:rsid w:val="00F02458"/>
    <w:rsid w:val="00F0322B"/>
    <w:rsid w:val="00F07AE5"/>
    <w:rsid w:val="00F100FC"/>
    <w:rsid w:val="00F1075F"/>
    <w:rsid w:val="00F1224B"/>
    <w:rsid w:val="00F16482"/>
    <w:rsid w:val="00F166F3"/>
    <w:rsid w:val="00F20501"/>
    <w:rsid w:val="00F30A56"/>
    <w:rsid w:val="00F36CD0"/>
    <w:rsid w:val="00F41FE0"/>
    <w:rsid w:val="00F4541E"/>
    <w:rsid w:val="00F51874"/>
    <w:rsid w:val="00F5750C"/>
    <w:rsid w:val="00F66B77"/>
    <w:rsid w:val="00F703CE"/>
    <w:rsid w:val="00F76640"/>
    <w:rsid w:val="00F7685A"/>
    <w:rsid w:val="00F8341F"/>
    <w:rsid w:val="00F85187"/>
    <w:rsid w:val="00F85B30"/>
    <w:rsid w:val="00F95FFC"/>
    <w:rsid w:val="00F9633F"/>
    <w:rsid w:val="00FA1230"/>
    <w:rsid w:val="00FB1717"/>
    <w:rsid w:val="00FB6227"/>
    <w:rsid w:val="00FB78C7"/>
    <w:rsid w:val="00FC0E83"/>
    <w:rsid w:val="00FC14AA"/>
    <w:rsid w:val="00FC2933"/>
    <w:rsid w:val="00FC341D"/>
    <w:rsid w:val="00FC62D4"/>
    <w:rsid w:val="00FC6DB3"/>
    <w:rsid w:val="00FD1575"/>
    <w:rsid w:val="00FD4DE8"/>
    <w:rsid w:val="00FE1CAE"/>
    <w:rsid w:val="00FE3FE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AF1494-A8C8-442C-B9E0-9C1B2433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DB3"/>
    <w:pPr>
      <w:ind w:left="720"/>
      <w:contextualSpacing/>
    </w:pPr>
  </w:style>
  <w:style w:type="paragraph" w:styleId="FootnoteText">
    <w:name w:val="footnote text"/>
    <w:basedOn w:val="Normal"/>
    <w:link w:val="FootnoteTextChar"/>
    <w:uiPriority w:val="99"/>
    <w:semiHidden/>
    <w:unhideWhenUsed/>
    <w:rsid w:val="00FC6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DB3"/>
    <w:rPr>
      <w:sz w:val="20"/>
      <w:szCs w:val="20"/>
    </w:rPr>
  </w:style>
  <w:style w:type="character" w:styleId="FootnoteReference">
    <w:name w:val="footnote reference"/>
    <w:basedOn w:val="DefaultParagraphFont"/>
    <w:uiPriority w:val="99"/>
    <w:semiHidden/>
    <w:unhideWhenUsed/>
    <w:rsid w:val="00FC6DB3"/>
    <w:rPr>
      <w:vertAlign w:val="superscript"/>
    </w:rPr>
  </w:style>
  <w:style w:type="paragraph" w:styleId="Header">
    <w:name w:val="header"/>
    <w:basedOn w:val="Normal"/>
    <w:link w:val="HeaderChar"/>
    <w:uiPriority w:val="99"/>
    <w:unhideWhenUsed/>
    <w:rsid w:val="00FC6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DB3"/>
  </w:style>
  <w:style w:type="paragraph" w:styleId="Footer">
    <w:name w:val="footer"/>
    <w:basedOn w:val="Normal"/>
    <w:link w:val="FooterChar"/>
    <w:uiPriority w:val="99"/>
    <w:unhideWhenUsed/>
    <w:rsid w:val="00FC6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DB3"/>
  </w:style>
  <w:style w:type="paragraph" w:styleId="BalloonText">
    <w:name w:val="Balloon Text"/>
    <w:basedOn w:val="Normal"/>
    <w:link w:val="BalloonTextChar"/>
    <w:uiPriority w:val="99"/>
    <w:semiHidden/>
    <w:unhideWhenUsed/>
    <w:rsid w:val="00602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ECF"/>
    <w:rPr>
      <w:rFonts w:ascii="Segoe UI" w:hAnsi="Segoe UI" w:cs="Segoe UI"/>
      <w:sz w:val="18"/>
      <w:szCs w:val="18"/>
    </w:rPr>
  </w:style>
  <w:style w:type="paragraph" w:styleId="NormalWeb">
    <w:name w:val="Normal (Web)"/>
    <w:basedOn w:val="Normal"/>
    <w:uiPriority w:val="99"/>
    <w:semiHidden/>
    <w:unhideWhenUsed/>
    <w:rsid w:val="00E02031"/>
    <w:rPr>
      <w:rFonts w:ascii="Times New Roman" w:hAnsi="Times New Roman" w:cs="Times New Roman"/>
      <w:sz w:val="24"/>
      <w:szCs w:val="24"/>
    </w:rPr>
  </w:style>
  <w:style w:type="paragraph" w:styleId="NoSpacing">
    <w:name w:val="No Spacing"/>
    <w:uiPriority w:val="1"/>
    <w:qFormat/>
    <w:rsid w:val="00AC2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3982">
      <w:bodyDiv w:val="1"/>
      <w:marLeft w:val="0"/>
      <w:marRight w:val="0"/>
      <w:marTop w:val="0"/>
      <w:marBottom w:val="0"/>
      <w:divBdr>
        <w:top w:val="none" w:sz="0" w:space="0" w:color="auto"/>
        <w:left w:val="none" w:sz="0" w:space="0" w:color="auto"/>
        <w:bottom w:val="none" w:sz="0" w:space="0" w:color="auto"/>
        <w:right w:val="none" w:sz="0" w:space="0" w:color="auto"/>
      </w:divBdr>
    </w:div>
    <w:div w:id="850030947">
      <w:bodyDiv w:val="1"/>
      <w:marLeft w:val="0"/>
      <w:marRight w:val="0"/>
      <w:marTop w:val="0"/>
      <w:marBottom w:val="0"/>
      <w:divBdr>
        <w:top w:val="none" w:sz="0" w:space="0" w:color="auto"/>
        <w:left w:val="none" w:sz="0" w:space="0" w:color="auto"/>
        <w:bottom w:val="none" w:sz="0" w:space="0" w:color="auto"/>
        <w:right w:val="none" w:sz="0" w:space="0" w:color="auto"/>
      </w:divBdr>
    </w:div>
    <w:div w:id="1050689651">
      <w:bodyDiv w:val="1"/>
      <w:marLeft w:val="0"/>
      <w:marRight w:val="0"/>
      <w:marTop w:val="0"/>
      <w:marBottom w:val="0"/>
      <w:divBdr>
        <w:top w:val="none" w:sz="0" w:space="0" w:color="auto"/>
        <w:left w:val="none" w:sz="0" w:space="0" w:color="auto"/>
        <w:bottom w:val="none" w:sz="0" w:space="0" w:color="auto"/>
        <w:right w:val="none" w:sz="0" w:space="0" w:color="auto"/>
      </w:divBdr>
      <w:divsChild>
        <w:div w:id="874151538">
          <w:marLeft w:val="0"/>
          <w:marRight w:val="0"/>
          <w:marTop w:val="0"/>
          <w:marBottom w:val="0"/>
          <w:divBdr>
            <w:top w:val="none" w:sz="0" w:space="0" w:color="auto"/>
            <w:left w:val="none" w:sz="0" w:space="0" w:color="auto"/>
            <w:bottom w:val="none" w:sz="0" w:space="0" w:color="auto"/>
            <w:right w:val="none" w:sz="0" w:space="0" w:color="auto"/>
          </w:divBdr>
        </w:div>
        <w:div w:id="424620601">
          <w:marLeft w:val="0"/>
          <w:marRight w:val="0"/>
          <w:marTop w:val="0"/>
          <w:marBottom w:val="0"/>
          <w:divBdr>
            <w:top w:val="none" w:sz="0" w:space="0" w:color="auto"/>
            <w:left w:val="none" w:sz="0" w:space="0" w:color="auto"/>
            <w:bottom w:val="none" w:sz="0" w:space="0" w:color="auto"/>
            <w:right w:val="none" w:sz="0" w:space="0" w:color="auto"/>
          </w:divBdr>
        </w:div>
        <w:div w:id="1195922031">
          <w:marLeft w:val="0"/>
          <w:marRight w:val="0"/>
          <w:marTop w:val="0"/>
          <w:marBottom w:val="0"/>
          <w:divBdr>
            <w:top w:val="none" w:sz="0" w:space="0" w:color="auto"/>
            <w:left w:val="none" w:sz="0" w:space="0" w:color="auto"/>
            <w:bottom w:val="none" w:sz="0" w:space="0" w:color="auto"/>
            <w:right w:val="none" w:sz="0" w:space="0" w:color="auto"/>
          </w:divBdr>
        </w:div>
        <w:div w:id="514881959">
          <w:marLeft w:val="0"/>
          <w:marRight w:val="0"/>
          <w:marTop w:val="0"/>
          <w:marBottom w:val="0"/>
          <w:divBdr>
            <w:top w:val="none" w:sz="0" w:space="0" w:color="auto"/>
            <w:left w:val="none" w:sz="0" w:space="0" w:color="auto"/>
            <w:bottom w:val="none" w:sz="0" w:space="0" w:color="auto"/>
            <w:right w:val="none" w:sz="0" w:space="0" w:color="auto"/>
          </w:divBdr>
        </w:div>
        <w:div w:id="791822939">
          <w:marLeft w:val="0"/>
          <w:marRight w:val="0"/>
          <w:marTop w:val="0"/>
          <w:marBottom w:val="0"/>
          <w:divBdr>
            <w:top w:val="none" w:sz="0" w:space="0" w:color="auto"/>
            <w:left w:val="none" w:sz="0" w:space="0" w:color="auto"/>
            <w:bottom w:val="none" w:sz="0" w:space="0" w:color="auto"/>
            <w:right w:val="none" w:sz="0" w:space="0" w:color="auto"/>
          </w:divBdr>
        </w:div>
        <w:div w:id="1041515251">
          <w:marLeft w:val="0"/>
          <w:marRight w:val="0"/>
          <w:marTop w:val="0"/>
          <w:marBottom w:val="0"/>
          <w:divBdr>
            <w:top w:val="none" w:sz="0" w:space="0" w:color="auto"/>
            <w:left w:val="none" w:sz="0" w:space="0" w:color="auto"/>
            <w:bottom w:val="none" w:sz="0" w:space="0" w:color="auto"/>
            <w:right w:val="none" w:sz="0" w:space="0" w:color="auto"/>
          </w:divBdr>
        </w:div>
        <w:div w:id="2045325729">
          <w:marLeft w:val="0"/>
          <w:marRight w:val="0"/>
          <w:marTop w:val="0"/>
          <w:marBottom w:val="0"/>
          <w:divBdr>
            <w:top w:val="none" w:sz="0" w:space="0" w:color="auto"/>
            <w:left w:val="none" w:sz="0" w:space="0" w:color="auto"/>
            <w:bottom w:val="none" w:sz="0" w:space="0" w:color="auto"/>
            <w:right w:val="none" w:sz="0" w:space="0" w:color="auto"/>
          </w:divBdr>
        </w:div>
        <w:div w:id="125129860">
          <w:marLeft w:val="0"/>
          <w:marRight w:val="0"/>
          <w:marTop w:val="0"/>
          <w:marBottom w:val="0"/>
          <w:divBdr>
            <w:top w:val="none" w:sz="0" w:space="0" w:color="auto"/>
            <w:left w:val="none" w:sz="0" w:space="0" w:color="auto"/>
            <w:bottom w:val="none" w:sz="0" w:space="0" w:color="auto"/>
            <w:right w:val="none" w:sz="0" w:space="0" w:color="auto"/>
          </w:divBdr>
        </w:div>
        <w:div w:id="2053459651">
          <w:marLeft w:val="0"/>
          <w:marRight w:val="0"/>
          <w:marTop w:val="0"/>
          <w:marBottom w:val="0"/>
          <w:divBdr>
            <w:top w:val="none" w:sz="0" w:space="0" w:color="auto"/>
            <w:left w:val="none" w:sz="0" w:space="0" w:color="auto"/>
            <w:bottom w:val="none" w:sz="0" w:space="0" w:color="auto"/>
            <w:right w:val="none" w:sz="0" w:space="0" w:color="auto"/>
          </w:divBdr>
        </w:div>
        <w:div w:id="823008087">
          <w:marLeft w:val="0"/>
          <w:marRight w:val="0"/>
          <w:marTop w:val="0"/>
          <w:marBottom w:val="0"/>
          <w:divBdr>
            <w:top w:val="none" w:sz="0" w:space="0" w:color="auto"/>
            <w:left w:val="none" w:sz="0" w:space="0" w:color="auto"/>
            <w:bottom w:val="none" w:sz="0" w:space="0" w:color="auto"/>
            <w:right w:val="none" w:sz="0" w:space="0" w:color="auto"/>
          </w:divBdr>
        </w:div>
        <w:div w:id="1913658879">
          <w:marLeft w:val="0"/>
          <w:marRight w:val="0"/>
          <w:marTop w:val="0"/>
          <w:marBottom w:val="0"/>
          <w:divBdr>
            <w:top w:val="none" w:sz="0" w:space="0" w:color="auto"/>
            <w:left w:val="none" w:sz="0" w:space="0" w:color="auto"/>
            <w:bottom w:val="none" w:sz="0" w:space="0" w:color="auto"/>
            <w:right w:val="none" w:sz="0" w:space="0" w:color="auto"/>
          </w:divBdr>
        </w:div>
      </w:divsChild>
    </w:div>
    <w:div w:id="16066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42B66-A95B-4DED-B643-697C93279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2614</Words>
  <Characters>14901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USR</cp:lastModifiedBy>
  <cp:revision>3</cp:revision>
  <cp:lastPrinted>2023-01-09T13:25:00Z</cp:lastPrinted>
  <dcterms:created xsi:type="dcterms:W3CDTF">2023-01-19T08:55:00Z</dcterms:created>
  <dcterms:modified xsi:type="dcterms:W3CDTF">2023-01-25T08:42:00Z</dcterms:modified>
</cp:coreProperties>
</file>