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B2" w:rsidRPr="00207B59" w:rsidRDefault="00163BB2" w:rsidP="00207B59">
      <w:pPr>
        <w:pStyle w:val="NoSpacing"/>
        <w:jc w:val="both"/>
        <w:rPr>
          <w:b/>
          <w:sz w:val="24"/>
          <w:szCs w:val="24"/>
          <w:lang w:val="en-US"/>
        </w:rPr>
      </w:pPr>
      <w:r w:rsidRPr="00207B59">
        <w:rPr>
          <w:b/>
          <w:sz w:val="24"/>
          <w:szCs w:val="24"/>
          <w:lang w:val="en-US"/>
        </w:rPr>
        <w:t xml:space="preserve">AVIM INVESTMENTS (PVT) LTD </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Versus</w:t>
      </w:r>
    </w:p>
    <w:p w:rsidR="00163BB2" w:rsidRPr="00207B59" w:rsidRDefault="00163BB2" w:rsidP="00207B59">
      <w:pPr>
        <w:pStyle w:val="NoSpacing"/>
        <w:jc w:val="both"/>
        <w:rPr>
          <w:b/>
          <w:sz w:val="24"/>
          <w:szCs w:val="24"/>
          <w:lang w:val="en-US"/>
        </w:rPr>
      </w:pPr>
    </w:p>
    <w:p w:rsidR="00B73C19" w:rsidRPr="00207B59" w:rsidRDefault="00163BB2" w:rsidP="00207B59">
      <w:pPr>
        <w:pStyle w:val="NoSpacing"/>
        <w:jc w:val="both"/>
        <w:rPr>
          <w:b/>
          <w:sz w:val="24"/>
          <w:szCs w:val="24"/>
          <w:lang w:val="en-US"/>
        </w:rPr>
      </w:pPr>
      <w:r w:rsidRPr="00207B59">
        <w:rPr>
          <w:b/>
          <w:sz w:val="24"/>
          <w:szCs w:val="24"/>
          <w:lang w:val="en-US"/>
        </w:rPr>
        <w:t>HWANGE COLLIERY COMPANY LTD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ZHONG JIAN (PVT) LTD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DALE S</w:t>
      </w:r>
      <w:r w:rsidR="00E13EB3" w:rsidRPr="00207B59">
        <w:rPr>
          <w:b/>
          <w:sz w:val="24"/>
          <w:szCs w:val="24"/>
          <w:lang w:val="en-US"/>
        </w:rPr>
        <w:t>i</w:t>
      </w:r>
      <w:r w:rsidRPr="00207B59">
        <w:rPr>
          <w:b/>
          <w:sz w:val="24"/>
          <w:szCs w:val="24"/>
          <w:lang w:val="en-US"/>
        </w:rPr>
        <w:t>TUTU SIBANDA</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MUTSA MOLLIE JEAN REMBA</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SALOME RUTENDO CHICHAYA</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BLAKE MHATIWA</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And</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BAO JUZHENG</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sz w:val="24"/>
          <w:szCs w:val="24"/>
          <w:lang w:val="en-US"/>
        </w:rPr>
      </w:pPr>
      <w:r w:rsidRPr="00207B59">
        <w:rPr>
          <w:sz w:val="24"/>
          <w:szCs w:val="24"/>
          <w:lang w:val="en-US"/>
        </w:rPr>
        <w:t>IN THE HIGH COURT OF ZIMBABWE</w:t>
      </w:r>
    </w:p>
    <w:p w:rsidR="00163BB2" w:rsidRPr="00207B59" w:rsidRDefault="00163BB2" w:rsidP="00207B59">
      <w:pPr>
        <w:pStyle w:val="NoSpacing"/>
        <w:jc w:val="both"/>
        <w:rPr>
          <w:sz w:val="24"/>
          <w:szCs w:val="24"/>
          <w:lang w:val="en-US"/>
        </w:rPr>
      </w:pPr>
      <w:r w:rsidRPr="00207B59">
        <w:rPr>
          <w:sz w:val="24"/>
          <w:szCs w:val="24"/>
          <w:lang w:val="en-US"/>
        </w:rPr>
        <w:t>MOYO J</w:t>
      </w:r>
    </w:p>
    <w:p w:rsidR="00163BB2" w:rsidRPr="00207B59" w:rsidRDefault="00163BB2" w:rsidP="00207B59">
      <w:pPr>
        <w:pStyle w:val="NoSpacing"/>
        <w:jc w:val="both"/>
        <w:rPr>
          <w:sz w:val="24"/>
          <w:szCs w:val="24"/>
          <w:lang w:val="en-US"/>
        </w:rPr>
      </w:pPr>
      <w:r w:rsidRPr="00207B59">
        <w:rPr>
          <w:sz w:val="24"/>
          <w:szCs w:val="24"/>
          <w:lang w:val="en-US"/>
        </w:rPr>
        <w:t>BU</w:t>
      </w:r>
      <w:r w:rsidR="00126B75">
        <w:rPr>
          <w:sz w:val="24"/>
          <w:szCs w:val="24"/>
          <w:lang w:val="en-US"/>
        </w:rPr>
        <w:t xml:space="preserve">LAWAYO 8 NOVEMBER 2022 &amp; </w:t>
      </w:r>
      <w:r w:rsidR="0065207F">
        <w:rPr>
          <w:sz w:val="24"/>
          <w:szCs w:val="24"/>
          <w:lang w:val="en-US"/>
        </w:rPr>
        <w:t>4 MAY</w:t>
      </w:r>
      <w:bookmarkStart w:id="0" w:name="_GoBack"/>
      <w:bookmarkEnd w:id="0"/>
      <w:r w:rsidR="00126B75">
        <w:rPr>
          <w:sz w:val="24"/>
          <w:szCs w:val="24"/>
          <w:lang w:val="en-US"/>
        </w:rPr>
        <w:t xml:space="preserve"> 2023</w:t>
      </w:r>
    </w:p>
    <w:p w:rsidR="00163BB2" w:rsidRPr="00207B59" w:rsidRDefault="00163BB2" w:rsidP="00207B59">
      <w:pPr>
        <w:pStyle w:val="NoSpacing"/>
        <w:jc w:val="both"/>
        <w:rPr>
          <w:sz w:val="24"/>
          <w:szCs w:val="24"/>
          <w:lang w:val="en-US"/>
        </w:rPr>
      </w:pPr>
    </w:p>
    <w:p w:rsidR="00163BB2" w:rsidRPr="00207B59" w:rsidRDefault="00163BB2" w:rsidP="00207B59">
      <w:pPr>
        <w:pStyle w:val="NoSpacing"/>
        <w:jc w:val="both"/>
        <w:rPr>
          <w:b/>
          <w:sz w:val="24"/>
          <w:szCs w:val="24"/>
          <w:lang w:val="en-US"/>
        </w:rPr>
      </w:pPr>
      <w:r w:rsidRPr="00207B59">
        <w:rPr>
          <w:b/>
          <w:sz w:val="24"/>
          <w:szCs w:val="24"/>
          <w:lang w:val="en-US"/>
        </w:rPr>
        <w:t>Opposed application</w:t>
      </w:r>
    </w:p>
    <w:p w:rsidR="00163BB2" w:rsidRPr="00207B59" w:rsidRDefault="00163BB2" w:rsidP="00207B59">
      <w:pPr>
        <w:pStyle w:val="NoSpacing"/>
        <w:jc w:val="both"/>
        <w:rPr>
          <w:b/>
          <w:sz w:val="24"/>
          <w:szCs w:val="24"/>
          <w:lang w:val="en-US"/>
        </w:rPr>
      </w:pPr>
    </w:p>
    <w:p w:rsidR="00163BB2" w:rsidRPr="00207B59" w:rsidRDefault="00163BB2" w:rsidP="00207B59">
      <w:pPr>
        <w:pStyle w:val="NoSpacing"/>
        <w:jc w:val="both"/>
        <w:rPr>
          <w:sz w:val="24"/>
          <w:szCs w:val="24"/>
          <w:lang w:val="en-US"/>
        </w:rPr>
      </w:pPr>
      <w:r w:rsidRPr="00207B59">
        <w:rPr>
          <w:i/>
          <w:sz w:val="24"/>
          <w:szCs w:val="24"/>
          <w:lang w:val="en-US"/>
        </w:rPr>
        <w:t xml:space="preserve">T. </w:t>
      </w:r>
      <w:proofErr w:type="spellStart"/>
      <w:r w:rsidRPr="00207B59">
        <w:rPr>
          <w:i/>
          <w:sz w:val="24"/>
          <w:szCs w:val="24"/>
          <w:lang w:val="en-US"/>
        </w:rPr>
        <w:t>Sena</w:t>
      </w:r>
      <w:proofErr w:type="spellEnd"/>
      <w:r w:rsidRPr="00207B59">
        <w:rPr>
          <w:sz w:val="24"/>
          <w:szCs w:val="24"/>
          <w:lang w:val="en-US"/>
        </w:rPr>
        <w:t xml:space="preserve"> for the applicant</w:t>
      </w:r>
    </w:p>
    <w:p w:rsidR="00163BB2" w:rsidRPr="00207B59" w:rsidRDefault="00163BB2" w:rsidP="00207B59">
      <w:pPr>
        <w:pStyle w:val="NoSpacing"/>
        <w:jc w:val="both"/>
        <w:rPr>
          <w:sz w:val="24"/>
          <w:szCs w:val="24"/>
          <w:lang w:val="en-US"/>
        </w:rPr>
      </w:pPr>
      <w:r w:rsidRPr="00207B59">
        <w:rPr>
          <w:i/>
          <w:sz w:val="24"/>
          <w:szCs w:val="24"/>
          <w:lang w:val="en-US"/>
        </w:rPr>
        <w:t xml:space="preserve">Adv. T. </w:t>
      </w:r>
      <w:proofErr w:type="spellStart"/>
      <w:r w:rsidRPr="00207B59">
        <w:rPr>
          <w:i/>
          <w:sz w:val="24"/>
          <w:szCs w:val="24"/>
          <w:lang w:val="en-US"/>
        </w:rPr>
        <w:t>Magwaliba</w:t>
      </w:r>
      <w:proofErr w:type="spellEnd"/>
      <w:r w:rsidRPr="00207B59">
        <w:rPr>
          <w:sz w:val="24"/>
          <w:szCs w:val="24"/>
          <w:lang w:val="en-US"/>
        </w:rPr>
        <w:t xml:space="preserve"> for the </w:t>
      </w:r>
      <w:r w:rsidR="00135877" w:rsidRPr="00207B59">
        <w:rPr>
          <w:sz w:val="24"/>
          <w:szCs w:val="24"/>
          <w:lang w:val="en-US"/>
        </w:rPr>
        <w:t>1</w:t>
      </w:r>
      <w:r w:rsidR="00135877" w:rsidRPr="00207B59">
        <w:rPr>
          <w:sz w:val="24"/>
          <w:szCs w:val="24"/>
          <w:vertAlign w:val="superscript"/>
          <w:lang w:val="en-US"/>
        </w:rPr>
        <w:t>st</w:t>
      </w:r>
      <w:r w:rsidR="00135877" w:rsidRPr="00207B59">
        <w:rPr>
          <w:sz w:val="24"/>
          <w:szCs w:val="24"/>
          <w:lang w:val="en-US"/>
        </w:rPr>
        <w:t xml:space="preserve">, </w:t>
      </w:r>
      <w:r w:rsidRPr="00207B59">
        <w:rPr>
          <w:sz w:val="24"/>
          <w:szCs w:val="24"/>
          <w:lang w:val="en-US"/>
        </w:rPr>
        <w:t>3</w:t>
      </w:r>
      <w:r w:rsidRPr="00207B59">
        <w:rPr>
          <w:sz w:val="24"/>
          <w:szCs w:val="24"/>
          <w:vertAlign w:val="superscript"/>
          <w:lang w:val="en-US"/>
        </w:rPr>
        <w:t>rd</w:t>
      </w:r>
      <w:r w:rsidRPr="00207B59">
        <w:rPr>
          <w:sz w:val="24"/>
          <w:szCs w:val="24"/>
          <w:lang w:val="en-US"/>
        </w:rPr>
        <w:t>, 4</w:t>
      </w:r>
      <w:r w:rsidRPr="00207B59">
        <w:rPr>
          <w:sz w:val="24"/>
          <w:szCs w:val="24"/>
          <w:vertAlign w:val="superscript"/>
          <w:lang w:val="en-US"/>
        </w:rPr>
        <w:t>th</w:t>
      </w:r>
      <w:r w:rsidRPr="00207B59">
        <w:rPr>
          <w:sz w:val="24"/>
          <w:szCs w:val="24"/>
          <w:lang w:val="en-US"/>
        </w:rPr>
        <w:t>, 5</w:t>
      </w:r>
      <w:r w:rsidRPr="00207B59">
        <w:rPr>
          <w:sz w:val="24"/>
          <w:szCs w:val="24"/>
          <w:vertAlign w:val="superscript"/>
          <w:lang w:val="en-US"/>
        </w:rPr>
        <w:t>th</w:t>
      </w:r>
      <w:r w:rsidRPr="00207B59">
        <w:rPr>
          <w:sz w:val="24"/>
          <w:szCs w:val="24"/>
          <w:lang w:val="en-US"/>
        </w:rPr>
        <w:t xml:space="preserve">, </w:t>
      </w:r>
      <w:r w:rsidR="00135877" w:rsidRPr="00207B59">
        <w:rPr>
          <w:sz w:val="24"/>
          <w:szCs w:val="24"/>
          <w:lang w:val="en-US"/>
        </w:rPr>
        <w:t>&amp; 6</w:t>
      </w:r>
      <w:r w:rsidR="00135877" w:rsidRPr="00207B59">
        <w:rPr>
          <w:sz w:val="24"/>
          <w:szCs w:val="24"/>
          <w:vertAlign w:val="superscript"/>
          <w:lang w:val="en-US"/>
        </w:rPr>
        <w:t>th</w:t>
      </w:r>
      <w:r w:rsidR="00135877" w:rsidRPr="00207B59">
        <w:rPr>
          <w:sz w:val="24"/>
          <w:szCs w:val="24"/>
          <w:lang w:val="en-US"/>
        </w:rPr>
        <w:t xml:space="preserve"> </w:t>
      </w:r>
      <w:r w:rsidRPr="00207B59">
        <w:rPr>
          <w:sz w:val="24"/>
          <w:szCs w:val="24"/>
          <w:lang w:val="en-US"/>
        </w:rPr>
        <w:t>respondent</w:t>
      </w:r>
      <w:r w:rsidR="00135877" w:rsidRPr="00207B59">
        <w:rPr>
          <w:sz w:val="24"/>
          <w:szCs w:val="24"/>
          <w:lang w:val="en-US"/>
        </w:rPr>
        <w:t>s</w:t>
      </w:r>
    </w:p>
    <w:p w:rsidR="00163BB2" w:rsidRPr="00207B59" w:rsidRDefault="00163BB2" w:rsidP="00207B59">
      <w:pPr>
        <w:pStyle w:val="NoSpacing"/>
        <w:jc w:val="both"/>
        <w:rPr>
          <w:sz w:val="24"/>
          <w:szCs w:val="24"/>
          <w:lang w:val="en-US"/>
        </w:rPr>
      </w:pPr>
      <w:r w:rsidRPr="00207B59">
        <w:rPr>
          <w:i/>
          <w:sz w:val="24"/>
          <w:szCs w:val="24"/>
          <w:lang w:val="en-US"/>
        </w:rPr>
        <w:t>I</w:t>
      </w:r>
      <w:r w:rsidR="005C6420" w:rsidRPr="00207B59">
        <w:rPr>
          <w:i/>
          <w:sz w:val="24"/>
          <w:szCs w:val="24"/>
          <w:lang w:val="en-US"/>
        </w:rPr>
        <w:t>.</w:t>
      </w:r>
      <w:r w:rsidRPr="00207B59">
        <w:rPr>
          <w:i/>
          <w:sz w:val="24"/>
          <w:szCs w:val="24"/>
          <w:lang w:val="en-US"/>
        </w:rPr>
        <w:t xml:space="preserve">  </w:t>
      </w:r>
      <w:proofErr w:type="spellStart"/>
      <w:r w:rsidRPr="00207B59">
        <w:rPr>
          <w:i/>
          <w:sz w:val="24"/>
          <w:szCs w:val="24"/>
          <w:lang w:val="en-US"/>
        </w:rPr>
        <w:t>Goto</w:t>
      </w:r>
      <w:proofErr w:type="spellEnd"/>
      <w:r w:rsidRPr="00207B59">
        <w:rPr>
          <w:sz w:val="24"/>
          <w:szCs w:val="24"/>
          <w:lang w:val="en-US"/>
        </w:rPr>
        <w:t xml:space="preserve"> for the 2</w:t>
      </w:r>
      <w:r w:rsidRPr="00207B59">
        <w:rPr>
          <w:sz w:val="24"/>
          <w:szCs w:val="24"/>
          <w:vertAlign w:val="superscript"/>
          <w:lang w:val="en-US"/>
        </w:rPr>
        <w:t>nd</w:t>
      </w:r>
      <w:r w:rsidRPr="00207B59">
        <w:rPr>
          <w:sz w:val="24"/>
          <w:szCs w:val="24"/>
          <w:lang w:val="en-US"/>
        </w:rPr>
        <w:t xml:space="preserve"> </w:t>
      </w:r>
      <w:r w:rsidR="00135877" w:rsidRPr="00207B59">
        <w:rPr>
          <w:sz w:val="24"/>
          <w:szCs w:val="24"/>
          <w:lang w:val="en-US"/>
        </w:rPr>
        <w:t>&amp; 7</w:t>
      </w:r>
      <w:r w:rsidR="00135877" w:rsidRPr="00207B59">
        <w:rPr>
          <w:sz w:val="24"/>
          <w:szCs w:val="24"/>
          <w:vertAlign w:val="superscript"/>
          <w:lang w:val="en-US"/>
        </w:rPr>
        <w:t>th</w:t>
      </w:r>
      <w:r w:rsidR="00135877" w:rsidRPr="00207B59">
        <w:rPr>
          <w:sz w:val="24"/>
          <w:szCs w:val="24"/>
          <w:lang w:val="en-US"/>
        </w:rPr>
        <w:t xml:space="preserve"> </w:t>
      </w:r>
      <w:r w:rsidRPr="00207B59">
        <w:rPr>
          <w:sz w:val="24"/>
          <w:szCs w:val="24"/>
          <w:lang w:val="en-US"/>
        </w:rPr>
        <w:t>respondent</w:t>
      </w:r>
      <w:r w:rsidR="00135877" w:rsidRPr="00207B59">
        <w:rPr>
          <w:sz w:val="24"/>
          <w:szCs w:val="24"/>
          <w:lang w:val="en-US"/>
        </w:rPr>
        <w:t>s</w:t>
      </w:r>
    </w:p>
    <w:p w:rsidR="00163BB2" w:rsidRPr="00207B59" w:rsidRDefault="00163BB2" w:rsidP="00207B59">
      <w:pPr>
        <w:pStyle w:val="NoSpacing"/>
        <w:jc w:val="both"/>
        <w:rPr>
          <w:sz w:val="24"/>
          <w:szCs w:val="24"/>
          <w:lang w:val="en-US"/>
        </w:rPr>
      </w:pPr>
    </w:p>
    <w:p w:rsidR="00135877" w:rsidRPr="00207B59" w:rsidRDefault="00135877" w:rsidP="00207B59">
      <w:pPr>
        <w:jc w:val="both"/>
        <w:rPr>
          <w:sz w:val="24"/>
          <w:szCs w:val="24"/>
          <w:lang w:val="en-US"/>
        </w:rPr>
      </w:pPr>
      <w:r w:rsidRPr="00207B59">
        <w:rPr>
          <w:sz w:val="24"/>
          <w:szCs w:val="24"/>
          <w:lang w:val="en-US"/>
        </w:rPr>
        <w:tab/>
      </w:r>
      <w:r w:rsidRPr="00207B59">
        <w:rPr>
          <w:b/>
          <w:sz w:val="24"/>
          <w:szCs w:val="24"/>
          <w:lang w:val="en-US"/>
        </w:rPr>
        <w:t>MOYO J:</w:t>
      </w:r>
      <w:r w:rsidRPr="00207B59">
        <w:rPr>
          <w:b/>
          <w:sz w:val="24"/>
          <w:szCs w:val="24"/>
          <w:lang w:val="en-US"/>
        </w:rPr>
        <w:tab/>
      </w:r>
      <w:r w:rsidRPr="00207B59">
        <w:rPr>
          <w:sz w:val="24"/>
          <w:szCs w:val="24"/>
          <w:lang w:val="en-US"/>
        </w:rPr>
        <w:t>This is an application</w:t>
      </w:r>
      <w:r w:rsidR="00810A9F" w:rsidRPr="00207B59">
        <w:rPr>
          <w:sz w:val="24"/>
          <w:szCs w:val="24"/>
          <w:lang w:val="en-US"/>
        </w:rPr>
        <w:t xml:space="preserve"> for contempt of court wherein the applicant seeks an order in the following terms:</w:t>
      </w:r>
    </w:p>
    <w:p w:rsidR="00810A9F" w:rsidRPr="00207B59" w:rsidRDefault="00810A9F" w:rsidP="00207B59">
      <w:pPr>
        <w:pStyle w:val="ListParagraph"/>
        <w:numPr>
          <w:ilvl w:val="0"/>
          <w:numId w:val="2"/>
        </w:numPr>
        <w:jc w:val="both"/>
        <w:rPr>
          <w:sz w:val="24"/>
          <w:szCs w:val="24"/>
          <w:lang w:val="en-US"/>
        </w:rPr>
      </w:pPr>
      <w:r w:rsidRPr="00207B59">
        <w:rPr>
          <w:sz w:val="24"/>
          <w:szCs w:val="24"/>
          <w:lang w:val="en-US"/>
        </w:rPr>
        <w:t>The application be and is hereby granted.</w:t>
      </w:r>
    </w:p>
    <w:p w:rsidR="00810A9F" w:rsidRPr="00207B59" w:rsidRDefault="00810A9F" w:rsidP="00207B59">
      <w:pPr>
        <w:pStyle w:val="ListParagraph"/>
        <w:numPr>
          <w:ilvl w:val="0"/>
          <w:numId w:val="2"/>
        </w:numPr>
        <w:jc w:val="both"/>
        <w:rPr>
          <w:sz w:val="24"/>
          <w:szCs w:val="24"/>
          <w:lang w:val="en-US"/>
        </w:rPr>
      </w:pPr>
      <w:r w:rsidRPr="00207B59">
        <w:rPr>
          <w:sz w:val="24"/>
          <w:szCs w:val="24"/>
          <w:lang w:val="en-US"/>
        </w:rPr>
        <w:lastRenderedPageBreak/>
        <w:t>The respondents be and are hereby directed to cease and purge the  contempt by immediately starting to comply strictly with the court order under cover of HC 40/22 and or judgment number HB-34-22 dated 3</w:t>
      </w:r>
      <w:r w:rsidRPr="00207B59">
        <w:rPr>
          <w:sz w:val="24"/>
          <w:szCs w:val="24"/>
          <w:vertAlign w:val="superscript"/>
          <w:lang w:val="en-US"/>
        </w:rPr>
        <w:t>rd</w:t>
      </w:r>
      <w:r w:rsidRPr="00207B59">
        <w:rPr>
          <w:sz w:val="24"/>
          <w:szCs w:val="24"/>
          <w:lang w:val="en-US"/>
        </w:rPr>
        <w:t xml:space="preserve"> February 2022.</w:t>
      </w:r>
    </w:p>
    <w:p w:rsidR="00810A9F" w:rsidRPr="00207B59" w:rsidRDefault="00810A9F" w:rsidP="00207B59">
      <w:pPr>
        <w:pStyle w:val="ListParagraph"/>
        <w:numPr>
          <w:ilvl w:val="0"/>
          <w:numId w:val="2"/>
        </w:numPr>
        <w:jc w:val="both"/>
        <w:rPr>
          <w:sz w:val="24"/>
          <w:szCs w:val="24"/>
          <w:lang w:val="en-US"/>
        </w:rPr>
      </w:pPr>
      <w:r w:rsidRPr="00207B59">
        <w:rPr>
          <w:sz w:val="24"/>
          <w:szCs w:val="24"/>
          <w:lang w:val="en-US"/>
        </w:rPr>
        <w:t>Each of the respondents is hereby fined the equivalent of US$2 000 in Zimbabwean dollars payable at the prevailing market rate as at the date of payment which fine shall be deposited with the Registrar of the High Curt within 2 (two days) of this order, and in default of payment, the respondents shall serve 2 (two) months imprisonment.</w:t>
      </w:r>
    </w:p>
    <w:p w:rsidR="00810A9F" w:rsidRPr="00207B59" w:rsidRDefault="00810A9F" w:rsidP="00207B59">
      <w:pPr>
        <w:pStyle w:val="ListParagraph"/>
        <w:numPr>
          <w:ilvl w:val="0"/>
          <w:numId w:val="2"/>
        </w:numPr>
        <w:jc w:val="both"/>
        <w:rPr>
          <w:sz w:val="24"/>
          <w:szCs w:val="24"/>
          <w:lang w:val="en-US"/>
        </w:rPr>
      </w:pPr>
      <w:r w:rsidRPr="00207B59">
        <w:rPr>
          <w:sz w:val="24"/>
          <w:szCs w:val="24"/>
          <w:lang w:val="en-US"/>
        </w:rPr>
        <w:t>In addition, the 3</w:t>
      </w:r>
      <w:r w:rsidRPr="00207B59">
        <w:rPr>
          <w:sz w:val="24"/>
          <w:szCs w:val="24"/>
          <w:vertAlign w:val="superscript"/>
          <w:lang w:val="en-US"/>
        </w:rPr>
        <w:t>rd</w:t>
      </w:r>
      <w:r w:rsidRPr="00207B59">
        <w:rPr>
          <w:sz w:val="24"/>
          <w:szCs w:val="24"/>
          <w:lang w:val="en-US"/>
        </w:rPr>
        <w:t>, 4</w:t>
      </w:r>
      <w:r w:rsidRPr="00207B59">
        <w:rPr>
          <w:sz w:val="24"/>
          <w:szCs w:val="24"/>
          <w:vertAlign w:val="superscript"/>
          <w:lang w:val="en-US"/>
        </w:rPr>
        <w:t>th</w:t>
      </w:r>
      <w:r w:rsidRPr="00207B59">
        <w:rPr>
          <w:sz w:val="24"/>
          <w:szCs w:val="24"/>
          <w:lang w:val="en-US"/>
        </w:rPr>
        <w:t>, 5</w:t>
      </w:r>
      <w:r w:rsidRPr="00207B59">
        <w:rPr>
          <w:sz w:val="24"/>
          <w:szCs w:val="24"/>
          <w:vertAlign w:val="superscript"/>
          <w:lang w:val="en-US"/>
        </w:rPr>
        <w:t>th</w:t>
      </w:r>
      <w:r w:rsidRPr="00207B59">
        <w:rPr>
          <w:sz w:val="24"/>
          <w:szCs w:val="24"/>
          <w:lang w:val="en-US"/>
        </w:rPr>
        <w:t>, 6</w:t>
      </w:r>
      <w:r w:rsidRPr="00207B59">
        <w:rPr>
          <w:sz w:val="24"/>
          <w:szCs w:val="24"/>
          <w:vertAlign w:val="superscript"/>
          <w:lang w:val="en-US"/>
        </w:rPr>
        <w:t>th</w:t>
      </w:r>
      <w:r w:rsidRPr="00207B59">
        <w:rPr>
          <w:sz w:val="24"/>
          <w:szCs w:val="24"/>
          <w:lang w:val="en-US"/>
        </w:rPr>
        <w:t>, and 7</w:t>
      </w:r>
      <w:r w:rsidRPr="00207B59">
        <w:rPr>
          <w:sz w:val="24"/>
          <w:szCs w:val="24"/>
          <w:vertAlign w:val="superscript"/>
          <w:lang w:val="en-US"/>
        </w:rPr>
        <w:t>th</w:t>
      </w:r>
      <w:r w:rsidRPr="00207B59">
        <w:rPr>
          <w:sz w:val="24"/>
          <w:szCs w:val="24"/>
          <w:lang w:val="en-US"/>
        </w:rPr>
        <w:t xml:space="preserve"> respondents are hereby sentenced to si</w:t>
      </w:r>
      <w:r w:rsidR="00463875" w:rsidRPr="00207B59">
        <w:rPr>
          <w:sz w:val="24"/>
          <w:szCs w:val="24"/>
          <w:lang w:val="en-US"/>
        </w:rPr>
        <w:t>x</w:t>
      </w:r>
      <w:r w:rsidRPr="00207B59">
        <w:rPr>
          <w:sz w:val="24"/>
          <w:szCs w:val="24"/>
          <w:lang w:val="en-US"/>
        </w:rPr>
        <w:t xml:space="preserve"> (6) months imprisonment wholly suspended on condition that they do not hire the 2</w:t>
      </w:r>
      <w:r w:rsidRPr="00207B59">
        <w:rPr>
          <w:sz w:val="24"/>
          <w:szCs w:val="24"/>
          <w:vertAlign w:val="superscript"/>
          <w:lang w:val="en-US"/>
        </w:rPr>
        <w:t>nd</w:t>
      </w:r>
      <w:r w:rsidRPr="00207B59">
        <w:rPr>
          <w:sz w:val="24"/>
          <w:szCs w:val="24"/>
          <w:lang w:val="en-US"/>
        </w:rPr>
        <w:t xml:space="preserve"> respondent’s equipment and conduct coal mining activities at </w:t>
      </w:r>
      <w:proofErr w:type="spellStart"/>
      <w:r w:rsidRPr="00207B59">
        <w:rPr>
          <w:sz w:val="24"/>
          <w:szCs w:val="24"/>
          <w:lang w:val="en-US"/>
        </w:rPr>
        <w:t>Chaba</w:t>
      </w:r>
      <w:proofErr w:type="spellEnd"/>
      <w:r w:rsidRPr="00207B59">
        <w:rPr>
          <w:sz w:val="24"/>
          <w:szCs w:val="24"/>
          <w:lang w:val="en-US"/>
        </w:rPr>
        <w:t xml:space="preserve"> pit until the proceedings under case number HC 40/22 are </w:t>
      </w:r>
      <w:proofErr w:type="spellStart"/>
      <w:r w:rsidRPr="00207B59">
        <w:rPr>
          <w:sz w:val="24"/>
          <w:szCs w:val="24"/>
          <w:lang w:val="en-US"/>
        </w:rPr>
        <w:t>finalis</w:t>
      </w:r>
      <w:r w:rsidR="00463875" w:rsidRPr="00207B59">
        <w:rPr>
          <w:sz w:val="24"/>
          <w:szCs w:val="24"/>
          <w:lang w:val="en-US"/>
        </w:rPr>
        <w:t>e</w:t>
      </w:r>
      <w:r w:rsidRPr="00207B59">
        <w:rPr>
          <w:sz w:val="24"/>
          <w:szCs w:val="24"/>
          <w:lang w:val="en-US"/>
        </w:rPr>
        <w:t>d</w:t>
      </w:r>
      <w:proofErr w:type="spellEnd"/>
      <w:r w:rsidRPr="00207B59">
        <w:rPr>
          <w:sz w:val="24"/>
          <w:szCs w:val="24"/>
          <w:lang w:val="en-US"/>
        </w:rPr>
        <w:t>.</w:t>
      </w:r>
    </w:p>
    <w:p w:rsidR="00810A9F" w:rsidRPr="00207B59" w:rsidRDefault="00810A9F" w:rsidP="00207B59">
      <w:pPr>
        <w:pStyle w:val="ListParagraph"/>
        <w:numPr>
          <w:ilvl w:val="0"/>
          <w:numId w:val="2"/>
        </w:numPr>
        <w:jc w:val="both"/>
        <w:rPr>
          <w:sz w:val="24"/>
          <w:szCs w:val="24"/>
          <w:lang w:val="en-US"/>
        </w:rPr>
      </w:pPr>
      <w:r w:rsidRPr="00207B59">
        <w:rPr>
          <w:sz w:val="24"/>
          <w:szCs w:val="24"/>
          <w:lang w:val="en-US"/>
        </w:rPr>
        <w:t xml:space="preserve">The respondents shall, jointly and severally, pay the costs </w:t>
      </w:r>
      <w:r w:rsidR="005C6420" w:rsidRPr="00207B59">
        <w:rPr>
          <w:sz w:val="24"/>
          <w:szCs w:val="24"/>
          <w:lang w:val="en-US"/>
        </w:rPr>
        <w:t>of suit on a legal practitioner</w:t>
      </w:r>
      <w:r w:rsidRPr="00207B59">
        <w:rPr>
          <w:sz w:val="24"/>
          <w:szCs w:val="24"/>
          <w:lang w:val="en-US"/>
        </w:rPr>
        <w:t xml:space="preserve"> and client scale.</w:t>
      </w:r>
    </w:p>
    <w:p w:rsidR="00810A9F" w:rsidRPr="00207B59" w:rsidRDefault="00810A9F" w:rsidP="00207B59">
      <w:pPr>
        <w:jc w:val="both"/>
        <w:rPr>
          <w:sz w:val="24"/>
          <w:szCs w:val="24"/>
          <w:lang w:val="en-US"/>
        </w:rPr>
      </w:pPr>
    </w:p>
    <w:p w:rsidR="00810A9F" w:rsidRPr="00207B59" w:rsidRDefault="00810A9F" w:rsidP="00207B59">
      <w:pPr>
        <w:ind w:firstLine="720"/>
        <w:jc w:val="both"/>
        <w:rPr>
          <w:sz w:val="24"/>
          <w:szCs w:val="24"/>
          <w:lang w:val="en-US"/>
        </w:rPr>
      </w:pPr>
      <w:r w:rsidRPr="00207B59">
        <w:rPr>
          <w:sz w:val="24"/>
          <w:szCs w:val="24"/>
          <w:lang w:val="en-US"/>
        </w:rPr>
        <w:t>The facts of this matter are that under HC 40/22 the applicant obtained an order against 1</w:t>
      </w:r>
      <w:r w:rsidRPr="00207B59">
        <w:rPr>
          <w:sz w:val="24"/>
          <w:szCs w:val="24"/>
          <w:vertAlign w:val="superscript"/>
          <w:lang w:val="en-US"/>
        </w:rPr>
        <w:t>st</w:t>
      </w:r>
      <w:r w:rsidRPr="00207B59">
        <w:rPr>
          <w:sz w:val="24"/>
          <w:szCs w:val="24"/>
          <w:lang w:val="en-US"/>
        </w:rPr>
        <w:t xml:space="preserve"> and 2</w:t>
      </w:r>
      <w:r w:rsidRPr="00207B59">
        <w:rPr>
          <w:sz w:val="24"/>
          <w:szCs w:val="24"/>
          <w:vertAlign w:val="superscript"/>
          <w:lang w:val="en-US"/>
        </w:rPr>
        <w:t>nd</w:t>
      </w:r>
      <w:r w:rsidRPr="00207B59">
        <w:rPr>
          <w:sz w:val="24"/>
          <w:szCs w:val="24"/>
          <w:lang w:val="en-US"/>
        </w:rPr>
        <w:t xml:space="preserve"> respondents which was couched in the following manner:</w:t>
      </w:r>
    </w:p>
    <w:p w:rsidR="00810A9F" w:rsidRPr="00207B59" w:rsidRDefault="00810A9F" w:rsidP="00207B59">
      <w:pPr>
        <w:pStyle w:val="NoSpacing"/>
        <w:ind w:left="720"/>
        <w:jc w:val="both"/>
        <w:rPr>
          <w:sz w:val="24"/>
          <w:szCs w:val="24"/>
          <w:lang w:val="en-US"/>
        </w:rPr>
      </w:pPr>
      <w:r w:rsidRPr="00207B59">
        <w:rPr>
          <w:sz w:val="24"/>
          <w:szCs w:val="24"/>
          <w:lang w:val="en-US"/>
        </w:rPr>
        <w:t>“Pending the confirmation of the final order, this provisional order shall</w:t>
      </w:r>
      <w:r w:rsidR="00F57786" w:rsidRPr="00207B59">
        <w:rPr>
          <w:sz w:val="24"/>
          <w:szCs w:val="24"/>
          <w:lang w:val="en-US"/>
        </w:rPr>
        <w:t xml:space="preserve"> serve as an interim order interdicting and directing that:</w:t>
      </w:r>
    </w:p>
    <w:p w:rsidR="00F57786" w:rsidRPr="00207B59" w:rsidRDefault="00F57786" w:rsidP="00207B59">
      <w:pPr>
        <w:pStyle w:val="NoSpacing"/>
        <w:jc w:val="both"/>
        <w:rPr>
          <w:sz w:val="24"/>
          <w:szCs w:val="24"/>
          <w:lang w:val="en-US"/>
        </w:rPr>
      </w:pPr>
    </w:p>
    <w:p w:rsidR="00F57786" w:rsidRPr="00207B59" w:rsidRDefault="00F57786" w:rsidP="00207B59">
      <w:pPr>
        <w:pStyle w:val="NoSpacing"/>
        <w:numPr>
          <w:ilvl w:val="0"/>
          <w:numId w:val="3"/>
        </w:numPr>
        <w:jc w:val="both"/>
        <w:rPr>
          <w:sz w:val="24"/>
          <w:szCs w:val="24"/>
          <w:lang w:val="en-US"/>
        </w:rPr>
      </w:pPr>
      <w:r w:rsidRPr="00207B59">
        <w:rPr>
          <w:sz w:val="24"/>
          <w:szCs w:val="24"/>
          <w:lang w:val="en-US"/>
        </w:rPr>
        <w:t>The 1</w:t>
      </w:r>
      <w:r w:rsidRPr="00207B59">
        <w:rPr>
          <w:sz w:val="24"/>
          <w:szCs w:val="24"/>
          <w:vertAlign w:val="superscript"/>
          <w:lang w:val="en-US"/>
        </w:rPr>
        <w:t>st</w:t>
      </w:r>
      <w:r w:rsidRPr="00207B59">
        <w:rPr>
          <w:sz w:val="24"/>
          <w:szCs w:val="24"/>
          <w:lang w:val="en-US"/>
        </w:rPr>
        <w:t xml:space="preserve"> and 2</w:t>
      </w:r>
      <w:r w:rsidRPr="00207B59">
        <w:rPr>
          <w:sz w:val="24"/>
          <w:szCs w:val="24"/>
          <w:vertAlign w:val="superscript"/>
          <w:lang w:val="en-US"/>
        </w:rPr>
        <w:t>nd</w:t>
      </w:r>
      <w:r w:rsidRPr="00207B59">
        <w:rPr>
          <w:sz w:val="24"/>
          <w:szCs w:val="24"/>
          <w:lang w:val="en-US"/>
        </w:rPr>
        <w:t xml:space="preserve"> respondents, their associates, previous and current employees, business partners be and are hereby ordered forthwith to suspend any mining equipment hiring and coal mining at 1</w:t>
      </w:r>
      <w:r w:rsidRPr="00207B59">
        <w:rPr>
          <w:sz w:val="24"/>
          <w:szCs w:val="24"/>
          <w:vertAlign w:val="superscript"/>
          <w:lang w:val="en-US"/>
        </w:rPr>
        <w:t>st</w:t>
      </w:r>
      <w:r w:rsidRPr="00207B59">
        <w:rPr>
          <w:sz w:val="24"/>
          <w:szCs w:val="24"/>
          <w:lang w:val="en-US"/>
        </w:rPr>
        <w:t xml:space="preserve"> respondent’s coal mining concession at </w:t>
      </w:r>
      <w:proofErr w:type="spellStart"/>
      <w:r w:rsidRPr="00207B59">
        <w:rPr>
          <w:sz w:val="24"/>
          <w:szCs w:val="24"/>
          <w:lang w:val="en-US"/>
        </w:rPr>
        <w:t>Chaba</w:t>
      </w:r>
      <w:proofErr w:type="spellEnd"/>
      <w:r w:rsidRPr="00207B59">
        <w:rPr>
          <w:sz w:val="24"/>
          <w:szCs w:val="24"/>
          <w:lang w:val="en-US"/>
        </w:rPr>
        <w:t xml:space="preserve"> Pit.</w:t>
      </w:r>
    </w:p>
    <w:p w:rsidR="00F57786" w:rsidRPr="00207B59" w:rsidRDefault="00F57786" w:rsidP="00207B59">
      <w:pPr>
        <w:pStyle w:val="NoSpacing"/>
        <w:numPr>
          <w:ilvl w:val="0"/>
          <w:numId w:val="3"/>
        </w:numPr>
        <w:jc w:val="both"/>
        <w:rPr>
          <w:sz w:val="24"/>
          <w:szCs w:val="24"/>
          <w:lang w:val="en-US"/>
        </w:rPr>
      </w:pPr>
      <w:r w:rsidRPr="00207B59">
        <w:rPr>
          <w:sz w:val="24"/>
          <w:szCs w:val="24"/>
          <w:lang w:val="en-US"/>
        </w:rPr>
        <w:t>The 1</w:t>
      </w:r>
      <w:r w:rsidRPr="00207B59">
        <w:rPr>
          <w:sz w:val="24"/>
          <w:szCs w:val="24"/>
          <w:vertAlign w:val="superscript"/>
          <w:lang w:val="en-US"/>
        </w:rPr>
        <w:t>st</w:t>
      </w:r>
      <w:r w:rsidRPr="00207B59">
        <w:rPr>
          <w:sz w:val="24"/>
          <w:szCs w:val="24"/>
          <w:lang w:val="en-US"/>
        </w:rPr>
        <w:t xml:space="preserve"> and 2</w:t>
      </w:r>
      <w:r w:rsidRPr="00207B59">
        <w:rPr>
          <w:sz w:val="24"/>
          <w:szCs w:val="24"/>
          <w:vertAlign w:val="superscript"/>
          <w:lang w:val="en-US"/>
        </w:rPr>
        <w:t>nd</w:t>
      </w:r>
      <w:r w:rsidRPr="00207B59">
        <w:rPr>
          <w:sz w:val="24"/>
          <w:szCs w:val="24"/>
          <w:lang w:val="en-US"/>
        </w:rPr>
        <w:t xml:space="preserve"> respondents, their associates, previous and current employees, business parties be and are hereby ordered to fort</w:t>
      </w:r>
      <w:r w:rsidR="005C6420" w:rsidRPr="00207B59">
        <w:rPr>
          <w:sz w:val="24"/>
          <w:szCs w:val="24"/>
          <w:lang w:val="en-US"/>
        </w:rPr>
        <w:t>h</w:t>
      </w:r>
      <w:r w:rsidRPr="00207B59">
        <w:rPr>
          <w:sz w:val="24"/>
          <w:szCs w:val="24"/>
          <w:lang w:val="en-US"/>
        </w:rPr>
        <w:t>with suspend any operation of 2</w:t>
      </w:r>
      <w:r w:rsidRPr="00207B59">
        <w:rPr>
          <w:sz w:val="24"/>
          <w:szCs w:val="24"/>
          <w:vertAlign w:val="superscript"/>
          <w:lang w:val="en-US"/>
        </w:rPr>
        <w:t>nd</w:t>
      </w:r>
      <w:r w:rsidRPr="00207B59">
        <w:rPr>
          <w:sz w:val="24"/>
          <w:szCs w:val="24"/>
          <w:lang w:val="en-US"/>
        </w:rPr>
        <w:t xml:space="preserve"> respond</w:t>
      </w:r>
      <w:r w:rsidR="00246865" w:rsidRPr="00207B59">
        <w:rPr>
          <w:sz w:val="24"/>
          <w:szCs w:val="24"/>
          <w:lang w:val="en-US"/>
        </w:rPr>
        <w:t>ent’s machinery at 1</w:t>
      </w:r>
      <w:r w:rsidR="00246865" w:rsidRPr="00207B59">
        <w:rPr>
          <w:sz w:val="24"/>
          <w:szCs w:val="24"/>
          <w:vertAlign w:val="superscript"/>
          <w:lang w:val="en-US"/>
        </w:rPr>
        <w:t>st</w:t>
      </w:r>
      <w:r w:rsidR="00246865" w:rsidRPr="00207B59">
        <w:rPr>
          <w:sz w:val="24"/>
          <w:szCs w:val="24"/>
          <w:lang w:val="en-US"/>
        </w:rPr>
        <w:t xml:space="preserve"> respondent’s coal mining concessions at </w:t>
      </w:r>
      <w:proofErr w:type="spellStart"/>
      <w:r w:rsidR="00246865" w:rsidRPr="00207B59">
        <w:rPr>
          <w:sz w:val="24"/>
          <w:szCs w:val="24"/>
          <w:lang w:val="en-US"/>
        </w:rPr>
        <w:t>Chaba</w:t>
      </w:r>
      <w:proofErr w:type="spellEnd"/>
      <w:r w:rsidR="00246865" w:rsidRPr="00207B59">
        <w:rPr>
          <w:sz w:val="24"/>
          <w:szCs w:val="24"/>
          <w:lang w:val="en-US"/>
        </w:rPr>
        <w:t xml:space="preserve"> Pit.”</w:t>
      </w:r>
    </w:p>
    <w:p w:rsidR="00246865" w:rsidRPr="00207B59" w:rsidRDefault="00246865" w:rsidP="00207B59">
      <w:pPr>
        <w:jc w:val="both"/>
        <w:rPr>
          <w:sz w:val="24"/>
          <w:szCs w:val="24"/>
          <w:lang w:val="en-US"/>
        </w:rPr>
      </w:pPr>
    </w:p>
    <w:p w:rsidR="00246865" w:rsidRPr="00207B59" w:rsidRDefault="00246865" w:rsidP="00207B59">
      <w:pPr>
        <w:ind w:firstLine="720"/>
        <w:jc w:val="both"/>
        <w:rPr>
          <w:sz w:val="24"/>
          <w:szCs w:val="24"/>
          <w:lang w:val="en-US"/>
        </w:rPr>
      </w:pPr>
      <w:r w:rsidRPr="00207B59">
        <w:rPr>
          <w:sz w:val="24"/>
          <w:szCs w:val="24"/>
          <w:lang w:val="en-US"/>
        </w:rPr>
        <w:t>The respondents allegedly filed appeals that were subsequently dismissed for failure to comply with the rules.  The applicant’s contention is that with the appeals no longer pending respondents had to comply with the order or else they should be found to be in contempt of the order.  In fact applicant contends that respondents failed to comply with the order even after they became aware of the dismissed appeals.  At the hearing of the matter, the 1</w:t>
      </w:r>
      <w:r w:rsidRPr="00207B59">
        <w:rPr>
          <w:sz w:val="24"/>
          <w:szCs w:val="24"/>
          <w:vertAlign w:val="superscript"/>
          <w:lang w:val="en-US"/>
        </w:rPr>
        <w:t>st</w:t>
      </w:r>
      <w:r w:rsidRPr="00207B59">
        <w:rPr>
          <w:sz w:val="24"/>
          <w:szCs w:val="24"/>
          <w:lang w:val="en-US"/>
        </w:rPr>
        <w:t>, 3</w:t>
      </w:r>
      <w:r w:rsidRPr="00207B59">
        <w:rPr>
          <w:sz w:val="24"/>
          <w:szCs w:val="24"/>
          <w:vertAlign w:val="superscript"/>
          <w:lang w:val="en-US"/>
        </w:rPr>
        <w:t>rd</w:t>
      </w:r>
      <w:r w:rsidRPr="00207B59">
        <w:rPr>
          <w:sz w:val="24"/>
          <w:szCs w:val="24"/>
          <w:lang w:val="en-US"/>
        </w:rPr>
        <w:t xml:space="preserve"> – 6</w:t>
      </w:r>
      <w:r w:rsidRPr="00207B59">
        <w:rPr>
          <w:sz w:val="24"/>
          <w:szCs w:val="24"/>
          <w:vertAlign w:val="superscript"/>
          <w:lang w:val="en-US"/>
        </w:rPr>
        <w:t>th</w:t>
      </w:r>
      <w:r w:rsidRPr="00207B59">
        <w:rPr>
          <w:sz w:val="24"/>
          <w:szCs w:val="24"/>
          <w:lang w:val="en-US"/>
        </w:rPr>
        <w:t xml:space="preserve"> respondents raised preliminary points.</w:t>
      </w:r>
    </w:p>
    <w:p w:rsidR="00246865" w:rsidRPr="00207B59" w:rsidRDefault="00246865" w:rsidP="00207B59">
      <w:pPr>
        <w:ind w:left="720"/>
        <w:jc w:val="both"/>
        <w:rPr>
          <w:sz w:val="24"/>
          <w:szCs w:val="24"/>
          <w:lang w:val="en-US"/>
        </w:rPr>
      </w:pPr>
      <w:r w:rsidRPr="00207B59">
        <w:rPr>
          <w:sz w:val="24"/>
          <w:szCs w:val="24"/>
          <w:lang w:val="en-US"/>
        </w:rPr>
        <w:lastRenderedPageBreak/>
        <w:t>The 1</w:t>
      </w:r>
      <w:r w:rsidRPr="00207B59">
        <w:rPr>
          <w:sz w:val="24"/>
          <w:szCs w:val="24"/>
          <w:vertAlign w:val="superscript"/>
          <w:lang w:val="en-US"/>
        </w:rPr>
        <w:t>st</w:t>
      </w:r>
      <w:r w:rsidRPr="00207B59">
        <w:rPr>
          <w:sz w:val="24"/>
          <w:szCs w:val="24"/>
          <w:lang w:val="en-US"/>
        </w:rPr>
        <w:t xml:space="preserve"> preliminary point is on failure to seek leave of the administrat</w:t>
      </w:r>
      <w:r w:rsidR="00126B75">
        <w:rPr>
          <w:sz w:val="24"/>
          <w:szCs w:val="24"/>
          <w:lang w:val="en-US"/>
        </w:rPr>
        <w:t>or</w:t>
      </w:r>
      <w:r w:rsidRPr="00207B59">
        <w:rPr>
          <w:sz w:val="24"/>
          <w:szCs w:val="24"/>
          <w:lang w:val="en-US"/>
        </w:rPr>
        <w:t xml:space="preserve"> in terms of section 6(b) of the Reconstruction Act Chapter 24:27 which provides that:</w:t>
      </w:r>
    </w:p>
    <w:p w:rsidR="00246865" w:rsidRPr="00207B59" w:rsidRDefault="00246865" w:rsidP="00207B59">
      <w:pPr>
        <w:pStyle w:val="NoSpacing"/>
        <w:jc w:val="both"/>
        <w:rPr>
          <w:sz w:val="24"/>
          <w:szCs w:val="24"/>
          <w:lang w:val="en-US"/>
        </w:rPr>
      </w:pPr>
      <w:r w:rsidRPr="00207B59">
        <w:rPr>
          <w:sz w:val="24"/>
          <w:szCs w:val="24"/>
          <w:lang w:val="en-US"/>
        </w:rPr>
        <w:tab/>
        <w:t>“A reconstruction order shall have the following effect …</w:t>
      </w:r>
    </w:p>
    <w:p w:rsidR="00246865" w:rsidRPr="00207B59" w:rsidRDefault="00246865" w:rsidP="00207B59">
      <w:pPr>
        <w:pStyle w:val="NoSpacing"/>
        <w:jc w:val="both"/>
        <w:rPr>
          <w:sz w:val="24"/>
          <w:szCs w:val="24"/>
          <w:lang w:val="en-US"/>
        </w:rPr>
      </w:pPr>
    </w:p>
    <w:p w:rsidR="00246865" w:rsidRPr="00207B59" w:rsidRDefault="00246865" w:rsidP="00207B59">
      <w:pPr>
        <w:pStyle w:val="NoSpacing"/>
        <w:ind w:left="1440" w:hanging="720"/>
        <w:jc w:val="both"/>
        <w:rPr>
          <w:sz w:val="24"/>
          <w:szCs w:val="24"/>
          <w:lang w:val="en-US"/>
        </w:rPr>
      </w:pPr>
      <w:r w:rsidRPr="00207B59">
        <w:rPr>
          <w:sz w:val="24"/>
          <w:szCs w:val="24"/>
          <w:lang w:val="en-US"/>
        </w:rPr>
        <w:t>(b)</w:t>
      </w:r>
      <w:r w:rsidRPr="00207B59">
        <w:rPr>
          <w:sz w:val="24"/>
          <w:szCs w:val="24"/>
          <w:lang w:val="en-US"/>
        </w:rPr>
        <w:tab/>
      </w:r>
      <w:proofErr w:type="gramStart"/>
      <w:r w:rsidRPr="00207B59">
        <w:rPr>
          <w:sz w:val="24"/>
          <w:szCs w:val="24"/>
          <w:lang w:val="en-US"/>
        </w:rPr>
        <w:t>no</w:t>
      </w:r>
      <w:proofErr w:type="gramEnd"/>
      <w:r w:rsidRPr="00207B59">
        <w:rPr>
          <w:sz w:val="24"/>
          <w:szCs w:val="24"/>
          <w:lang w:val="en-US"/>
        </w:rPr>
        <w:t xml:space="preserve"> act</w:t>
      </w:r>
      <w:r w:rsidR="0016729A" w:rsidRPr="00207B59">
        <w:rPr>
          <w:sz w:val="24"/>
          <w:szCs w:val="24"/>
          <w:lang w:val="en-US"/>
        </w:rPr>
        <w:t>i</w:t>
      </w:r>
      <w:r w:rsidRPr="00207B59">
        <w:rPr>
          <w:sz w:val="24"/>
          <w:szCs w:val="24"/>
          <w:lang w:val="en-US"/>
        </w:rPr>
        <w:t>on or proceeding shall be proceeded with or commenced against the company ex</w:t>
      </w:r>
      <w:r w:rsidR="0016729A" w:rsidRPr="00207B59">
        <w:rPr>
          <w:sz w:val="24"/>
          <w:szCs w:val="24"/>
          <w:lang w:val="en-US"/>
        </w:rPr>
        <w:t>c</w:t>
      </w:r>
      <w:r w:rsidRPr="00207B59">
        <w:rPr>
          <w:sz w:val="24"/>
          <w:szCs w:val="24"/>
          <w:lang w:val="en-US"/>
        </w:rPr>
        <w:t>ept by leave of the administrat</w:t>
      </w:r>
      <w:r w:rsidR="0016729A" w:rsidRPr="00207B59">
        <w:rPr>
          <w:sz w:val="24"/>
          <w:szCs w:val="24"/>
          <w:lang w:val="en-US"/>
        </w:rPr>
        <w:t>or and subject to such terms as the administrator may impose …”</w:t>
      </w:r>
    </w:p>
    <w:p w:rsidR="0016729A" w:rsidRPr="00207B59" w:rsidRDefault="0016729A" w:rsidP="00207B59">
      <w:pPr>
        <w:jc w:val="both"/>
        <w:rPr>
          <w:sz w:val="24"/>
          <w:szCs w:val="24"/>
          <w:lang w:val="en-US"/>
        </w:rPr>
      </w:pPr>
    </w:p>
    <w:p w:rsidR="0016729A" w:rsidRPr="00207B59" w:rsidRDefault="0016729A" w:rsidP="00207B59">
      <w:pPr>
        <w:jc w:val="both"/>
        <w:rPr>
          <w:sz w:val="24"/>
          <w:szCs w:val="24"/>
          <w:lang w:val="en-US"/>
        </w:rPr>
      </w:pPr>
      <w:r w:rsidRPr="00207B59">
        <w:rPr>
          <w:sz w:val="24"/>
          <w:szCs w:val="24"/>
          <w:lang w:val="en-US"/>
        </w:rPr>
        <w:tab/>
        <w:t>In paragraph 6 of the opposing affidavit, it is stated as follows:</w:t>
      </w:r>
    </w:p>
    <w:p w:rsidR="00126B75" w:rsidRDefault="0016729A" w:rsidP="00207B59">
      <w:pPr>
        <w:ind w:left="720"/>
        <w:jc w:val="both"/>
        <w:rPr>
          <w:sz w:val="24"/>
          <w:szCs w:val="24"/>
          <w:lang w:val="en-US"/>
        </w:rPr>
      </w:pPr>
      <w:r w:rsidRPr="00207B59">
        <w:rPr>
          <w:sz w:val="24"/>
          <w:szCs w:val="24"/>
          <w:lang w:val="en-US"/>
        </w:rPr>
        <w:t>“1</w:t>
      </w:r>
      <w:r w:rsidRPr="00207B59">
        <w:rPr>
          <w:sz w:val="24"/>
          <w:szCs w:val="24"/>
          <w:vertAlign w:val="superscript"/>
          <w:lang w:val="en-US"/>
        </w:rPr>
        <w:t>st</w:t>
      </w:r>
      <w:r w:rsidRPr="00207B59">
        <w:rPr>
          <w:sz w:val="24"/>
          <w:szCs w:val="24"/>
          <w:lang w:val="en-US"/>
        </w:rPr>
        <w:t xml:space="preserve"> respondent is a coal mining company und</w:t>
      </w:r>
      <w:r w:rsidR="00F02F0C" w:rsidRPr="00207B59">
        <w:rPr>
          <w:sz w:val="24"/>
          <w:szCs w:val="24"/>
          <w:lang w:val="en-US"/>
        </w:rPr>
        <w:t>e</w:t>
      </w:r>
      <w:r w:rsidRPr="00207B59">
        <w:rPr>
          <w:sz w:val="24"/>
          <w:szCs w:val="24"/>
          <w:lang w:val="en-US"/>
        </w:rPr>
        <w:t>r reconstruction in terms of the Reconstruction of State-indebted Insolvent Companies Act Chapter 24:27 since October 2018.</w:t>
      </w:r>
      <w:r w:rsidR="00126B75">
        <w:rPr>
          <w:sz w:val="24"/>
          <w:szCs w:val="24"/>
          <w:lang w:val="en-US"/>
        </w:rPr>
        <w:t>”</w:t>
      </w:r>
      <w:r w:rsidRPr="00207B59">
        <w:rPr>
          <w:sz w:val="24"/>
          <w:szCs w:val="24"/>
          <w:lang w:val="en-US"/>
        </w:rPr>
        <w:t xml:space="preserve">  </w:t>
      </w:r>
    </w:p>
    <w:p w:rsidR="0016729A" w:rsidRPr="00207B59" w:rsidRDefault="0016729A" w:rsidP="00126B75">
      <w:pPr>
        <w:ind w:firstLine="720"/>
        <w:jc w:val="both"/>
        <w:rPr>
          <w:sz w:val="24"/>
          <w:szCs w:val="24"/>
          <w:lang w:val="en-US"/>
        </w:rPr>
      </w:pPr>
      <w:r w:rsidRPr="00207B59">
        <w:rPr>
          <w:sz w:val="24"/>
          <w:szCs w:val="24"/>
          <w:lang w:val="en-US"/>
        </w:rPr>
        <w:t>In</w:t>
      </w:r>
      <w:r w:rsidR="00F02F0C" w:rsidRPr="00207B59">
        <w:rPr>
          <w:sz w:val="24"/>
          <w:szCs w:val="24"/>
          <w:lang w:val="en-US"/>
        </w:rPr>
        <w:t xml:space="preserve"> </w:t>
      </w:r>
      <w:r w:rsidRPr="00207B59">
        <w:rPr>
          <w:sz w:val="24"/>
          <w:szCs w:val="24"/>
          <w:lang w:val="en-US"/>
        </w:rPr>
        <w:t>paragraph 7 the same affidavit objects to applicant’s failure to seek leave.  In its answering affidavit paragraph 5 and 6 therein, where applicant responds to the averment on f</w:t>
      </w:r>
      <w:r w:rsidR="00F02F0C" w:rsidRPr="00207B59">
        <w:rPr>
          <w:sz w:val="24"/>
          <w:szCs w:val="24"/>
          <w:lang w:val="en-US"/>
        </w:rPr>
        <w:t>ailure to seek leave, applicant</w:t>
      </w:r>
      <w:r w:rsidRPr="00207B59">
        <w:rPr>
          <w:sz w:val="24"/>
          <w:szCs w:val="24"/>
          <w:lang w:val="en-US"/>
        </w:rPr>
        <w:t xml:space="preserve"> states that leave was no</w:t>
      </w:r>
      <w:r w:rsidR="005818C2" w:rsidRPr="00207B59">
        <w:rPr>
          <w:sz w:val="24"/>
          <w:szCs w:val="24"/>
          <w:lang w:val="en-US"/>
        </w:rPr>
        <w:t>t</w:t>
      </w:r>
      <w:r w:rsidRPr="00207B59">
        <w:rPr>
          <w:sz w:val="24"/>
          <w:szCs w:val="24"/>
          <w:lang w:val="en-US"/>
        </w:rPr>
        <w:t xml:space="preserve"> necessary as the proceedings are related to HB-34-22 wherein the issue of leave was dealt with.  Applicant avers that the respon</w:t>
      </w:r>
      <w:r w:rsidR="00F02F0C" w:rsidRPr="00207B59">
        <w:rPr>
          <w:sz w:val="24"/>
          <w:szCs w:val="24"/>
          <w:lang w:val="en-US"/>
        </w:rPr>
        <w:t>d</w:t>
      </w:r>
      <w:r w:rsidRPr="00207B59">
        <w:rPr>
          <w:sz w:val="24"/>
          <w:szCs w:val="24"/>
          <w:lang w:val="en-US"/>
        </w:rPr>
        <w:t>ents are raising the same issue twice.  A reading of the judgment in HB-34-22 where the court dealt with the failure to seek leave to sue, the court stated that it was dispensing with the issue of leave to sue because what was before it was an urgent matter and the court held the view that it had a discretion to hear the matter on the merits.</w:t>
      </w:r>
    </w:p>
    <w:p w:rsidR="00F02F0C" w:rsidRPr="00207B59" w:rsidRDefault="00F02F0C" w:rsidP="00207B59">
      <w:pPr>
        <w:jc w:val="both"/>
        <w:rPr>
          <w:sz w:val="24"/>
          <w:szCs w:val="24"/>
          <w:lang w:val="en-US"/>
        </w:rPr>
      </w:pPr>
      <w:r w:rsidRPr="00207B59">
        <w:rPr>
          <w:sz w:val="24"/>
          <w:szCs w:val="24"/>
          <w:lang w:val="en-US"/>
        </w:rPr>
        <w:tab/>
        <w:t xml:space="preserve">Therefore, the court did not hold that leave to sue was not </w:t>
      </w:r>
      <w:r w:rsidR="005818C2" w:rsidRPr="00207B59">
        <w:rPr>
          <w:sz w:val="24"/>
          <w:szCs w:val="24"/>
          <w:lang w:val="en-US"/>
        </w:rPr>
        <w:t>r</w:t>
      </w:r>
      <w:r w:rsidRPr="00207B59">
        <w:rPr>
          <w:sz w:val="24"/>
          <w:szCs w:val="24"/>
          <w:lang w:val="en-US"/>
        </w:rPr>
        <w:t>equired in terms of the law, the court held that it was exercising a discretion to dispense with the leave on the basis of urgency.  That is not the situation here.  An application for contempt of court cannot be held as an urgent matter.  It therefore follows that in the absence of any other ground upon which I can exercise my discretion to dispense with the leave, I am b</w:t>
      </w:r>
      <w:r w:rsidR="005818C2" w:rsidRPr="00207B59">
        <w:rPr>
          <w:sz w:val="24"/>
          <w:szCs w:val="24"/>
          <w:lang w:val="en-US"/>
        </w:rPr>
        <w:t>o</w:t>
      </w:r>
      <w:r w:rsidRPr="00207B59">
        <w:rPr>
          <w:sz w:val="24"/>
          <w:szCs w:val="24"/>
          <w:lang w:val="en-US"/>
        </w:rPr>
        <w:t xml:space="preserve">und by the statutory requirements provided for in the Reconstruction Act </w:t>
      </w:r>
      <w:r w:rsidRPr="00207B59">
        <w:rPr>
          <w:i/>
          <w:sz w:val="24"/>
          <w:szCs w:val="24"/>
          <w:lang w:val="en-US"/>
        </w:rPr>
        <w:t>(supra)</w:t>
      </w:r>
      <w:r w:rsidRPr="00207B59">
        <w:rPr>
          <w:sz w:val="24"/>
          <w:szCs w:val="24"/>
          <w:lang w:val="en-US"/>
        </w:rPr>
        <w:t xml:space="preserve">.  I have no basis upon which I can exercise my discretion and allow applicant to be heard without complying with the mandatory statutory obligation.  I cannot hide behind the findings of the court in HB-34-22 and pretend that they are applicable herein or that the issue was resolved therein, wherein actual fact in that case the court clearly leaned </w:t>
      </w:r>
      <w:r w:rsidR="00126B75">
        <w:rPr>
          <w:sz w:val="24"/>
          <w:szCs w:val="24"/>
          <w:lang w:val="en-US"/>
        </w:rPr>
        <w:t>o</w:t>
      </w:r>
      <w:r w:rsidRPr="00207B59">
        <w:rPr>
          <w:sz w:val="24"/>
          <w:szCs w:val="24"/>
          <w:lang w:val="en-US"/>
        </w:rPr>
        <w:t>n urgency in exercising its discretion and I do not</w:t>
      </w:r>
      <w:r w:rsidR="006050BC" w:rsidRPr="00207B59">
        <w:rPr>
          <w:sz w:val="24"/>
          <w:szCs w:val="24"/>
          <w:lang w:val="en-US"/>
        </w:rPr>
        <w:t xml:space="preserve"> inherit the exercise of a discretion that was exercised by another court on the basis of urgency in this matter yet I have no urgency to deal with.  Applicant has neither given me any ground upon which I could </w:t>
      </w:r>
      <w:r w:rsidR="006050BC" w:rsidRPr="00207B59">
        <w:rPr>
          <w:sz w:val="24"/>
          <w:szCs w:val="24"/>
          <w:lang w:val="en-US"/>
        </w:rPr>
        <w:lastRenderedPageBreak/>
        <w:t xml:space="preserve">exercise a discretion in its </w:t>
      </w:r>
      <w:proofErr w:type="spellStart"/>
      <w:r w:rsidR="006050BC" w:rsidRPr="00207B59">
        <w:rPr>
          <w:sz w:val="24"/>
          <w:szCs w:val="24"/>
          <w:lang w:val="en-US"/>
        </w:rPr>
        <w:t>favour</w:t>
      </w:r>
      <w:proofErr w:type="spellEnd"/>
      <w:r w:rsidR="006050BC" w:rsidRPr="00207B59">
        <w:rPr>
          <w:sz w:val="24"/>
          <w:szCs w:val="24"/>
          <w:lang w:val="en-US"/>
        </w:rPr>
        <w:t xml:space="preserve"> and dispense with the issue of leave.  It is my considered view that the Reconstruction Act was promulgated to serve a purpose and its peremptory provisions are not to be taken li</w:t>
      </w:r>
      <w:r w:rsidR="005818C2" w:rsidRPr="00207B59">
        <w:rPr>
          <w:sz w:val="24"/>
          <w:szCs w:val="24"/>
          <w:lang w:val="en-US"/>
        </w:rPr>
        <w:t>ght</w:t>
      </w:r>
      <w:r w:rsidR="006050BC" w:rsidRPr="00207B59">
        <w:rPr>
          <w:sz w:val="24"/>
          <w:szCs w:val="24"/>
          <w:lang w:val="en-US"/>
        </w:rPr>
        <w:t>ly.  The law as provided m</w:t>
      </w:r>
      <w:r w:rsidR="00126B75">
        <w:rPr>
          <w:sz w:val="24"/>
          <w:szCs w:val="24"/>
          <w:lang w:val="en-US"/>
        </w:rPr>
        <w:t>ust</w:t>
      </w:r>
      <w:r w:rsidR="006050BC" w:rsidRPr="00207B59">
        <w:rPr>
          <w:sz w:val="24"/>
          <w:szCs w:val="24"/>
          <w:lang w:val="en-US"/>
        </w:rPr>
        <w:t xml:space="preserve"> be respected by the courts whose jo</w:t>
      </w:r>
      <w:r w:rsidR="005818C2" w:rsidRPr="00207B59">
        <w:rPr>
          <w:sz w:val="24"/>
          <w:szCs w:val="24"/>
          <w:lang w:val="en-US"/>
        </w:rPr>
        <w:t>b</w:t>
      </w:r>
      <w:r w:rsidR="006050BC" w:rsidRPr="00207B59">
        <w:rPr>
          <w:sz w:val="24"/>
          <w:szCs w:val="24"/>
          <w:lang w:val="en-US"/>
        </w:rPr>
        <w:t xml:space="preserve"> is to apply the law and not to disregard it.  My hands are thus tied.  Neither has applicant given me any case law authority in its heads of argument where I am allowed to disregard the Reconstruction Act in certain matters.  I have already stated why the judgment in HB-34-22 cannot be a precedent for this case for 2 reasons:</w:t>
      </w:r>
    </w:p>
    <w:p w:rsidR="005818C2" w:rsidRPr="00207B59" w:rsidRDefault="006050BC" w:rsidP="00207B59">
      <w:pPr>
        <w:pStyle w:val="ListParagraph"/>
        <w:numPr>
          <w:ilvl w:val="0"/>
          <w:numId w:val="4"/>
        </w:numPr>
        <w:jc w:val="both"/>
        <w:rPr>
          <w:sz w:val="24"/>
          <w:szCs w:val="24"/>
          <w:lang w:val="en-US"/>
        </w:rPr>
      </w:pPr>
      <w:r w:rsidRPr="00207B59">
        <w:rPr>
          <w:sz w:val="24"/>
          <w:szCs w:val="24"/>
          <w:lang w:val="en-US"/>
        </w:rPr>
        <w:t>Firstly I am not</w:t>
      </w:r>
      <w:r w:rsidR="00675ED7" w:rsidRPr="00207B59">
        <w:rPr>
          <w:sz w:val="24"/>
          <w:szCs w:val="24"/>
          <w:lang w:val="en-US"/>
        </w:rPr>
        <w:t xml:space="preserve"> </w:t>
      </w:r>
      <w:r w:rsidRPr="00207B59">
        <w:rPr>
          <w:sz w:val="24"/>
          <w:szCs w:val="24"/>
          <w:lang w:val="en-US"/>
        </w:rPr>
        <w:t>aware of a law that allows me to use a discretion in the fac</w:t>
      </w:r>
      <w:r w:rsidR="00126B75">
        <w:rPr>
          <w:sz w:val="24"/>
          <w:szCs w:val="24"/>
          <w:lang w:val="en-US"/>
        </w:rPr>
        <w:t>e</w:t>
      </w:r>
      <w:r w:rsidRPr="00207B59">
        <w:rPr>
          <w:sz w:val="24"/>
          <w:szCs w:val="24"/>
          <w:lang w:val="en-US"/>
        </w:rPr>
        <w:t xml:space="preserve"> of a peremptory statutory provision.  Even if there was, for arguments sake applicant </w:t>
      </w:r>
      <w:r w:rsidR="005818C2" w:rsidRPr="00207B59">
        <w:rPr>
          <w:sz w:val="24"/>
          <w:szCs w:val="24"/>
          <w:lang w:val="en-US"/>
        </w:rPr>
        <w:t>h</w:t>
      </w:r>
      <w:r w:rsidR="00675ED7" w:rsidRPr="00207B59">
        <w:rPr>
          <w:sz w:val="24"/>
          <w:szCs w:val="24"/>
          <w:lang w:val="en-US"/>
        </w:rPr>
        <w:t>as not in the answering affidavit</w:t>
      </w:r>
      <w:r w:rsidRPr="00207B59">
        <w:rPr>
          <w:sz w:val="24"/>
          <w:szCs w:val="24"/>
          <w:lang w:val="en-US"/>
        </w:rPr>
        <w:t xml:space="preserve"> made a </w:t>
      </w:r>
      <w:r w:rsidR="00675ED7" w:rsidRPr="00207B59">
        <w:rPr>
          <w:sz w:val="24"/>
          <w:szCs w:val="24"/>
          <w:lang w:val="en-US"/>
        </w:rPr>
        <w:t xml:space="preserve">case for the existence of such a discretion or valid reasons for its exercise herein.  </w:t>
      </w:r>
    </w:p>
    <w:p w:rsidR="006050BC" w:rsidRPr="00207B59" w:rsidRDefault="00675ED7" w:rsidP="00207B59">
      <w:pPr>
        <w:pStyle w:val="ListParagraph"/>
        <w:numPr>
          <w:ilvl w:val="0"/>
          <w:numId w:val="4"/>
        </w:numPr>
        <w:jc w:val="both"/>
        <w:rPr>
          <w:sz w:val="24"/>
          <w:szCs w:val="24"/>
          <w:lang w:val="en-US"/>
        </w:rPr>
      </w:pPr>
      <w:r w:rsidRPr="00207B59">
        <w:rPr>
          <w:sz w:val="24"/>
          <w:szCs w:val="24"/>
          <w:lang w:val="en-US"/>
        </w:rPr>
        <w:t>Secondly, whilst in HB-34-22 the court states that it is invoking urgency to exercise a discretion, I cannot go there as there is no urgency here.  I would then proceed to st</w:t>
      </w:r>
      <w:r w:rsidR="00126B75">
        <w:rPr>
          <w:sz w:val="24"/>
          <w:szCs w:val="24"/>
          <w:lang w:val="en-US"/>
        </w:rPr>
        <w:t>rike</w:t>
      </w:r>
      <w:r w:rsidRPr="00207B59">
        <w:rPr>
          <w:sz w:val="24"/>
          <w:szCs w:val="24"/>
          <w:lang w:val="en-US"/>
        </w:rPr>
        <w:t xml:space="preserve"> the matter </w:t>
      </w:r>
      <w:r w:rsidR="00FD25A1" w:rsidRPr="00207B59">
        <w:rPr>
          <w:sz w:val="24"/>
          <w:szCs w:val="24"/>
          <w:lang w:val="en-US"/>
        </w:rPr>
        <w:t>off the roll</w:t>
      </w:r>
      <w:r w:rsidRPr="00207B59">
        <w:rPr>
          <w:sz w:val="24"/>
          <w:szCs w:val="24"/>
          <w:lang w:val="en-US"/>
        </w:rPr>
        <w:t xml:space="preserve"> </w:t>
      </w:r>
      <w:r w:rsidR="00126B75">
        <w:rPr>
          <w:sz w:val="24"/>
          <w:szCs w:val="24"/>
          <w:lang w:val="en-US"/>
        </w:rPr>
        <w:t>as against 1</w:t>
      </w:r>
      <w:r w:rsidR="00126B75" w:rsidRPr="00126B75">
        <w:rPr>
          <w:sz w:val="24"/>
          <w:szCs w:val="24"/>
          <w:vertAlign w:val="superscript"/>
          <w:lang w:val="en-US"/>
        </w:rPr>
        <w:t>st</w:t>
      </w:r>
      <w:r w:rsidR="00126B75">
        <w:rPr>
          <w:sz w:val="24"/>
          <w:szCs w:val="24"/>
          <w:lang w:val="en-US"/>
        </w:rPr>
        <w:t xml:space="preserve"> respondent </w:t>
      </w:r>
      <w:r w:rsidRPr="00207B59">
        <w:rPr>
          <w:sz w:val="24"/>
          <w:szCs w:val="24"/>
          <w:lang w:val="en-US"/>
        </w:rPr>
        <w:t>for the reason of failure to seek le</w:t>
      </w:r>
      <w:r w:rsidR="005818C2" w:rsidRPr="00207B59">
        <w:rPr>
          <w:sz w:val="24"/>
          <w:szCs w:val="24"/>
          <w:lang w:val="en-US"/>
        </w:rPr>
        <w:t>a</w:t>
      </w:r>
      <w:r w:rsidRPr="00207B59">
        <w:rPr>
          <w:sz w:val="24"/>
          <w:szCs w:val="24"/>
          <w:lang w:val="en-US"/>
        </w:rPr>
        <w:t>ve.</w:t>
      </w:r>
    </w:p>
    <w:p w:rsidR="00675ED7" w:rsidRPr="00207B59" w:rsidRDefault="00675ED7" w:rsidP="00207B59">
      <w:pPr>
        <w:ind w:left="360"/>
        <w:jc w:val="both"/>
        <w:rPr>
          <w:sz w:val="24"/>
          <w:szCs w:val="24"/>
          <w:lang w:val="en-US"/>
        </w:rPr>
      </w:pPr>
      <w:r w:rsidRPr="00207B59">
        <w:rPr>
          <w:sz w:val="24"/>
          <w:szCs w:val="24"/>
          <w:lang w:val="en-US"/>
        </w:rPr>
        <w:t>The 2</w:t>
      </w:r>
      <w:r w:rsidRPr="00207B59">
        <w:rPr>
          <w:sz w:val="24"/>
          <w:szCs w:val="24"/>
          <w:vertAlign w:val="superscript"/>
          <w:lang w:val="en-US"/>
        </w:rPr>
        <w:t>nd</w:t>
      </w:r>
      <w:r w:rsidRPr="00207B59">
        <w:rPr>
          <w:sz w:val="24"/>
          <w:szCs w:val="24"/>
          <w:lang w:val="en-US"/>
        </w:rPr>
        <w:t xml:space="preserve"> remaining point relates to the citation of 3</w:t>
      </w:r>
      <w:r w:rsidRPr="00207B59">
        <w:rPr>
          <w:sz w:val="24"/>
          <w:szCs w:val="24"/>
          <w:vertAlign w:val="superscript"/>
          <w:lang w:val="en-US"/>
        </w:rPr>
        <w:t>rd</w:t>
      </w:r>
      <w:r w:rsidRPr="00207B59">
        <w:rPr>
          <w:sz w:val="24"/>
          <w:szCs w:val="24"/>
          <w:lang w:val="en-US"/>
        </w:rPr>
        <w:t xml:space="preserve"> to 6</w:t>
      </w:r>
      <w:r w:rsidRPr="00207B59">
        <w:rPr>
          <w:sz w:val="24"/>
          <w:szCs w:val="24"/>
          <w:vertAlign w:val="superscript"/>
          <w:lang w:val="en-US"/>
        </w:rPr>
        <w:t>th</w:t>
      </w:r>
      <w:r w:rsidRPr="00207B59">
        <w:rPr>
          <w:sz w:val="24"/>
          <w:szCs w:val="24"/>
          <w:lang w:val="en-US"/>
        </w:rPr>
        <w:t xml:space="preserve"> respondents </w:t>
      </w:r>
    </w:p>
    <w:p w:rsidR="00675ED7" w:rsidRPr="00207B59" w:rsidRDefault="00675ED7" w:rsidP="00207B59">
      <w:pPr>
        <w:ind w:firstLine="720"/>
        <w:jc w:val="both"/>
        <w:rPr>
          <w:sz w:val="24"/>
          <w:szCs w:val="24"/>
          <w:lang w:val="en-US"/>
        </w:rPr>
      </w:pPr>
      <w:r w:rsidRPr="00207B59">
        <w:rPr>
          <w:sz w:val="24"/>
          <w:szCs w:val="24"/>
          <w:lang w:val="en-US"/>
        </w:rPr>
        <w:t>The respondents aver in paragraph 8 of the opposing affidavit that before holding a party to be in contempt of court, the court must be satisfied that there is a court order which is extant, as against the party alleged to be in contempt. Meaning that one cannot be in contempt of a court order which was not obtained against them.  That it is common cause that the judgment being the subject matter of these proceedings was obtained against 1</w:t>
      </w:r>
      <w:r w:rsidRPr="00207B59">
        <w:rPr>
          <w:sz w:val="24"/>
          <w:szCs w:val="24"/>
          <w:vertAlign w:val="superscript"/>
          <w:lang w:val="en-US"/>
        </w:rPr>
        <w:t>st</w:t>
      </w:r>
      <w:r w:rsidRPr="00207B59">
        <w:rPr>
          <w:sz w:val="24"/>
          <w:szCs w:val="24"/>
          <w:lang w:val="en-US"/>
        </w:rPr>
        <w:t xml:space="preserve"> and 2</w:t>
      </w:r>
      <w:r w:rsidRPr="00207B59">
        <w:rPr>
          <w:sz w:val="24"/>
          <w:szCs w:val="24"/>
          <w:vertAlign w:val="superscript"/>
          <w:lang w:val="en-US"/>
        </w:rPr>
        <w:t>nd</w:t>
      </w:r>
      <w:r w:rsidRPr="00207B59">
        <w:rPr>
          <w:sz w:val="24"/>
          <w:szCs w:val="24"/>
          <w:lang w:val="en-US"/>
        </w:rPr>
        <w:t xml:space="preserve"> respondents and that 3</w:t>
      </w:r>
      <w:r w:rsidRPr="00207B59">
        <w:rPr>
          <w:sz w:val="24"/>
          <w:szCs w:val="24"/>
          <w:vertAlign w:val="superscript"/>
          <w:lang w:val="en-US"/>
        </w:rPr>
        <w:t>rd</w:t>
      </w:r>
      <w:r w:rsidRPr="00207B59">
        <w:rPr>
          <w:sz w:val="24"/>
          <w:szCs w:val="24"/>
          <w:lang w:val="en-US"/>
        </w:rPr>
        <w:t xml:space="preserve"> to 6</w:t>
      </w:r>
      <w:r w:rsidRPr="00207B59">
        <w:rPr>
          <w:sz w:val="24"/>
          <w:szCs w:val="24"/>
          <w:vertAlign w:val="superscript"/>
          <w:lang w:val="en-US"/>
        </w:rPr>
        <w:t>th</w:t>
      </w:r>
      <w:r w:rsidRPr="00207B59">
        <w:rPr>
          <w:sz w:val="24"/>
          <w:szCs w:val="24"/>
          <w:lang w:val="en-US"/>
        </w:rPr>
        <w:t xml:space="preserve"> respondents were never parties thereto.</w:t>
      </w:r>
    </w:p>
    <w:p w:rsidR="00675ED7" w:rsidRPr="00207B59" w:rsidRDefault="00675ED7" w:rsidP="00207B59">
      <w:pPr>
        <w:ind w:firstLine="720"/>
        <w:jc w:val="both"/>
        <w:rPr>
          <w:sz w:val="24"/>
          <w:szCs w:val="24"/>
          <w:lang w:val="en-US"/>
        </w:rPr>
      </w:pPr>
      <w:r w:rsidRPr="00207B59">
        <w:rPr>
          <w:sz w:val="24"/>
          <w:szCs w:val="24"/>
          <w:lang w:val="en-US"/>
        </w:rPr>
        <w:t>In response to this averment, applicant states in paragraph 7 of the answering affidavit that the 3</w:t>
      </w:r>
      <w:r w:rsidRPr="00207B59">
        <w:rPr>
          <w:sz w:val="24"/>
          <w:szCs w:val="24"/>
          <w:vertAlign w:val="superscript"/>
          <w:lang w:val="en-US"/>
        </w:rPr>
        <w:t>rd</w:t>
      </w:r>
      <w:r w:rsidRPr="00207B59">
        <w:rPr>
          <w:sz w:val="24"/>
          <w:szCs w:val="24"/>
          <w:lang w:val="en-US"/>
        </w:rPr>
        <w:t xml:space="preserve"> to 6</w:t>
      </w:r>
      <w:r w:rsidRPr="00207B59">
        <w:rPr>
          <w:sz w:val="24"/>
          <w:szCs w:val="24"/>
          <w:vertAlign w:val="superscript"/>
          <w:lang w:val="en-US"/>
        </w:rPr>
        <w:t>th</w:t>
      </w:r>
      <w:r w:rsidRPr="00207B59">
        <w:rPr>
          <w:sz w:val="24"/>
          <w:szCs w:val="24"/>
          <w:lang w:val="en-US"/>
        </w:rPr>
        <w:t xml:space="preserve"> respondents do not dispute that they are employees of the 1</w:t>
      </w:r>
      <w:r w:rsidRPr="00207B59">
        <w:rPr>
          <w:sz w:val="24"/>
          <w:szCs w:val="24"/>
          <w:vertAlign w:val="superscript"/>
          <w:lang w:val="en-US"/>
        </w:rPr>
        <w:t>st</w:t>
      </w:r>
      <w:r w:rsidRPr="00207B59">
        <w:rPr>
          <w:sz w:val="24"/>
          <w:szCs w:val="24"/>
          <w:lang w:val="en-US"/>
        </w:rPr>
        <w:t xml:space="preserve"> respondent.  That they are in fact managerial empl</w:t>
      </w:r>
      <w:r w:rsidR="006771CF" w:rsidRPr="00207B59">
        <w:rPr>
          <w:sz w:val="24"/>
          <w:szCs w:val="24"/>
          <w:lang w:val="en-US"/>
        </w:rPr>
        <w:t xml:space="preserve">oyees and that the provisional order in HB-34-22 is applicable to applicant’s employees and that as long as that is the case they are properly cited.  It is my considered view that </w:t>
      </w:r>
      <w:r w:rsidR="00126B75">
        <w:rPr>
          <w:sz w:val="24"/>
          <w:szCs w:val="24"/>
          <w:lang w:val="en-US"/>
        </w:rPr>
        <w:t>for one to</w:t>
      </w:r>
      <w:r w:rsidR="006771CF" w:rsidRPr="00207B59">
        <w:rPr>
          <w:sz w:val="24"/>
          <w:szCs w:val="24"/>
          <w:lang w:val="en-US"/>
        </w:rPr>
        <w:t xml:space="preserve"> be found to be in contempt of court, a </w:t>
      </w:r>
      <w:r w:rsidR="00FD25A1" w:rsidRPr="00207B59">
        <w:rPr>
          <w:sz w:val="24"/>
          <w:szCs w:val="24"/>
          <w:lang w:val="en-US"/>
        </w:rPr>
        <w:t>l</w:t>
      </w:r>
      <w:r w:rsidR="006771CF" w:rsidRPr="00207B59">
        <w:rPr>
          <w:sz w:val="24"/>
          <w:szCs w:val="24"/>
          <w:lang w:val="en-US"/>
        </w:rPr>
        <w:t>itigant must have been a party to the proceedings resulting in the order they are alleged to have disobeyed.  It would not suffice in my view to seek an order against a respondent corporate entity, and without citation and service of the court proceedings on its individual employees, the applicant then seeks an order against such employees.  The applicant having named the employees in these proceedings should have also named them in the matter being the subject mat</w:t>
      </w:r>
      <w:r w:rsidR="00FD25A1" w:rsidRPr="00207B59">
        <w:rPr>
          <w:sz w:val="24"/>
          <w:szCs w:val="24"/>
          <w:lang w:val="en-US"/>
        </w:rPr>
        <w:t>t</w:t>
      </w:r>
      <w:r w:rsidR="006771CF" w:rsidRPr="00207B59">
        <w:rPr>
          <w:sz w:val="24"/>
          <w:szCs w:val="24"/>
          <w:lang w:val="en-US"/>
        </w:rPr>
        <w:t xml:space="preserve">er of this </w:t>
      </w:r>
      <w:r w:rsidR="006771CF" w:rsidRPr="00207B59">
        <w:rPr>
          <w:sz w:val="24"/>
          <w:szCs w:val="24"/>
          <w:lang w:val="en-US"/>
        </w:rPr>
        <w:lastRenderedPageBreak/>
        <w:t>applica</w:t>
      </w:r>
      <w:r w:rsidR="00FD25A1" w:rsidRPr="00207B59">
        <w:rPr>
          <w:sz w:val="24"/>
          <w:szCs w:val="24"/>
          <w:lang w:val="en-US"/>
        </w:rPr>
        <w:t>tion</w:t>
      </w:r>
      <w:r w:rsidR="006771CF" w:rsidRPr="00207B59">
        <w:rPr>
          <w:sz w:val="24"/>
          <w:szCs w:val="24"/>
          <w:lang w:val="en-US"/>
        </w:rPr>
        <w:t xml:space="preserve">.  I am supported in this view by the decision of the Supreme Court, in the case of </w:t>
      </w:r>
      <w:proofErr w:type="spellStart"/>
      <w:r w:rsidR="006771CF" w:rsidRPr="00207B59">
        <w:rPr>
          <w:i/>
          <w:sz w:val="24"/>
          <w:szCs w:val="24"/>
          <w:lang w:val="en-US"/>
        </w:rPr>
        <w:t>Simba</w:t>
      </w:r>
      <w:proofErr w:type="spellEnd"/>
      <w:r w:rsidR="006771CF" w:rsidRPr="00207B59">
        <w:rPr>
          <w:i/>
          <w:sz w:val="24"/>
          <w:szCs w:val="24"/>
          <w:lang w:val="en-US"/>
        </w:rPr>
        <w:t xml:space="preserve"> </w:t>
      </w:r>
      <w:proofErr w:type="spellStart"/>
      <w:r w:rsidR="006771CF" w:rsidRPr="00207B59">
        <w:rPr>
          <w:i/>
          <w:sz w:val="24"/>
          <w:szCs w:val="24"/>
          <w:lang w:val="en-US"/>
        </w:rPr>
        <w:t>Mukambiwa</w:t>
      </w:r>
      <w:proofErr w:type="spellEnd"/>
      <w:r w:rsidR="006771CF" w:rsidRPr="00207B59">
        <w:rPr>
          <w:i/>
          <w:sz w:val="24"/>
          <w:szCs w:val="24"/>
          <w:lang w:val="en-US"/>
        </w:rPr>
        <w:t xml:space="preserve"> &amp; 7 Others</w:t>
      </w:r>
      <w:r w:rsidR="006771CF" w:rsidRPr="00207B59">
        <w:rPr>
          <w:sz w:val="24"/>
          <w:szCs w:val="24"/>
          <w:lang w:val="en-US"/>
        </w:rPr>
        <w:t xml:space="preserve"> </w:t>
      </w:r>
      <w:proofErr w:type="spellStart"/>
      <w:r w:rsidR="006771CF" w:rsidRPr="00207B59">
        <w:rPr>
          <w:sz w:val="24"/>
          <w:szCs w:val="24"/>
          <w:lang w:val="en-US"/>
        </w:rPr>
        <w:t>vs</w:t>
      </w:r>
      <w:proofErr w:type="spellEnd"/>
      <w:r w:rsidR="006771CF" w:rsidRPr="00207B59">
        <w:rPr>
          <w:sz w:val="24"/>
          <w:szCs w:val="24"/>
          <w:lang w:val="en-US"/>
        </w:rPr>
        <w:t xml:space="preserve"> </w:t>
      </w:r>
      <w:r w:rsidR="006771CF" w:rsidRPr="00207B59">
        <w:rPr>
          <w:i/>
          <w:sz w:val="24"/>
          <w:szCs w:val="24"/>
          <w:lang w:val="en-US"/>
        </w:rPr>
        <w:t>The Gospel of God Church International</w:t>
      </w:r>
      <w:r w:rsidR="006771CF" w:rsidRPr="00207B59">
        <w:rPr>
          <w:sz w:val="24"/>
          <w:szCs w:val="24"/>
          <w:lang w:val="en-US"/>
        </w:rPr>
        <w:t xml:space="preserve"> 1932, SC-8-2014 wherein the Supreme Court held that:</w:t>
      </w:r>
    </w:p>
    <w:p w:rsidR="006771CF" w:rsidRPr="00207B59" w:rsidRDefault="006771CF" w:rsidP="00207B59">
      <w:pPr>
        <w:pStyle w:val="NoSpacing"/>
        <w:ind w:left="720"/>
        <w:jc w:val="both"/>
        <w:rPr>
          <w:sz w:val="24"/>
          <w:szCs w:val="24"/>
          <w:lang w:val="en-US"/>
        </w:rPr>
      </w:pPr>
      <w:r w:rsidRPr="00207B59">
        <w:rPr>
          <w:sz w:val="24"/>
          <w:szCs w:val="24"/>
          <w:lang w:val="en-US"/>
        </w:rPr>
        <w:t xml:space="preserve">“The court </w:t>
      </w:r>
      <w:r w:rsidRPr="00207B59">
        <w:rPr>
          <w:i/>
          <w:sz w:val="24"/>
          <w:szCs w:val="24"/>
          <w:lang w:val="en-US"/>
        </w:rPr>
        <w:t>a quo</w:t>
      </w:r>
      <w:r w:rsidRPr="00207B59">
        <w:rPr>
          <w:sz w:val="24"/>
          <w:szCs w:val="24"/>
          <w:lang w:val="en-US"/>
        </w:rPr>
        <w:t xml:space="preserve"> correctly found that the appellants had not established that an order had been granted against all the respondents against whom the order for contempt was sought with the exception of the church.”</w:t>
      </w:r>
    </w:p>
    <w:p w:rsidR="006771CF" w:rsidRPr="00207B59" w:rsidRDefault="006771CF" w:rsidP="00207B59">
      <w:pPr>
        <w:jc w:val="both"/>
        <w:rPr>
          <w:sz w:val="24"/>
          <w:szCs w:val="24"/>
          <w:lang w:val="en-US"/>
        </w:rPr>
      </w:pPr>
    </w:p>
    <w:p w:rsidR="006771CF" w:rsidRPr="00207B59" w:rsidRDefault="006771CF" w:rsidP="00207B59">
      <w:pPr>
        <w:jc w:val="both"/>
        <w:rPr>
          <w:sz w:val="24"/>
          <w:szCs w:val="24"/>
          <w:lang w:val="en-US"/>
        </w:rPr>
      </w:pPr>
      <w:r w:rsidRPr="00207B59">
        <w:rPr>
          <w:sz w:val="24"/>
          <w:szCs w:val="24"/>
          <w:lang w:val="en-US"/>
        </w:rPr>
        <w:tab/>
        <w:t>Clearly, applicant sought an order against the 1</w:t>
      </w:r>
      <w:r w:rsidRPr="00207B59">
        <w:rPr>
          <w:sz w:val="24"/>
          <w:szCs w:val="24"/>
          <w:vertAlign w:val="superscript"/>
          <w:lang w:val="en-US"/>
        </w:rPr>
        <w:t>st</w:t>
      </w:r>
      <w:r w:rsidRPr="00207B59">
        <w:rPr>
          <w:sz w:val="24"/>
          <w:szCs w:val="24"/>
          <w:lang w:val="en-US"/>
        </w:rPr>
        <w:t xml:space="preserve"> and 2</w:t>
      </w:r>
      <w:r w:rsidRPr="00207B59">
        <w:rPr>
          <w:sz w:val="24"/>
          <w:szCs w:val="24"/>
          <w:vertAlign w:val="superscript"/>
          <w:lang w:val="en-US"/>
        </w:rPr>
        <w:t>nd</w:t>
      </w:r>
      <w:r w:rsidRPr="00207B59">
        <w:rPr>
          <w:sz w:val="24"/>
          <w:szCs w:val="24"/>
          <w:lang w:val="en-US"/>
        </w:rPr>
        <w:t xml:space="preserve"> respondents both being corporate entities and then decided to have the order bind unnamed employees, assignees and agents, what it means is that applicant designed this ambiguity at its own peril for a contempt of court order is a serious liberty depriving order that the court will not grant lightly where the order whose contempt is the subject is ambiguous.  It must be clear and without doubt cast a specific obligation to a</w:t>
      </w:r>
      <w:r w:rsidR="00D26893" w:rsidRPr="00207B59">
        <w:rPr>
          <w:sz w:val="24"/>
          <w:szCs w:val="24"/>
          <w:lang w:val="en-US"/>
        </w:rPr>
        <w:t xml:space="preserve"> specific party who shall be cited by name so that they are either pre</w:t>
      </w:r>
      <w:r w:rsidR="00AD7311" w:rsidRPr="00207B59">
        <w:rPr>
          <w:sz w:val="24"/>
          <w:szCs w:val="24"/>
          <w:lang w:val="en-US"/>
        </w:rPr>
        <w:t>s</w:t>
      </w:r>
      <w:r w:rsidR="00D26893" w:rsidRPr="00207B59">
        <w:rPr>
          <w:sz w:val="24"/>
          <w:szCs w:val="24"/>
          <w:lang w:val="en-US"/>
        </w:rPr>
        <w:t>ent when the order is being granted or they are in default but are aware of the proceedings.  If applicant knew that it intended in the event of failure to comply with the court order, to enforce it against 3</w:t>
      </w:r>
      <w:r w:rsidR="00D26893" w:rsidRPr="00207B59">
        <w:rPr>
          <w:sz w:val="24"/>
          <w:szCs w:val="24"/>
          <w:vertAlign w:val="superscript"/>
          <w:lang w:val="en-US"/>
        </w:rPr>
        <w:t>rd</w:t>
      </w:r>
      <w:r w:rsidR="00D26893" w:rsidRPr="00207B59">
        <w:rPr>
          <w:sz w:val="24"/>
          <w:szCs w:val="24"/>
          <w:lang w:val="en-US"/>
        </w:rPr>
        <w:t xml:space="preserve"> – 6</w:t>
      </w:r>
      <w:r w:rsidR="00D26893" w:rsidRPr="00207B59">
        <w:rPr>
          <w:sz w:val="24"/>
          <w:szCs w:val="24"/>
          <w:vertAlign w:val="superscript"/>
          <w:lang w:val="en-US"/>
        </w:rPr>
        <w:t>th</w:t>
      </w:r>
      <w:r w:rsidR="00D26893" w:rsidRPr="00207B59">
        <w:rPr>
          <w:sz w:val="24"/>
          <w:szCs w:val="24"/>
          <w:lang w:val="en-US"/>
        </w:rPr>
        <w:t xml:space="preserve"> respondents and apply for contempt</w:t>
      </w:r>
      <w:r w:rsidR="00AD7311" w:rsidRPr="00207B59">
        <w:rPr>
          <w:sz w:val="24"/>
          <w:szCs w:val="24"/>
          <w:lang w:val="en-US"/>
        </w:rPr>
        <w:t xml:space="preserve"> of court against them, it should have cited them in those proceedings.  The Supreme Court case I have referred to herein clearly </w:t>
      </w:r>
      <w:proofErr w:type="gramStart"/>
      <w:r w:rsidR="00234AEC" w:rsidRPr="00207B59">
        <w:rPr>
          <w:sz w:val="24"/>
          <w:szCs w:val="24"/>
          <w:lang w:val="en-US"/>
        </w:rPr>
        <w:t>prohibit</w:t>
      </w:r>
      <w:r w:rsidR="00126B75">
        <w:rPr>
          <w:sz w:val="24"/>
          <w:szCs w:val="24"/>
          <w:lang w:val="en-US"/>
        </w:rPr>
        <w:t>s</w:t>
      </w:r>
      <w:proofErr w:type="gramEnd"/>
      <w:r w:rsidR="00AD7311" w:rsidRPr="00207B59">
        <w:rPr>
          <w:sz w:val="24"/>
          <w:szCs w:val="24"/>
          <w:lang w:val="en-US"/>
        </w:rPr>
        <w:t xml:space="preserve"> what applicant wants to do as against 3</w:t>
      </w:r>
      <w:r w:rsidR="00AD7311" w:rsidRPr="00207B59">
        <w:rPr>
          <w:sz w:val="24"/>
          <w:szCs w:val="24"/>
          <w:vertAlign w:val="superscript"/>
          <w:lang w:val="en-US"/>
        </w:rPr>
        <w:t>rd</w:t>
      </w:r>
      <w:r w:rsidR="00AD7311" w:rsidRPr="00207B59">
        <w:rPr>
          <w:sz w:val="24"/>
          <w:szCs w:val="24"/>
          <w:lang w:val="en-US"/>
        </w:rPr>
        <w:t xml:space="preserve"> – 6</w:t>
      </w:r>
      <w:r w:rsidR="00AD7311" w:rsidRPr="00207B59">
        <w:rPr>
          <w:sz w:val="24"/>
          <w:szCs w:val="24"/>
          <w:vertAlign w:val="superscript"/>
          <w:lang w:val="en-US"/>
        </w:rPr>
        <w:t>th</w:t>
      </w:r>
      <w:r w:rsidR="00AD7311" w:rsidRPr="00207B59">
        <w:rPr>
          <w:sz w:val="24"/>
          <w:szCs w:val="24"/>
          <w:lang w:val="en-US"/>
        </w:rPr>
        <w:t xml:space="preserve"> respondent.  In its heads of argument, applicant cites the case of </w:t>
      </w:r>
      <w:proofErr w:type="spellStart"/>
      <w:r w:rsidR="00AD7311" w:rsidRPr="00207B59">
        <w:rPr>
          <w:i/>
          <w:sz w:val="24"/>
          <w:szCs w:val="24"/>
          <w:lang w:val="en-US"/>
        </w:rPr>
        <w:t>Masamba</w:t>
      </w:r>
      <w:proofErr w:type="spellEnd"/>
      <w:r w:rsidR="00AD7311" w:rsidRPr="00207B59">
        <w:rPr>
          <w:i/>
          <w:sz w:val="24"/>
          <w:szCs w:val="24"/>
          <w:lang w:val="en-US"/>
        </w:rPr>
        <w:t xml:space="preserve"> &amp; Another</w:t>
      </w:r>
      <w:r w:rsidR="00AD7311" w:rsidRPr="00207B59">
        <w:rPr>
          <w:sz w:val="24"/>
          <w:szCs w:val="24"/>
          <w:lang w:val="en-US"/>
        </w:rPr>
        <w:t xml:space="preserve"> v </w:t>
      </w:r>
      <w:r w:rsidR="00AD7311" w:rsidRPr="00207B59">
        <w:rPr>
          <w:i/>
          <w:sz w:val="24"/>
          <w:szCs w:val="24"/>
          <w:lang w:val="en-US"/>
        </w:rPr>
        <w:t>ZIMSEC Director</w:t>
      </w:r>
      <w:r w:rsidR="00AD7311" w:rsidRPr="00207B59">
        <w:rPr>
          <w:sz w:val="24"/>
          <w:szCs w:val="24"/>
          <w:lang w:val="en-US"/>
        </w:rPr>
        <w:t xml:space="preserve"> HH-969-16.  To start with, that case was about a claim for damages and not for contempt of court.  Secondly, in that judgment the director of ZIMSEC was cited in a claim relating to ZIMSEC as a body and its conduct </w:t>
      </w:r>
      <w:r w:rsidR="00FD25A1" w:rsidRPr="00207B59">
        <w:rPr>
          <w:sz w:val="24"/>
          <w:szCs w:val="24"/>
          <w:lang w:val="en-US"/>
        </w:rPr>
        <w:t>o</w:t>
      </w:r>
      <w:r w:rsidR="00AD7311" w:rsidRPr="00207B59">
        <w:rPr>
          <w:sz w:val="24"/>
          <w:szCs w:val="24"/>
          <w:lang w:val="en-US"/>
        </w:rPr>
        <w:t>n examinations, the learned judge proceeded to state as follows:</w:t>
      </w:r>
    </w:p>
    <w:p w:rsidR="00234AEC" w:rsidRPr="00207B59" w:rsidRDefault="00234AEC" w:rsidP="00207B59">
      <w:pPr>
        <w:pStyle w:val="NoSpacing"/>
        <w:ind w:left="720"/>
        <w:jc w:val="both"/>
        <w:rPr>
          <w:sz w:val="24"/>
          <w:szCs w:val="24"/>
          <w:lang w:val="en-US"/>
        </w:rPr>
      </w:pPr>
      <w:r w:rsidRPr="00207B59">
        <w:rPr>
          <w:sz w:val="24"/>
          <w:szCs w:val="24"/>
          <w:lang w:val="en-US"/>
        </w:rPr>
        <w:t xml:space="preserve">“The court agrees with the defendant’s submissions that the defendant has no direct or substantial interest in the dispute.”  </w:t>
      </w:r>
    </w:p>
    <w:p w:rsidR="00234AEC" w:rsidRPr="00207B59" w:rsidRDefault="00234AEC" w:rsidP="00207B59">
      <w:pPr>
        <w:pStyle w:val="NoSpacing"/>
        <w:jc w:val="both"/>
        <w:rPr>
          <w:sz w:val="24"/>
          <w:szCs w:val="24"/>
          <w:lang w:val="en-US"/>
        </w:rPr>
      </w:pPr>
    </w:p>
    <w:p w:rsidR="00AD7311" w:rsidRPr="00207B59" w:rsidRDefault="00234AEC" w:rsidP="00207B59">
      <w:pPr>
        <w:ind w:firstLine="720"/>
        <w:jc w:val="both"/>
        <w:rPr>
          <w:sz w:val="24"/>
          <w:szCs w:val="24"/>
          <w:lang w:val="en-US"/>
        </w:rPr>
      </w:pPr>
      <w:r w:rsidRPr="00207B59">
        <w:rPr>
          <w:sz w:val="24"/>
          <w:szCs w:val="24"/>
          <w:lang w:val="en-US"/>
        </w:rPr>
        <w:t>The court further held that ZIMSEC was the correct defendant.  The court further held that there being no direct legal relationship between 2</w:t>
      </w:r>
      <w:r w:rsidRPr="00207B59">
        <w:rPr>
          <w:sz w:val="24"/>
          <w:szCs w:val="24"/>
          <w:vertAlign w:val="superscript"/>
          <w:lang w:val="en-US"/>
        </w:rPr>
        <w:t>nd</w:t>
      </w:r>
      <w:r w:rsidRPr="00207B59">
        <w:rPr>
          <w:sz w:val="24"/>
          <w:szCs w:val="24"/>
          <w:lang w:val="en-US"/>
        </w:rPr>
        <w:t xml:space="preserve"> plainti</w:t>
      </w:r>
      <w:r w:rsidR="00207B59" w:rsidRPr="00207B59">
        <w:rPr>
          <w:sz w:val="24"/>
          <w:szCs w:val="24"/>
          <w:lang w:val="en-US"/>
        </w:rPr>
        <w:t>f</w:t>
      </w:r>
      <w:r w:rsidRPr="00207B59">
        <w:rPr>
          <w:sz w:val="24"/>
          <w:szCs w:val="24"/>
          <w:lang w:val="en-US"/>
        </w:rPr>
        <w:t>f and defendant to the ex</w:t>
      </w:r>
      <w:r w:rsidR="00207B59" w:rsidRPr="00207B59">
        <w:rPr>
          <w:sz w:val="24"/>
          <w:szCs w:val="24"/>
          <w:lang w:val="en-US"/>
        </w:rPr>
        <w:t>tent</w:t>
      </w:r>
      <w:r w:rsidR="00126B75">
        <w:rPr>
          <w:sz w:val="24"/>
          <w:szCs w:val="24"/>
          <w:lang w:val="en-US"/>
        </w:rPr>
        <w:t xml:space="preserve"> that defendant could not be compelled to </w:t>
      </w:r>
      <w:r w:rsidRPr="00207B59">
        <w:rPr>
          <w:sz w:val="24"/>
          <w:szCs w:val="24"/>
          <w:lang w:val="en-US"/>
        </w:rPr>
        <w:t>perform or discharge duties.  The court found that it was not necessary to join defendant to the proceedings and the claim against him was dismissed.</w:t>
      </w:r>
    </w:p>
    <w:p w:rsidR="00234AEC" w:rsidRPr="00207B59" w:rsidRDefault="00234AEC" w:rsidP="00207B59">
      <w:pPr>
        <w:ind w:firstLine="720"/>
        <w:jc w:val="both"/>
        <w:rPr>
          <w:sz w:val="24"/>
          <w:szCs w:val="24"/>
          <w:lang w:val="en-US"/>
        </w:rPr>
      </w:pPr>
      <w:r w:rsidRPr="00207B59">
        <w:rPr>
          <w:sz w:val="24"/>
          <w:szCs w:val="24"/>
          <w:lang w:val="en-US"/>
        </w:rPr>
        <w:t>In paragraph 13 of the heads of arg</w:t>
      </w:r>
      <w:r w:rsidR="00126B75">
        <w:rPr>
          <w:sz w:val="24"/>
          <w:szCs w:val="24"/>
          <w:lang w:val="en-US"/>
        </w:rPr>
        <w:t>u</w:t>
      </w:r>
      <w:r w:rsidR="00207B59" w:rsidRPr="00207B59">
        <w:rPr>
          <w:sz w:val="24"/>
          <w:szCs w:val="24"/>
          <w:lang w:val="en-US"/>
        </w:rPr>
        <w:t>me</w:t>
      </w:r>
      <w:r w:rsidRPr="00207B59">
        <w:rPr>
          <w:sz w:val="24"/>
          <w:szCs w:val="24"/>
          <w:lang w:val="en-US"/>
        </w:rPr>
        <w:t>nt, applicant submits that 4</w:t>
      </w:r>
      <w:r w:rsidRPr="00207B59">
        <w:rPr>
          <w:sz w:val="24"/>
          <w:szCs w:val="24"/>
          <w:vertAlign w:val="superscript"/>
          <w:lang w:val="en-US"/>
        </w:rPr>
        <w:t>th</w:t>
      </w:r>
      <w:r w:rsidRPr="00207B59">
        <w:rPr>
          <w:sz w:val="24"/>
          <w:szCs w:val="24"/>
          <w:lang w:val="en-US"/>
        </w:rPr>
        <w:t xml:space="preserve"> respondent is the </w:t>
      </w:r>
      <w:r w:rsidR="00E47181" w:rsidRPr="00207B59">
        <w:rPr>
          <w:sz w:val="24"/>
          <w:szCs w:val="24"/>
          <w:lang w:val="en-US"/>
        </w:rPr>
        <w:t>administrator, 5</w:t>
      </w:r>
      <w:r w:rsidR="00E47181" w:rsidRPr="00207B59">
        <w:rPr>
          <w:sz w:val="24"/>
          <w:szCs w:val="24"/>
          <w:vertAlign w:val="superscript"/>
          <w:lang w:val="en-US"/>
        </w:rPr>
        <w:t>th</w:t>
      </w:r>
      <w:r w:rsidR="00E47181" w:rsidRPr="00207B59">
        <w:rPr>
          <w:sz w:val="24"/>
          <w:szCs w:val="24"/>
          <w:lang w:val="en-US"/>
        </w:rPr>
        <w:t xml:space="preserve"> respondent is the legal officer, 6</w:t>
      </w:r>
      <w:r w:rsidR="00E47181" w:rsidRPr="00207B59">
        <w:rPr>
          <w:sz w:val="24"/>
          <w:szCs w:val="24"/>
          <w:vertAlign w:val="superscript"/>
          <w:lang w:val="en-US"/>
        </w:rPr>
        <w:t>th</w:t>
      </w:r>
      <w:r w:rsidR="00E47181" w:rsidRPr="00207B59">
        <w:rPr>
          <w:sz w:val="24"/>
          <w:szCs w:val="24"/>
          <w:lang w:val="en-US"/>
        </w:rPr>
        <w:t xml:space="preserve"> respondent is a mine manager, 3</w:t>
      </w:r>
      <w:r w:rsidR="00E47181" w:rsidRPr="00207B59">
        <w:rPr>
          <w:sz w:val="24"/>
          <w:szCs w:val="24"/>
          <w:vertAlign w:val="superscript"/>
          <w:lang w:val="en-US"/>
        </w:rPr>
        <w:t>rd</w:t>
      </w:r>
      <w:r w:rsidR="00E47181" w:rsidRPr="00207B59">
        <w:rPr>
          <w:sz w:val="24"/>
          <w:szCs w:val="24"/>
          <w:lang w:val="en-US"/>
        </w:rPr>
        <w:t xml:space="preserve"> – 6</w:t>
      </w:r>
      <w:r w:rsidR="00E47181" w:rsidRPr="00207B59">
        <w:rPr>
          <w:sz w:val="24"/>
          <w:szCs w:val="24"/>
          <w:vertAlign w:val="superscript"/>
          <w:lang w:val="en-US"/>
        </w:rPr>
        <w:t>th</w:t>
      </w:r>
      <w:r w:rsidR="00E47181" w:rsidRPr="00207B59">
        <w:rPr>
          <w:sz w:val="24"/>
          <w:szCs w:val="24"/>
          <w:lang w:val="en-US"/>
        </w:rPr>
        <w:t xml:space="preserve"> </w:t>
      </w:r>
      <w:r w:rsidR="00E47181" w:rsidRPr="00207B59">
        <w:rPr>
          <w:sz w:val="24"/>
          <w:szCs w:val="24"/>
          <w:lang w:val="en-US"/>
        </w:rPr>
        <w:lastRenderedPageBreak/>
        <w:t>respondents are employees and are affected by the provisional order and that they have direct and substantial interest in the dispute.</w:t>
      </w:r>
    </w:p>
    <w:p w:rsidR="00E47181" w:rsidRPr="00207B59" w:rsidRDefault="00207B59" w:rsidP="00207B59">
      <w:pPr>
        <w:jc w:val="both"/>
        <w:rPr>
          <w:sz w:val="24"/>
          <w:szCs w:val="24"/>
          <w:lang w:val="en-US"/>
        </w:rPr>
      </w:pPr>
      <w:r w:rsidRPr="00207B59">
        <w:rPr>
          <w:sz w:val="24"/>
          <w:szCs w:val="24"/>
          <w:lang w:val="en-US"/>
        </w:rPr>
        <w:tab/>
        <w:t>Th</w:t>
      </w:r>
      <w:r w:rsidR="00E47181" w:rsidRPr="00207B59">
        <w:rPr>
          <w:sz w:val="24"/>
          <w:szCs w:val="24"/>
          <w:lang w:val="en-US"/>
        </w:rPr>
        <w:t xml:space="preserve">is is not the finding that was made by the court in the </w:t>
      </w:r>
      <w:proofErr w:type="spellStart"/>
      <w:r w:rsidR="00E47181" w:rsidRPr="00207B59">
        <w:rPr>
          <w:sz w:val="24"/>
          <w:szCs w:val="24"/>
          <w:lang w:val="en-US"/>
        </w:rPr>
        <w:t>Masamba</w:t>
      </w:r>
      <w:proofErr w:type="spellEnd"/>
      <w:r w:rsidR="00E47181" w:rsidRPr="00207B59">
        <w:rPr>
          <w:sz w:val="24"/>
          <w:szCs w:val="24"/>
          <w:lang w:val="en-US"/>
        </w:rPr>
        <w:t xml:space="preserve"> case that applicant cited.  If a director of ZIMSEC was f</w:t>
      </w:r>
      <w:r w:rsidRPr="00207B59">
        <w:rPr>
          <w:sz w:val="24"/>
          <w:szCs w:val="24"/>
          <w:lang w:val="en-US"/>
        </w:rPr>
        <w:t>o</w:t>
      </w:r>
      <w:r w:rsidR="00E47181" w:rsidRPr="00207B59">
        <w:rPr>
          <w:sz w:val="24"/>
          <w:szCs w:val="24"/>
          <w:lang w:val="en-US"/>
        </w:rPr>
        <w:t>und not to have a direct and substantive interest in a matter where ZIMSEC was being sued, neither can a Chief Executi</w:t>
      </w:r>
      <w:r w:rsidRPr="00207B59">
        <w:rPr>
          <w:sz w:val="24"/>
          <w:szCs w:val="24"/>
          <w:lang w:val="en-US"/>
        </w:rPr>
        <w:t>v</w:t>
      </w:r>
      <w:r w:rsidR="00E47181" w:rsidRPr="00207B59">
        <w:rPr>
          <w:sz w:val="24"/>
          <w:szCs w:val="24"/>
          <w:lang w:val="en-US"/>
        </w:rPr>
        <w:t>e Officer, legal officer, manager or any other employee of an entity.  It is not correct that an employee of an entity in whatever capacity, has a direct and substantial interest is the company’s rights and obligations.  A company is a separate entity from its directors and shareho</w:t>
      </w:r>
      <w:r w:rsidRPr="00207B59">
        <w:rPr>
          <w:sz w:val="24"/>
          <w:szCs w:val="24"/>
          <w:lang w:val="en-US"/>
        </w:rPr>
        <w:t>l</w:t>
      </w:r>
      <w:r w:rsidR="00E47181" w:rsidRPr="00207B59">
        <w:rPr>
          <w:sz w:val="24"/>
          <w:szCs w:val="24"/>
          <w:lang w:val="en-US"/>
        </w:rPr>
        <w:t>ders, let alone its employees.  T</w:t>
      </w:r>
      <w:r w:rsidRPr="00207B59">
        <w:rPr>
          <w:sz w:val="24"/>
          <w:szCs w:val="24"/>
          <w:lang w:val="en-US"/>
        </w:rPr>
        <w:t>h</w:t>
      </w:r>
      <w:r w:rsidR="00E47181" w:rsidRPr="00207B59">
        <w:rPr>
          <w:sz w:val="24"/>
          <w:szCs w:val="24"/>
          <w:lang w:val="en-US"/>
        </w:rPr>
        <w:t>e 3</w:t>
      </w:r>
      <w:r w:rsidR="00E47181" w:rsidRPr="00207B59">
        <w:rPr>
          <w:sz w:val="24"/>
          <w:szCs w:val="24"/>
          <w:vertAlign w:val="superscript"/>
          <w:lang w:val="en-US"/>
        </w:rPr>
        <w:t>rd</w:t>
      </w:r>
      <w:r w:rsidR="00E47181" w:rsidRPr="00207B59">
        <w:rPr>
          <w:sz w:val="24"/>
          <w:szCs w:val="24"/>
          <w:lang w:val="en-US"/>
        </w:rPr>
        <w:t xml:space="preserve"> – 6</w:t>
      </w:r>
      <w:r w:rsidR="00E47181" w:rsidRPr="00207B59">
        <w:rPr>
          <w:sz w:val="24"/>
          <w:szCs w:val="24"/>
          <w:vertAlign w:val="superscript"/>
          <w:lang w:val="en-US"/>
        </w:rPr>
        <w:t>th</w:t>
      </w:r>
      <w:r w:rsidR="00E47181" w:rsidRPr="00207B59">
        <w:rPr>
          <w:sz w:val="24"/>
          <w:szCs w:val="24"/>
          <w:lang w:val="en-US"/>
        </w:rPr>
        <w:t xml:space="preserve"> respondents were thus improperly j</w:t>
      </w:r>
      <w:r w:rsidRPr="00207B59">
        <w:rPr>
          <w:sz w:val="24"/>
          <w:szCs w:val="24"/>
          <w:lang w:val="en-US"/>
        </w:rPr>
        <w:t>o</w:t>
      </w:r>
      <w:r w:rsidR="00E47181" w:rsidRPr="00207B59">
        <w:rPr>
          <w:sz w:val="24"/>
          <w:szCs w:val="24"/>
          <w:lang w:val="en-US"/>
        </w:rPr>
        <w:t>ined to these contempt of court proceedings.</w:t>
      </w:r>
    </w:p>
    <w:p w:rsidR="00E47181" w:rsidRPr="00207B59" w:rsidRDefault="00E47181" w:rsidP="00207B59">
      <w:pPr>
        <w:ind w:firstLine="720"/>
        <w:jc w:val="both"/>
        <w:rPr>
          <w:sz w:val="24"/>
          <w:szCs w:val="24"/>
          <w:lang w:val="en-US"/>
        </w:rPr>
      </w:pPr>
      <w:r w:rsidRPr="00207B59">
        <w:rPr>
          <w:sz w:val="24"/>
          <w:szCs w:val="24"/>
          <w:lang w:val="en-US"/>
        </w:rPr>
        <w:t xml:space="preserve">I accordingly uphold this point </w:t>
      </w:r>
      <w:r w:rsidRPr="00207B59">
        <w:rPr>
          <w:i/>
          <w:sz w:val="24"/>
          <w:szCs w:val="24"/>
          <w:lang w:val="en-US"/>
        </w:rPr>
        <w:t xml:space="preserve">in </w:t>
      </w:r>
      <w:proofErr w:type="spellStart"/>
      <w:r w:rsidRPr="00207B59">
        <w:rPr>
          <w:i/>
          <w:sz w:val="24"/>
          <w:szCs w:val="24"/>
          <w:lang w:val="en-US"/>
        </w:rPr>
        <w:t>limine</w:t>
      </w:r>
      <w:proofErr w:type="spellEnd"/>
      <w:r w:rsidRPr="00207B59">
        <w:rPr>
          <w:sz w:val="24"/>
          <w:szCs w:val="24"/>
          <w:lang w:val="en-US"/>
        </w:rPr>
        <w:t xml:space="preserve"> and dismiss the application as against 3</w:t>
      </w:r>
      <w:r w:rsidRPr="00207B59">
        <w:rPr>
          <w:sz w:val="24"/>
          <w:szCs w:val="24"/>
          <w:vertAlign w:val="superscript"/>
          <w:lang w:val="en-US"/>
        </w:rPr>
        <w:t>rd</w:t>
      </w:r>
      <w:r w:rsidRPr="00207B59">
        <w:rPr>
          <w:sz w:val="24"/>
          <w:szCs w:val="24"/>
          <w:lang w:val="en-US"/>
        </w:rPr>
        <w:t>- 6</w:t>
      </w:r>
      <w:r w:rsidRPr="00207B59">
        <w:rPr>
          <w:sz w:val="24"/>
          <w:szCs w:val="24"/>
          <w:vertAlign w:val="superscript"/>
          <w:lang w:val="en-US"/>
        </w:rPr>
        <w:t>th</w:t>
      </w:r>
      <w:r w:rsidRPr="00207B59">
        <w:rPr>
          <w:sz w:val="24"/>
          <w:szCs w:val="24"/>
          <w:lang w:val="en-US"/>
        </w:rPr>
        <w:t xml:space="preserve"> respondents.  I will not deal with the 3</w:t>
      </w:r>
      <w:r w:rsidRPr="00207B59">
        <w:rPr>
          <w:sz w:val="24"/>
          <w:szCs w:val="24"/>
          <w:vertAlign w:val="superscript"/>
          <w:lang w:val="en-US"/>
        </w:rPr>
        <w:t>rd</w:t>
      </w:r>
      <w:r w:rsidRPr="00207B59">
        <w:rPr>
          <w:sz w:val="24"/>
          <w:szCs w:val="24"/>
          <w:lang w:val="en-US"/>
        </w:rPr>
        <w:t xml:space="preserve"> preliminary point on the commission of the answering affidavit by the applicant as I hold the view that I c</w:t>
      </w:r>
      <w:r w:rsidR="00207B59" w:rsidRPr="00207B59">
        <w:rPr>
          <w:sz w:val="24"/>
          <w:szCs w:val="24"/>
          <w:lang w:val="en-US"/>
        </w:rPr>
        <w:t>a</w:t>
      </w:r>
      <w:r w:rsidRPr="00207B59">
        <w:rPr>
          <w:sz w:val="24"/>
          <w:szCs w:val="24"/>
          <w:lang w:val="en-US"/>
        </w:rPr>
        <w:t>nnot summarily deal with the circumstances under which it was commissioned without the evidence of the Commissioner of Oaths.  If I were to attempt to deal with this point, I would be in danger of making findings on t</w:t>
      </w:r>
      <w:r w:rsidR="00207B59" w:rsidRPr="00207B59">
        <w:rPr>
          <w:sz w:val="24"/>
          <w:szCs w:val="24"/>
          <w:lang w:val="en-US"/>
        </w:rPr>
        <w:t>h</w:t>
      </w:r>
      <w:r w:rsidRPr="00207B59">
        <w:rPr>
          <w:sz w:val="24"/>
          <w:szCs w:val="24"/>
          <w:lang w:val="en-US"/>
        </w:rPr>
        <w:t>e basis of assumptions.  I do not have the necessary information to make concrete findings with regard thereto and it is accordingly dismissed.</w:t>
      </w:r>
    </w:p>
    <w:p w:rsidR="00E47181" w:rsidRPr="00207B59" w:rsidRDefault="00E47181" w:rsidP="00207B59">
      <w:pPr>
        <w:ind w:firstLine="720"/>
        <w:jc w:val="both"/>
        <w:rPr>
          <w:sz w:val="24"/>
          <w:szCs w:val="24"/>
          <w:lang w:val="en-US"/>
        </w:rPr>
      </w:pPr>
      <w:r w:rsidRPr="00207B59">
        <w:rPr>
          <w:sz w:val="24"/>
          <w:szCs w:val="24"/>
          <w:lang w:val="en-US"/>
        </w:rPr>
        <w:t>I will accordingly make the following order.</w:t>
      </w:r>
    </w:p>
    <w:p w:rsidR="00E47181" w:rsidRPr="00207B59" w:rsidRDefault="00E47181" w:rsidP="00207B59">
      <w:pPr>
        <w:pStyle w:val="ListParagraph"/>
        <w:numPr>
          <w:ilvl w:val="0"/>
          <w:numId w:val="5"/>
        </w:numPr>
        <w:jc w:val="both"/>
        <w:rPr>
          <w:sz w:val="24"/>
          <w:szCs w:val="24"/>
          <w:lang w:val="en-US"/>
        </w:rPr>
      </w:pPr>
      <w:r w:rsidRPr="00207B59">
        <w:rPr>
          <w:sz w:val="24"/>
          <w:szCs w:val="24"/>
          <w:lang w:val="en-US"/>
        </w:rPr>
        <w:t>The application is struck off the roll with costs as against 1</w:t>
      </w:r>
      <w:r w:rsidRPr="00207B59">
        <w:rPr>
          <w:sz w:val="24"/>
          <w:szCs w:val="24"/>
          <w:vertAlign w:val="superscript"/>
          <w:lang w:val="en-US"/>
        </w:rPr>
        <w:t>st</w:t>
      </w:r>
      <w:r w:rsidRPr="00207B59">
        <w:rPr>
          <w:sz w:val="24"/>
          <w:szCs w:val="24"/>
          <w:lang w:val="en-US"/>
        </w:rPr>
        <w:t xml:space="preserve"> respondent.</w:t>
      </w:r>
    </w:p>
    <w:p w:rsidR="00E47181" w:rsidRPr="00207B59" w:rsidRDefault="00E47181" w:rsidP="00207B59">
      <w:pPr>
        <w:pStyle w:val="ListParagraph"/>
        <w:numPr>
          <w:ilvl w:val="0"/>
          <w:numId w:val="5"/>
        </w:numPr>
        <w:jc w:val="both"/>
        <w:rPr>
          <w:sz w:val="24"/>
          <w:szCs w:val="24"/>
          <w:lang w:val="en-US"/>
        </w:rPr>
      </w:pPr>
      <w:r w:rsidRPr="00207B59">
        <w:rPr>
          <w:sz w:val="24"/>
          <w:szCs w:val="24"/>
          <w:lang w:val="en-US"/>
        </w:rPr>
        <w:t>The application is dismissed with costs as against 3</w:t>
      </w:r>
      <w:r w:rsidRPr="00207B59">
        <w:rPr>
          <w:sz w:val="24"/>
          <w:szCs w:val="24"/>
          <w:vertAlign w:val="superscript"/>
          <w:lang w:val="en-US"/>
        </w:rPr>
        <w:t>rd</w:t>
      </w:r>
      <w:r w:rsidRPr="00207B59">
        <w:rPr>
          <w:sz w:val="24"/>
          <w:szCs w:val="24"/>
          <w:lang w:val="en-US"/>
        </w:rPr>
        <w:t xml:space="preserve"> – 6</w:t>
      </w:r>
      <w:r w:rsidRPr="00207B59">
        <w:rPr>
          <w:sz w:val="24"/>
          <w:szCs w:val="24"/>
          <w:vertAlign w:val="superscript"/>
          <w:lang w:val="en-US"/>
        </w:rPr>
        <w:t>th</w:t>
      </w:r>
      <w:r w:rsidRPr="00207B59">
        <w:rPr>
          <w:sz w:val="24"/>
          <w:szCs w:val="24"/>
          <w:lang w:val="en-US"/>
        </w:rPr>
        <w:t xml:space="preserve"> respondents.</w:t>
      </w:r>
    </w:p>
    <w:p w:rsidR="00E47181" w:rsidRDefault="00E47181" w:rsidP="00207B59">
      <w:pPr>
        <w:jc w:val="both"/>
        <w:rPr>
          <w:sz w:val="24"/>
          <w:szCs w:val="24"/>
          <w:lang w:val="en-US"/>
        </w:rPr>
      </w:pPr>
    </w:p>
    <w:p w:rsidR="00207B59" w:rsidRDefault="00207B59" w:rsidP="00207B59">
      <w:pPr>
        <w:jc w:val="both"/>
        <w:rPr>
          <w:sz w:val="24"/>
          <w:szCs w:val="24"/>
          <w:lang w:val="en-US"/>
        </w:rPr>
      </w:pPr>
    </w:p>
    <w:p w:rsidR="00DC09D8" w:rsidRPr="00207B59" w:rsidRDefault="00DC09D8" w:rsidP="00207B59">
      <w:pPr>
        <w:pStyle w:val="NoSpacing"/>
        <w:jc w:val="both"/>
        <w:rPr>
          <w:sz w:val="24"/>
          <w:szCs w:val="24"/>
          <w:lang w:val="en-US"/>
        </w:rPr>
      </w:pPr>
      <w:proofErr w:type="spellStart"/>
      <w:r w:rsidRPr="00207B59">
        <w:rPr>
          <w:i/>
          <w:sz w:val="24"/>
          <w:szCs w:val="24"/>
          <w:lang w:val="en-US"/>
        </w:rPr>
        <w:t>Chimuka</w:t>
      </w:r>
      <w:proofErr w:type="spellEnd"/>
      <w:r w:rsidRPr="00207B59">
        <w:rPr>
          <w:i/>
          <w:sz w:val="24"/>
          <w:szCs w:val="24"/>
          <w:lang w:val="en-US"/>
        </w:rPr>
        <w:t xml:space="preserve"> </w:t>
      </w:r>
      <w:proofErr w:type="spellStart"/>
      <w:r w:rsidRPr="00207B59">
        <w:rPr>
          <w:i/>
          <w:sz w:val="24"/>
          <w:szCs w:val="24"/>
          <w:lang w:val="en-US"/>
        </w:rPr>
        <w:t>Mafunga</w:t>
      </w:r>
      <w:proofErr w:type="spellEnd"/>
      <w:r w:rsidRPr="00207B59">
        <w:rPr>
          <w:i/>
          <w:sz w:val="24"/>
          <w:szCs w:val="24"/>
          <w:lang w:val="en-US"/>
        </w:rPr>
        <w:t xml:space="preserve"> Commercial Attorneys, c/o </w:t>
      </w:r>
      <w:proofErr w:type="spellStart"/>
      <w:r w:rsidRPr="00207B59">
        <w:rPr>
          <w:i/>
          <w:sz w:val="24"/>
          <w:szCs w:val="24"/>
          <w:lang w:val="en-US"/>
        </w:rPr>
        <w:t>Masiye-Moyo</w:t>
      </w:r>
      <w:proofErr w:type="spellEnd"/>
      <w:r w:rsidRPr="00207B59">
        <w:rPr>
          <w:i/>
          <w:sz w:val="24"/>
          <w:szCs w:val="24"/>
          <w:lang w:val="en-US"/>
        </w:rPr>
        <w:t xml:space="preserve"> &amp; Associates</w:t>
      </w:r>
      <w:r w:rsidRPr="00207B59">
        <w:rPr>
          <w:sz w:val="24"/>
          <w:szCs w:val="24"/>
          <w:lang w:val="en-US"/>
        </w:rPr>
        <w:t>, applicant’s legal practitioners</w:t>
      </w:r>
    </w:p>
    <w:p w:rsidR="00DC09D8" w:rsidRPr="00207B59" w:rsidRDefault="00DC09D8" w:rsidP="00207B59">
      <w:pPr>
        <w:pStyle w:val="NoSpacing"/>
        <w:jc w:val="both"/>
        <w:rPr>
          <w:sz w:val="24"/>
          <w:szCs w:val="24"/>
          <w:lang w:val="en-US"/>
        </w:rPr>
      </w:pPr>
      <w:proofErr w:type="spellStart"/>
      <w:r w:rsidRPr="00207B59">
        <w:rPr>
          <w:i/>
          <w:sz w:val="24"/>
          <w:szCs w:val="24"/>
          <w:lang w:val="en-US"/>
        </w:rPr>
        <w:t>Dube</w:t>
      </w:r>
      <w:proofErr w:type="spellEnd"/>
      <w:r w:rsidRPr="00207B59">
        <w:rPr>
          <w:i/>
          <w:sz w:val="24"/>
          <w:szCs w:val="24"/>
          <w:lang w:val="en-US"/>
        </w:rPr>
        <w:t xml:space="preserve">, </w:t>
      </w:r>
      <w:proofErr w:type="spellStart"/>
      <w:r w:rsidRPr="00207B59">
        <w:rPr>
          <w:i/>
          <w:sz w:val="24"/>
          <w:szCs w:val="24"/>
          <w:lang w:val="en-US"/>
        </w:rPr>
        <w:t>Manakai</w:t>
      </w:r>
      <w:proofErr w:type="spellEnd"/>
      <w:r w:rsidRPr="00207B59">
        <w:rPr>
          <w:i/>
          <w:sz w:val="24"/>
          <w:szCs w:val="24"/>
          <w:lang w:val="en-US"/>
        </w:rPr>
        <w:t xml:space="preserve"> &amp; </w:t>
      </w:r>
      <w:proofErr w:type="spellStart"/>
      <w:r w:rsidRPr="00207B59">
        <w:rPr>
          <w:i/>
          <w:sz w:val="24"/>
          <w:szCs w:val="24"/>
          <w:lang w:val="en-US"/>
        </w:rPr>
        <w:t>Hwacha</w:t>
      </w:r>
      <w:proofErr w:type="spellEnd"/>
      <w:r w:rsidRPr="00207B59">
        <w:rPr>
          <w:sz w:val="24"/>
          <w:szCs w:val="24"/>
          <w:lang w:val="en-US"/>
        </w:rPr>
        <w:t>, 1</w:t>
      </w:r>
      <w:r w:rsidRPr="00207B59">
        <w:rPr>
          <w:sz w:val="24"/>
          <w:szCs w:val="24"/>
          <w:vertAlign w:val="superscript"/>
          <w:lang w:val="en-US"/>
        </w:rPr>
        <w:t>st</w:t>
      </w:r>
      <w:r w:rsidRPr="00207B59">
        <w:rPr>
          <w:sz w:val="24"/>
          <w:szCs w:val="24"/>
          <w:lang w:val="en-US"/>
        </w:rPr>
        <w:t xml:space="preserve"> &amp; 3</w:t>
      </w:r>
      <w:r w:rsidRPr="00207B59">
        <w:rPr>
          <w:sz w:val="24"/>
          <w:szCs w:val="24"/>
          <w:vertAlign w:val="superscript"/>
          <w:lang w:val="en-US"/>
        </w:rPr>
        <w:t>rd</w:t>
      </w:r>
      <w:r w:rsidRPr="00207B59">
        <w:rPr>
          <w:sz w:val="24"/>
          <w:szCs w:val="24"/>
          <w:lang w:val="en-US"/>
        </w:rPr>
        <w:t xml:space="preserve"> respondent’s legal practitioners</w:t>
      </w:r>
    </w:p>
    <w:p w:rsidR="00DC09D8" w:rsidRPr="00207B59" w:rsidRDefault="00DC09D8" w:rsidP="00207B59">
      <w:pPr>
        <w:pStyle w:val="NoSpacing"/>
        <w:jc w:val="both"/>
        <w:rPr>
          <w:sz w:val="24"/>
          <w:szCs w:val="24"/>
          <w:lang w:val="en-US"/>
        </w:rPr>
      </w:pPr>
      <w:proofErr w:type="spellStart"/>
      <w:r w:rsidRPr="00207B59">
        <w:rPr>
          <w:i/>
          <w:sz w:val="24"/>
          <w:szCs w:val="24"/>
          <w:lang w:val="en-US"/>
        </w:rPr>
        <w:t>Masiya-Sheshe</w:t>
      </w:r>
      <w:proofErr w:type="spellEnd"/>
      <w:r w:rsidRPr="00207B59">
        <w:rPr>
          <w:i/>
          <w:sz w:val="24"/>
          <w:szCs w:val="24"/>
          <w:lang w:val="en-US"/>
        </w:rPr>
        <w:t xml:space="preserve"> &amp; Associates</w:t>
      </w:r>
      <w:r w:rsidRPr="00207B59">
        <w:rPr>
          <w:sz w:val="24"/>
          <w:szCs w:val="24"/>
          <w:lang w:val="en-US"/>
        </w:rPr>
        <w:t>, 2</w:t>
      </w:r>
      <w:r w:rsidRPr="00207B59">
        <w:rPr>
          <w:sz w:val="24"/>
          <w:szCs w:val="24"/>
          <w:vertAlign w:val="superscript"/>
          <w:lang w:val="en-US"/>
        </w:rPr>
        <w:t>nd</w:t>
      </w:r>
      <w:r w:rsidRPr="00207B59">
        <w:rPr>
          <w:sz w:val="24"/>
          <w:szCs w:val="24"/>
          <w:lang w:val="en-US"/>
        </w:rPr>
        <w:t xml:space="preserve"> &amp; 7</w:t>
      </w:r>
      <w:r w:rsidRPr="00207B59">
        <w:rPr>
          <w:sz w:val="24"/>
          <w:szCs w:val="24"/>
          <w:vertAlign w:val="superscript"/>
          <w:lang w:val="en-US"/>
        </w:rPr>
        <w:t>th</w:t>
      </w:r>
      <w:r w:rsidRPr="00207B59">
        <w:rPr>
          <w:sz w:val="24"/>
          <w:szCs w:val="24"/>
          <w:lang w:val="en-US"/>
        </w:rPr>
        <w:t xml:space="preserve"> respondents’ legal practitioners</w:t>
      </w:r>
    </w:p>
    <w:p w:rsidR="00DC09D8" w:rsidRPr="00207B59" w:rsidRDefault="00DC09D8" w:rsidP="00207B59">
      <w:pPr>
        <w:pStyle w:val="NoSpacing"/>
        <w:jc w:val="both"/>
        <w:rPr>
          <w:sz w:val="24"/>
          <w:szCs w:val="24"/>
          <w:lang w:val="en-US"/>
        </w:rPr>
      </w:pPr>
    </w:p>
    <w:p w:rsidR="0016729A" w:rsidRPr="00207B59" w:rsidRDefault="0016729A" w:rsidP="00207B59">
      <w:pPr>
        <w:jc w:val="both"/>
        <w:rPr>
          <w:sz w:val="24"/>
          <w:szCs w:val="24"/>
          <w:lang w:val="en-US"/>
        </w:rPr>
      </w:pPr>
      <w:r w:rsidRPr="00207B59">
        <w:rPr>
          <w:sz w:val="24"/>
          <w:szCs w:val="24"/>
          <w:lang w:val="en-US"/>
        </w:rPr>
        <w:tab/>
      </w:r>
    </w:p>
    <w:p w:rsidR="00163BB2" w:rsidRPr="00207B59" w:rsidRDefault="00163BB2" w:rsidP="00207B59">
      <w:pPr>
        <w:pStyle w:val="NoSpacing"/>
        <w:jc w:val="both"/>
        <w:rPr>
          <w:b/>
          <w:sz w:val="24"/>
          <w:szCs w:val="24"/>
          <w:lang w:val="en-US"/>
        </w:rPr>
      </w:pPr>
    </w:p>
    <w:sectPr w:rsidR="00163BB2" w:rsidRPr="00207B5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E9C" w:rsidRDefault="00D42E9C" w:rsidP="00E13EB3">
      <w:pPr>
        <w:spacing w:after="0" w:line="240" w:lineRule="auto"/>
      </w:pPr>
      <w:r>
        <w:separator/>
      </w:r>
    </w:p>
  </w:endnote>
  <w:endnote w:type="continuationSeparator" w:id="0">
    <w:p w:rsidR="00D42E9C" w:rsidRDefault="00D42E9C" w:rsidP="00E1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E9C" w:rsidRDefault="00D42E9C" w:rsidP="00E13EB3">
      <w:pPr>
        <w:spacing w:after="0" w:line="240" w:lineRule="auto"/>
      </w:pPr>
      <w:r>
        <w:separator/>
      </w:r>
    </w:p>
  </w:footnote>
  <w:footnote w:type="continuationSeparator" w:id="0">
    <w:p w:rsidR="00D42E9C" w:rsidRDefault="00D42E9C" w:rsidP="00E13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764586"/>
      <w:docPartObj>
        <w:docPartGallery w:val="Page Numbers (Top of Page)"/>
        <w:docPartUnique/>
      </w:docPartObj>
    </w:sdtPr>
    <w:sdtEndPr>
      <w:rPr>
        <w:noProof/>
      </w:rPr>
    </w:sdtEndPr>
    <w:sdtContent>
      <w:p w:rsidR="00E13EB3" w:rsidRDefault="00E13EB3">
        <w:pPr>
          <w:pStyle w:val="Header"/>
          <w:jc w:val="right"/>
          <w:rPr>
            <w:noProof/>
          </w:rPr>
        </w:pPr>
        <w:r>
          <w:fldChar w:fldCharType="begin"/>
        </w:r>
        <w:r>
          <w:instrText xml:space="preserve"> PAGE   \* MERGEFORMAT </w:instrText>
        </w:r>
        <w:r>
          <w:fldChar w:fldCharType="separate"/>
        </w:r>
        <w:r w:rsidR="0065207F">
          <w:rPr>
            <w:noProof/>
          </w:rPr>
          <w:t>6</w:t>
        </w:r>
        <w:r>
          <w:rPr>
            <w:noProof/>
          </w:rPr>
          <w:fldChar w:fldCharType="end"/>
        </w:r>
      </w:p>
      <w:p w:rsidR="00E13EB3" w:rsidRDefault="00E13EB3">
        <w:pPr>
          <w:pStyle w:val="Header"/>
          <w:jc w:val="right"/>
          <w:rPr>
            <w:noProof/>
          </w:rPr>
        </w:pPr>
        <w:r>
          <w:rPr>
            <w:noProof/>
          </w:rPr>
          <w:t xml:space="preserve">HB </w:t>
        </w:r>
        <w:r w:rsidR="00126B75">
          <w:rPr>
            <w:noProof/>
          </w:rPr>
          <w:t>68</w:t>
        </w:r>
        <w:r>
          <w:rPr>
            <w:noProof/>
          </w:rPr>
          <w:t>/23</w:t>
        </w:r>
      </w:p>
      <w:p w:rsidR="00E13EB3" w:rsidRDefault="00E13EB3">
        <w:pPr>
          <w:pStyle w:val="Header"/>
          <w:jc w:val="right"/>
        </w:pPr>
        <w:r>
          <w:rPr>
            <w:noProof/>
          </w:rPr>
          <w:t>HC 1087/22</w:t>
        </w:r>
      </w:p>
    </w:sdtContent>
  </w:sdt>
  <w:p w:rsidR="00E13EB3" w:rsidRDefault="00E13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038CB"/>
    <w:multiLevelType w:val="hybridMultilevel"/>
    <w:tmpl w:val="0794F1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9C4061C"/>
    <w:multiLevelType w:val="hybridMultilevel"/>
    <w:tmpl w:val="53B4AF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04F12FA"/>
    <w:multiLevelType w:val="hybridMultilevel"/>
    <w:tmpl w:val="4E1E2680"/>
    <w:lvl w:ilvl="0" w:tplc="F0962CF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83A4AD2"/>
    <w:multiLevelType w:val="hybridMultilevel"/>
    <w:tmpl w:val="2666941C"/>
    <w:lvl w:ilvl="0" w:tplc="FD205E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49521B8"/>
    <w:multiLevelType w:val="hybridMultilevel"/>
    <w:tmpl w:val="3FAAC496"/>
    <w:lvl w:ilvl="0" w:tplc="30963928">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B2"/>
    <w:rsid w:val="00126B75"/>
    <w:rsid w:val="00135877"/>
    <w:rsid w:val="00163BB2"/>
    <w:rsid w:val="0016729A"/>
    <w:rsid w:val="00207B59"/>
    <w:rsid w:val="00234AEC"/>
    <w:rsid w:val="00243803"/>
    <w:rsid w:val="00246865"/>
    <w:rsid w:val="00463875"/>
    <w:rsid w:val="005818C2"/>
    <w:rsid w:val="005C6420"/>
    <w:rsid w:val="006050BC"/>
    <w:rsid w:val="006274D6"/>
    <w:rsid w:val="0065207F"/>
    <w:rsid w:val="00675ED7"/>
    <w:rsid w:val="006771CF"/>
    <w:rsid w:val="00810A9F"/>
    <w:rsid w:val="008406F2"/>
    <w:rsid w:val="00976F60"/>
    <w:rsid w:val="00AD7311"/>
    <w:rsid w:val="00B73C19"/>
    <w:rsid w:val="00D26893"/>
    <w:rsid w:val="00D42E9C"/>
    <w:rsid w:val="00DC09D8"/>
    <w:rsid w:val="00DE31B7"/>
    <w:rsid w:val="00E13EB3"/>
    <w:rsid w:val="00E47181"/>
    <w:rsid w:val="00F02F0C"/>
    <w:rsid w:val="00F57786"/>
    <w:rsid w:val="00FD25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ED1D0-561E-443F-A0B5-4931CA82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BB2"/>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3BB2"/>
    <w:pPr>
      <w:spacing w:after="0" w:line="240" w:lineRule="auto"/>
    </w:pPr>
    <w:rPr>
      <w:rFonts w:ascii="Times New Roman" w:hAnsi="Times New Roman"/>
      <w:sz w:val="28"/>
    </w:rPr>
  </w:style>
  <w:style w:type="paragraph" w:styleId="ListParagraph">
    <w:name w:val="List Paragraph"/>
    <w:basedOn w:val="Normal"/>
    <w:uiPriority w:val="34"/>
    <w:qFormat/>
    <w:rsid w:val="00810A9F"/>
    <w:pPr>
      <w:ind w:left="720"/>
      <w:contextualSpacing/>
    </w:pPr>
  </w:style>
  <w:style w:type="paragraph" w:styleId="Header">
    <w:name w:val="header"/>
    <w:basedOn w:val="Normal"/>
    <w:link w:val="HeaderChar"/>
    <w:uiPriority w:val="99"/>
    <w:unhideWhenUsed/>
    <w:rsid w:val="00E13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EB3"/>
    <w:rPr>
      <w:rFonts w:ascii="Times New Roman" w:hAnsi="Times New Roman"/>
      <w:sz w:val="28"/>
    </w:rPr>
  </w:style>
  <w:style w:type="paragraph" w:styleId="Footer">
    <w:name w:val="footer"/>
    <w:basedOn w:val="Normal"/>
    <w:link w:val="FooterChar"/>
    <w:uiPriority w:val="99"/>
    <w:unhideWhenUsed/>
    <w:rsid w:val="00E13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EB3"/>
    <w:rPr>
      <w:rFonts w:ascii="Times New Roman" w:hAnsi="Times New Roman"/>
      <w:sz w:val="28"/>
    </w:rPr>
  </w:style>
  <w:style w:type="paragraph" w:styleId="BalloonText">
    <w:name w:val="Balloon Text"/>
    <w:basedOn w:val="Normal"/>
    <w:link w:val="BalloonTextChar"/>
    <w:uiPriority w:val="99"/>
    <w:semiHidden/>
    <w:unhideWhenUsed/>
    <w:rsid w:val="00207B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B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cp:lastPrinted>2023-05-03T14:09:00Z</cp:lastPrinted>
  <dcterms:created xsi:type="dcterms:W3CDTF">2023-04-19T07:09:00Z</dcterms:created>
  <dcterms:modified xsi:type="dcterms:W3CDTF">2023-05-03T14:09:00Z</dcterms:modified>
</cp:coreProperties>
</file>