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12E" w:rsidRDefault="00AE07A9">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2050E0">
        <w:rPr>
          <w:b/>
          <w:sz w:val="24"/>
          <w:szCs w:val="24"/>
        </w:rPr>
        <w:t>413</w:t>
      </w:r>
      <w:r>
        <w:rPr>
          <w:b/>
          <w:sz w:val="24"/>
          <w:szCs w:val="24"/>
        </w:rPr>
        <w:t>/16</w:t>
      </w:r>
    </w:p>
    <w:p w:rsidR="00AE07A9" w:rsidRDefault="00AE07A9">
      <w:pPr>
        <w:rPr>
          <w:b/>
          <w:sz w:val="24"/>
          <w:szCs w:val="24"/>
        </w:rPr>
      </w:pPr>
      <w:r>
        <w:rPr>
          <w:b/>
          <w:sz w:val="24"/>
          <w:szCs w:val="24"/>
        </w:rPr>
        <w:t>HELD AT HARARE 7 JUNE 2016</w:t>
      </w:r>
      <w:r>
        <w:rPr>
          <w:b/>
          <w:sz w:val="24"/>
          <w:szCs w:val="24"/>
        </w:rPr>
        <w:tab/>
      </w:r>
      <w:r>
        <w:rPr>
          <w:b/>
          <w:sz w:val="24"/>
          <w:szCs w:val="24"/>
        </w:rPr>
        <w:tab/>
      </w:r>
      <w:r>
        <w:rPr>
          <w:b/>
          <w:sz w:val="24"/>
          <w:szCs w:val="24"/>
        </w:rPr>
        <w:tab/>
      </w:r>
      <w:r>
        <w:rPr>
          <w:b/>
          <w:sz w:val="24"/>
          <w:szCs w:val="24"/>
        </w:rPr>
        <w:tab/>
        <w:t>CASE NO LC/H/APP/260/16</w:t>
      </w:r>
    </w:p>
    <w:p w:rsidR="00AE07A9" w:rsidRDefault="00AE07A9">
      <w:pPr>
        <w:rPr>
          <w:b/>
          <w:sz w:val="24"/>
          <w:szCs w:val="24"/>
        </w:rPr>
      </w:pPr>
      <w:r>
        <w:rPr>
          <w:b/>
          <w:sz w:val="24"/>
          <w:szCs w:val="24"/>
        </w:rPr>
        <w:t>&amp; 8 JULY 2016</w:t>
      </w:r>
    </w:p>
    <w:p w:rsidR="00AE07A9" w:rsidRDefault="00AE07A9">
      <w:pPr>
        <w:rPr>
          <w:sz w:val="24"/>
          <w:szCs w:val="24"/>
        </w:rPr>
      </w:pPr>
      <w:r>
        <w:rPr>
          <w:sz w:val="24"/>
          <w:szCs w:val="24"/>
        </w:rPr>
        <w:t>In the matter between:</w:t>
      </w:r>
    </w:p>
    <w:p w:rsidR="00AE07A9" w:rsidRDefault="00AE07A9" w:rsidP="00424E1D">
      <w:pPr>
        <w:spacing w:line="360" w:lineRule="auto"/>
        <w:jc w:val="both"/>
        <w:rPr>
          <w:b/>
          <w:sz w:val="24"/>
          <w:szCs w:val="24"/>
        </w:rPr>
      </w:pPr>
      <w:r>
        <w:rPr>
          <w:b/>
          <w:sz w:val="24"/>
          <w:szCs w:val="24"/>
        </w:rPr>
        <w:t>AUTHER RUSERE</w:t>
      </w:r>
      <w:r>
        <w:rPr>
          <w:b/>
          <w:sz w:val="24"/>
          <w:szCs w:val="24"/>
        </w:rPr>
        <w:tab/>
      </w:r>
      <w:r>
        <w:rPr>
          <w:b/>
          <w:sz w:val="24"/>
          <w:szCs w:val="24"/>
        </w:rPr>
        <w:tab/>
      </w:r>
      <w:r>
        <w:rPr>
          <w:b/>
          <w:sz w:val="24"/>
          <w:szCs w:val="24"/>
        </w:rPr>
        <w:tab/>
      </w:r>
      <w:r>
        <w:rPr>
          <w:b/>
          <w:sz w:val="24"/>
          <w:szCs w:val="24"/>
        </w:rPr>
        <w:tab/>
      </w:r>
      <w:r>
        <w:rPr>
          <w:b/>
          <w:sz w:val="24"/>
          <w:szCs w:val="24"/>
        </w:rPr>
        <w:tab/>
        <w:t>Applicant</w:t>
      </w:r>
    </w:p>
    <w:p w:rsidR="00AE07A9" w:rsidRDefault="00AE07A9" w:rsidP="00424E1D">
      <w:pPr>
        <w:spacing w:line="360" w:lineRule="auto"/>
        <w:jc w:val="both"/>
        <w:rPr>
          <w:b/>
          <w:sz w:val="24"/>
          <w:szCs w:val="24"/>
        </w:rPr>
      </w:pPr>
      <w:r>
        <w:rPr>
          <w:b/>
          <w:sz w:val="24"/>
          <w:szCs w:val="24"/>
        </w:rPr>
        <w:t>And</w:t>
      </w:r>
    </w:p>
    <w:p w:rsidR="00AE07A9" w:rsidRDefault="00AE07A9" w:rsidP="00424E1D">
      <w:pPr>
        <w:spacing w:line="360" w:lineRule="auto"/>
        <w:jc w:val="both"/>
        <w:rPr>
          <w:b/>
          <w:sz w:val="24"/>
          <w:szCs w:val="24"/>
        </w:rPr>
      </w:pPr>
      <w:r>
        <w:rPr>
          <w:b/>
          <w:sz w:val="24"/>
          <w:szCs w:val="24"/>
        </w:rPr>
        <w:t>RETAN INVESTMENTS</w:t>
      </w:r>
      <w:r>
        <w:rPr>
          <w:b/>
          <w:sz w:val="24"/>
          <w:szCs w:val="24"/>
        </w:rPr>
        <w:tab/>
      </w:r>
      <w:r>
        <w:rPr>
          <w:b/>
          <w:sz w:val="24"/>
          <w:szCs w:val="24"/>
        </w:rPr>
        <w:tab/>
      </w:r>
      <w:r>
        <w:rPr>
          <w:b/>
          <w:sz w:val="24"/>
          <w:szCs w:val="24"/>
        </w:rPr>
        <w:tab/>
      </w:r>
      <w:r>
        <w:rPr>
          <w:b/>
          <w:sz w:val="24"/>
          <w:szCs w:val="24"/>
        </w:rPr>
        <w:tab/>
      </w:r>
      <w:r>
        <w:rPr>
          <w:b/>
          <w:sz w:val="24"/>
          <w:szCs w:val="24"/>
        </w:rPr>
        <w:tab/>
        <w:t>Respondent</w:t>
      </w:r>
    </w:p>
    <w:p w:rsidR="00AE07A9" w:rsidRDefault="00AE07A9" w:rsidP="00424E1D">
      <w:pPr>
        <w:spacing w:line="360" w:lineRule="auto"/>
        <w:jc w:val="both"/>
        <w:rPr>
          <w:sz w:val="24"/>
          <w:szCs w:val="24"/>
        </w:rPr>
      </w:pPr>
      <w:r>
        <w:rPr>
          <w:sz w:val="24"/>
          <w:szCs w:val="24"/>
        </w:rPr>
        <w:t xml:space="preserve">Before The Honourable E </w:t>
      </w:r>
      <w:proofErr w:type="spellStart"/>
      <w:r>
        <w:rPr>
          <w:sz w:val="24"/>
          <w:szCs w:val="24"/>
        </w:rPr>
        <w:t>Mucahwa</w:t>
      </w:r>
      <w:proofErr w:type="spellEnd"/>
      <w:r>
        <w:rPr>
          <w:sz w:val="24"/>
          <w:szCs w:val="24"/>
        </w:rPr>
        <w:t>, Judge</w:t>
      </w:r>
    </w:p>
    <w:p w:rsidR="00AE07A9" w:rsidRDefault="00AE07A9" w:rsidP="00424E1D">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Ms B </w:t>
      </w:r>
      <w:proofErr w:type="spellStart"/>
      <w:r>
        <w:rPr>
          <w:b/>
          <w:sz w:val="24"/>
          <w:szCs w:val="24"/>
        </w:rPr>
        <w:t>Wozhele</w:t>
      </w:r>
      <w:proofErr w:type="spellEnd"/>
      <w:r>
        <w:rPr>
          <w:b/>
          <w:sz w:val="24"/>
          <w:szCs w:val="24"/>
        </w:rPr>
        <w:t xml:space="preserve"> (Legal Practitioner)</w:t>
      </w:r>
    </w:p>
    <w:p w:rsidR="00AE07A9" w:rsidRDefault="00AE07A9" w:rsidP="00424E1D">
      <w:pPr>
        <w:spacing w:line="360" w:lineRule="auto"/>
        <w:jc w:val="both"/>
        <w:rPr>
          <w:b/>
          <w:sz w:val="24"/>
          <w:szCs w:val="24"/>
        </w:rPr>
      </w:pPr>
      <w:r>
        <w:rPr>
          <w:b/>
          <w:sz w:val="24"/>
          <w:szCs w:val="24"/>
        </w:rPr>
        <w:t>For Respondent</w:t>
      </w:r>
      <w:r>
        <w:rPr>
          <w:b/>
          <w:sz w:val="24"/>
          <w:szCs w:val="24"/>
        </w:rPr>
        <w:tab/>
      </w:r>
      <w:r>
        <w:rPr>
          <w:b/>
          <w:sz w:val="24"/>
          <w:szCs w:val="24"/>
        </w:rPr>
        <w:tab/>
        <w:t>In default</w:t>
      </w:r>
    </w:p>
    <w:p w:rsidR="00AE07A9" w:rsidRDefault="00AE07A9" w:rsidP="00424E1D">
      <w:pPr>
        <w:spacing w:line="360" w:lineRule="auto"/>
        <w:jc w:val="both"/>
        <w:rPr>
          <w:b/>
          <w:sz w:val="24"/>
          <w:szCs w:val="24"/>
        </w:rPr>
      </w:pPr>
    </w:p>
    <w:p w:rsidR="00AE07A9" w:rsidRDefault="00AE07A9" w:rsidP="00424E1D">
      <w:pPr>
        <w:spacing w:line="360" w:lineRule="auto"/>
        <w:jc w:val="both"/>
        <w:rPr>
          <w:b/>
          <w:sz w:val="24"/>
          <w:szCs w:val="24"/>
        </w:rPr>
      </w:pPr>
      <w:r>
        <w:rPr>
          <w:b/>
          <w:sz w:val="24"/>
          <w:szCs w:val="24"/>
        </w:rPr>
        <w:t>MUCHAWA, J:</w:t>
      </w:r>
    </w:p>
    <w:p w:rsidR="00AE07A9" w:rsidRDefault="00AE07A9" w:rsidP="00424E1D">
      <w:pPr>
        <w:spacing w:line="360" w:lineRule="auto"/>
        <w:jc w:val="both"/>
        <w:rPr>
          <w:sz w:val="24"/>
          <w:szCs w:val="24"/>
        </w:rPr>
      </w:pPr>
      <w:r>
        <w:rPr>
          <w:b/>
          <w:sz w:val="24"/>
          <w:szCs w:val="24"/>
        </w:rPr>
        <w:tab/>
      </w:r>
      <w:r>
        <w:rPr>
          <w:sz w:val="24"/>
          <w:szCs w:val="24"/>
        </w:rPr>
        <w:t>This is an application for quantification of damages following an order of this court which ordered as follows,</w:t>
      </w:r>
    </w:p>
    <w:p w:rsidR="00AE07A9" w:rsidRDefault="00AE07A9" w:rsidP="00424E1D">
      <w:pPr>
        <w:pStyle w:val="ListParagraph"/>
        <w:numPr>
          <w:ilvl w:val="0"/>
          <w:numId w:val="1"/>
        </w:numPr>
        <w:spacing w:line="360" w:lineRule="auto"/>
        <w:jc w:val="both"/>
      </w:pPr>
      <w:r w:rsidRPr="00AE07A9">
        <w:t>“By consent</w:t>
      </w:r>
      <w:r>
        <w:t>, the disciplinary proceedings held by the respondent on 4 July 2014 be and are hereby set aside.</w:t>
      </w:r>
    </w:p>
    <w:p w:rsidR="00AE07A9" w:rsidRDefault="00AE07A9" w:rsidP="00424E1D">
      <w:pPr>
        <w:pStyle w:val="ListParagraph"/>
        <w:numPr>
          <w:ilvl w:val="0"/>
          <w:numId w:val="1"/>
        </w:numPr>
        <w:spacing w:line="360" w:lineRule="auto"/>
        <w:jc w:val="both"/>
      </w:pPr>
      <w:proofErr w:type="gramStart"/>
      <w:r>
        <w:t>respondent</w:t>
      </w:r>
      <w:proofErr w:type="gramEnd"/>
      <w:r>
        <w:t xml:space="preserve"> is to reinstate the applicant with effect from dated of unlawful dismissal without loss of salary and benefits, and may, if it so wishes reinstitute fresh disciplinary proceedings in a procedurally correct manner.</w:t>
      </w:r>
    </w:p>
    <w:p w:rsidR="00AE07A9" w:rsidRDefault="00AE07A9" w:rsidP="00424E1D">
      <w:pPr>
        <w:pStyle w:val="ListParagraph"/>
        <w:numPr>
          <w:ilvl w:val="0"/>
          <w:numId w:val="1"/>
        </w:numPr>
        <w:spacing w:line="360" w:lineRule="auto"/>
        <w:jc w:val="both"/>
      </w:pPr>
      <w:proofErr w:type="gramStart"/>
      <w:r>
        <w:t>in</w:t>
      </w:r>
      <w:proofErr w:type="gramEnd"/>
      <w:r>
        <w:t xml:space="preserve"> the event that reinstatement is not an option, the applicant should be paid damages in lieu of reinstatement, the quantum of which should be agreed by the parties or assessed by the court.</w:t>
      </w:r>
    </w:p>
    <w:p w:rsidR="00AE07A9" w:rsidRDefault="00460D35" w:rsidP="00424E1D">
      <w:pPr>
        <w:pStyle w:val="ListParagraph"/>
        <w:spacing w:after="0" w:line="360" w:lineRule="auto"/>
        <w:jc w:val="both"/>
        <w:rPr>
          <w:sz w:val="24"/>
          <w:szCs w:val="24"/>
        </w:rPr>
      </w:pPr>
      <w:r>
        <w:rPr>
          <w:sz w:val="24"/>
          <w:szCs w:val="24"/>
        </w:rPr>
        <w:t>The respondent is</w:t>
      </w:r>
      <w:r w:rsidR="00AE07A9">
        <w:rPr>
          <w:sz w:val="24"/>
          <w:szCs w:val="24"/>
        </w:rPr>
        <w:t xml:space="preserve"> of the view t</w:t>
      </w:r>
      <w:r w:rsidR="00424E1D">
        <w:rPr>
          <w:sz w:val="24"/>
          <w:szCs w:val="24"/>
        </w:rPr>
        <w:t>h</w:t>
      </w:r>
      <w:r w:rsidR="00AE07A9">
        <w:rPr>
          <w:sz w:val="24"/>
          <w:szCs w:val="24"/>
        </w:rPr>
        <w:t>at reinstatement</w:t>
      </w:r>
      <w:r w:rsidR="00424E1D">
        <w:rPr>
          <w:sz w:val="24"/>
          <w:szCs w:val="24"/>
        </w:rPr>
        <w:t xml:space="preserve"> </w:t>
      </w:r>
      <w:r w:rsidR="00AE07A9">
        <w:rPr>
          <w:sz w:val="24"/>
          <w:szCs w:val="24"/>
        </w:rPr>
        <w:t xml:space="preserve">is no longer </w:t>
      </w:r>
      <w:r>
        <w:rPr>
          <w:sz w:val="24"/>
          <w:szCs w:val="24"/>
        </w:rPr>
        <w:t>an</w:t>
      </w:r>
      <w:r w:rsidR="00AE07A9">
        <w:rPr>
          <w:sz w:val="24"/>
          <w:szCs w:val="24"/>
        </w:rPr>
        <w:t xml:space="preserve"> option hence</w:t>
      </w:r>
      <w:r w:rsidR="00424E1D">
        <w:rPr>
          <w:sz w:val="24"/>
          <w:szCs w:val="24"/>
        </w:rPr>
        <w:t xml:space="preserve"> this </w:t>
      </w:r>
    </w:p>
    <w:p w:rsidR="00424E1D" w:rsidRDefault="00424E1D" w:rsidP="00424E1D">
      <w:pPr>
        <w:spacing w:after="0" w:line="360" w:lineRule="auto"/>
        <w:jc w:val="both"/>
        <w:rPr>
          <w:sz w:val="24"/>
          <w:szCs w:val="24"/>
        </w:rPr>
      </w:pPr>
      <w:proofErr w:type="gramStart"/>
      <w:r>
        <w:rPr>
          <w:sz w:val="24"/>
          <w:szCs w:val="24"/>
        </w:rPr>
        <w:t>application</w:t>
      </w:r>
      <w:proofErr w:type="gramEnd"/>
      <w:r>
        <w:rPr>
          <w:sz w:val="24"/>
          <w:szCs w:val="24"/>
        </w:rPr>
        <w:t xml:space="preserve"> for quantification.</w:t>
      </w:r>
    </w:p>
    <w:p w:rsidR="00424E1D" w:rsidRDefault="00424E1D" w:rsidP="00424E1D">
      <w:pPr>
        <w:spacing w:after="0" w:line="360" w:lineRule="auto"/>
        <w:jc w:val="both"/>
        <w:rPr>
          <w:sz w:val="24"/>
          <w:szCs w:val="24"/>
        </w:rPr>
      </w:pPr>
      <w:r>
        <w:rPr>
          <w:sz w:val="24"/>
          <w:szCs w:val="24"/>
        </w:rPr>
        <w:tab/>
        <w:t>Both parties</w:t>
      </w:r>
      <w:r w:rsidR="003656FA">
        <w:rPr>
          <w:sz w:val="24"/>
          <w:szCs w:val="24"/>
        </w:rPr>
        <w:t xml:space="preserve"> filed heads of argument though the respondent did not attend the hearing.  I proceeded to hear the applicant to enable the court to properly quantify the claim as to quantify without leading evidence is to err in law.</w:t>
      </w:r>
    </w:p>
    <w:p w:rsidR="003656FA" w:rsidRDefault="003656FA" w:rsidP="00424E1D">
      <w:pPr>
        <w:spacing w:after="0" w:line="360" w:lineRule="auto"/>
        <w:jc w:val="both"/>
        <w:rPr>
          <w:sz w:val="24"/>
          <w:szCs w:val="24"/>
        </w:rPr>
      </w:pPr>
      <w:r>
        <w:rPr>
          <w:sz w:val="24"/>
          <w:szCs w:val="24"/>
        </w:rPr>
        <w:lastRenderedPageBreak/>
        <w:tab/>
        <w:t>The claim of the applicant as set out in the notice of application is as follows</w:t>
      </w:r>
    </w:p>
    <w:p w:rsidR="003656FA" w:rsidRDefault="003656FA" w:rsidP="003656FA">
      <w:pPr>
        <w:pStyle w:val="ListParagraph"/>
        <w:numPr>
          <w:ilvl w:val="0"/>
          <w:numId w:val="2"/>
        </w:numPr>
        <w:spacing w:after="0" w:line="360" w:lineRule="auto"/>
        <w:jc w:val="both"/>
        <w:rPr>
          <w:sz w:val="24"/>
          <w:szCs w:val="24"/>
        </w:rPr>
      </w:pPr>
      <w:r>
        <w:rPr>
          <w:sz w:val="24"/>
          <w:szCs w:val="24"/>
        </w:rPr>
        <w:t>back pay  for 19 months from 27 June 2014 the date of unlawful dismissal to 10 February 2016 being the date of reinstatement at the agreed salary of $313.00 per month = $5947.00</w:t>
      </w:r>
    </w:p>
    <w:p w:rsidR="003656FA" w:rsidRDefault="003656FA" w:rsidP="003656FA">
      <w:pPr>
        <w:pStyle w:val="ListParagraph"/>
        <w:numPr>
          <w:ilvl w:val="0"/>
          <w:numId w:val="2"/>
        </w:numPr>
        <w:spacing w:after="0" w:line="360" w:lineRule="auto"/>
        <w:jc w:val="both"/>
        <w:rPr>
          <w:sz w:val="24"/>
          <w:szCs w:val="24"/>
        </w:rPr>
      </w:pPr>
      <w:r>
        <w:rPr>
          <w:sz w:val="24"/>
          <w:szCs w:val="24"/>
        </w:rPr>
        <w:t>notice pay for 3 months is $313.00 x 3 = $939.00</w:t>
      </w:r>
    </w:p>
    <w:p w:rsidR="003656FA" w:rsidRDefault="003656FA" w:rsidP="003656FA">
      <w:pPr>
        <w:pStyle w:val="ListParagraph"/>
        <w:numPr>
          <w:ilvl w:val="0"/>
          <w:numId w:val="2"/>
        </w:numPr>
        <w:spacing w:after="0" w:line="360" w:lineRule="auto"/>
        <w:jc w:val="both"/>
        <w:rPr>
          <w:sz w:val="24"/>
          <w:szCs w:val="24"/>
        </w:rPr>
      </w:pPr>
      <w:r>
        <w:rPr>
          <w:sz w:val="24"/>
          <w:szCs w:val="24"/>
        </w:rPr>
        <w:t>cash in lieu of leave days for 5 months accrued since 2011 is $313.00 x 5 = $1565.00</w:t>
      </w:r>
    </w:p>
    <w:p w:rsidR="003656FA" w:rsidRDefault="003656FA" w:rsidP="003656FA">
      <w:pPr>
        <w:pStyle w:val="ListParagraph"/>
        <w:numPr>
          <w:ilvl w:val="0"/>
          <w:numId w:val="2"/>
        </w:numPr>
        <w:spacing w:after="0" w:line="360" w:lineRule="auto"/>
        <w:jc w:val="both"/>
        <w:rPr>
          <w:sz w:val="24"/>
          <w:szCs w:val="24"/>
        </w:rPr>
      </w:pPr>
      <w:r>
        <w:rPr>
          <w:sz w:val="24"/>
          <w:szCs w:val="24"/>
        </w:rPr>
        <w:t>damages in lieu of reinstatement for 8 months as applicant got alternative employment in March 2015 which is $313.00 x 8 = $2504.00</w:t>
      </w:r>
    </w:p>
    <w:p w:rsidR="003656FA" w:rsidRDefault="003656FA" w:rsidP="003656FA">
      <w:pPr>
        <w:spacing w:after="0" w:line="360" w:lineRule="auto"/>
        <w:ind w:left="720"/>
        <w:jc w:val="both"/>
        <w:rPr>
          <w:sz w:val="24"/>
          <w:szCs w:val="24"/>
        </w:rPr>
      </w:pPr>
      <w:r>
        <w:rPr>
          <w:sz w:val="24"/>
          <w:szCs w:val="24"/>
        </w:rPr>
        <w:t>Total claim $10 955</w:t>
      </w:r>
    </w:p>
    <w:p w:rsidR="003656FA" w:rsidRDefault="003656FA" w:rsidP="003656FA">
      <w:pPr>
        <w:spacing w:after="0" w:line="360" w:lineRule="auto"/>
        <w:jc w:val="both"/>
        <w:rPr>
          <w:sz w:val="24"/>
          <w:szCs w:val="24"/>
          <w:u w:val="single"/>
        </w:rPr>
      </w:pPr>
      <w:r w:rsidRPr="003656FA">
        <w:rPr>
          <w:sz w:val="24"/>
          <w:szCs w:val="24"/>
          <w:u w:val="single"/>
        </w:rPr>
        <w:t>Back pay</w:t>
      </w:r>
    </w:p>
    <w:p w:rsidR="003656FA" w:rsidRDefault="003656FA" w:rsidP="003656FA">
      <w:pPr>
        <w:spacing w:after="0" w:line="360" w:lineRule="auto"/>
        <w:jc w:val="both"/>
        <w:rPr>
          <w:sz w:val="24"/>
          <w:szCs w:val="24"/>
        </w:rPr>
      </w:pPr>
      <w:r>
        <w:rPr>
          <w:sz w:val="24"/>
          <w:szCs w:val="24"/>
        </w:rPr>
        <w:tab/>
        <w:t>At the hearing the applicant c</w:t>
      </w:r>
      <w:r w:rsidR="00460D35">
        <w:rPr>
          <w:sz w:val="24"/>
          <w:szCs w:val="24"/>
        </w:rPr>
        <w:t>orrectly withdrew its claim for</w:t>
      </w:r>
      <w:r>
        <w:rPr>
          <w:sz w:val="24"/>
          <w:szCs w:val="24"/>
        </w:rPr>
        <w:t xml:space="preserve"> back pay for 19 months.  </w:t>
      </w:r>
      <w:proofErr w:type="gramStart"/>
      <w:r>
        <w:rPr>
          <w:sz w:val="24"/>
          <w:szCs w:val="24"/>
        </w:rPr>
        <w:t xml:space="preserve">This in line with the case of </w:t>
      </w:r>
      <w:proofErr w:type="spellStart"/>
      <w:r>
        <w:rPr>
          <w:i/>
          <w:sz w:val="24"/>
          <w:szCs w:val="24"/>
        </w:rPr>
        <w:t>Ambali</w:t>
      </w:r>
      <w:proofErr w:type="spellEnd"/>
      <w:r>
        <w:rPr>
          <w:i/>
          <w:sz w:val="24"/>
          <w:szCs w:val="24"/>
        </w:rPr>
        <w:t xml:space="preserve"> </w:t>
      </w:r>
      <w:r>
        <w:rPr>
          <w:sz w:val="24"/>
          <w:szCs w:val="24"/>
        </w:rPr>
        <w:t xml:space="preserve">v </w:t>
      </w:r>
      <w:r>
        <w:rPr>
          <w:i/>
          <w:sz w:val="24"/>
          <w:szCs w:val="24"/>
        </w:rPr>
        <w:t>Bata Shoe Company Ltd</w:t>
      </w:r>
      <w:r>
        <w:rPr>
          <w:sz w:val="24"/>
          <w:szCs w:val="24"/>
        </w:rPr>
        <w:t xml:space="preserve"> 1999 (10 ZLR 417 (S) which states that an employee will be compensated only for the period between his wrongful dismissal and the date when he could reasonably have been expected to find alternative employment.</w:t>
      </w:r>
      <w:proofErr w:type="gramEnd"/>
    </w:p>
    <w:p w:rsidR="003656FA" w:rsidRDefault="003656FA" w:rsidP="003656FA">
      <w:pPr>
        <w:spacing w:after="0" w:line="360" w:lineRule="auto"/>
        <w:jc w:val="both"/>
        <w:rPr>
          <w:sz w:val="24"/>
          <w:szCs w:val="24"/>
        </w:rPr>
      </w:pPr>
      <w:r>
        <w:rPr>
          <w:sz w:val="24"/>
          <w:szCs w:val="24"/>
        </w:rPr>
        <w:tab/>
        <w:t xml:space="preserve">In </w:t>
      </w:r>
      <w:r>
        <w:rPr>
          <w:i/>
          <w:sz w:val="24"/>
          <w:szCs w:val="24"/>
        </w:rPr>
        <w:t xml:space="preserve">Leopard Rock </w:t>
      </w:r>
      <w:r>
        <w:rPr>
          <w:sz w:val="24"/>
          <w:szCs w:val="24"/>
        </w:rPr>
        <w:t xml:space="preserve">v </w:t>
      </w:r>
      <w:r>
        <w:rPr>
          <w:i/>
          <w:sz w:val="24"/>
          <w:szCs w:val="24"/>
        </w:rPr>
        <w:t xml:space="preserve">Van </w:t>
      </w:r>
      <w:proofErr w:type="spellStart"/>
      <w:r>
        <w:rPr>
          <w:i/>
          <w:sz w:val="24"/>
          <w:szCs w:val="24"/>
        </w:rPr>
        <w:t>Beek</w:t>
      </w:r>
      <w:proofErr w:type="spellEnd"/>
      <w:r>
        <w:rPr>
          <w:i/>
          <w:sz w:val="24"/>
          <w:szCs w:val="24"/>
        </w:rPr>
        <w:t xml:space="preserve"> </w:t>
      </w:r>
      <w:r w:rsidRPr="003656FA">
        <w:rPr>
          <w:sz w:val="24"/>
          <w:szCs w:val="24"/>
        </w:rPr>
        <w:t>SC 6/2000</w:t>
      </w:r>
      <w:r>
        <w:rPr>
          <w:i/>
          <w:sz w:val="24"/>
          <w:szCs w:val="24"/>
        </w:rPr>
        <w:t>,</w:t>
      </w:r>
      <w:r>
        <w:rPr>
          <w:sz w:val="24"/>
          <w:szCs w:val="24"/>
        </w:rPr>
        <w:t xml:space="preserve"> it was held that damages and back pay are both damages, with the only difference being that damages </w:t>
      </w:r>
      <w:r w:rsidR="00460D35">
        <w:rPr>
          <w:sz w:val="24"/>
          <w:szCs w:val="24"/>
        </w:rPr>
        <w:t>are</w:t>
      </w:r>
      <w:r>
        <w:rPr>
          <w:sz w:val="24"/>
          <w:szCs w:val="24"/>
        </w:rPr>
        <w:t xml:space="preserve"> the wider concept.</w:t>
      </w:r>
    </w:p>
    <w:p w:rsidR="003656FA" w:rsidRDefault="003656FA" w:rsidP="003656FA">
      <w:pPr>
        <w:spacing w:after="0" w:line="360" w:lineRule="auto"/>
        <w:jc w:val="both"/>
        <w:rPr>
          <w:sz w:val="24"/>
          <w:szCs w:val="24"/>
        </w:rPr>
      </w:pPr>
      <w:r>
        <w:rPr>
          <w:sz w:val="24"/>
          <w:szCs w:val="24"/>
        </w:rPr>
        <w:tab/>
        <w:t xml:space="preserve">The Supreme Court in </w:t>
      </w:r>
      <w:proofErr w:type="spellStart"/>
      <w:r>
        <w:rPr>
          <w:i/>
          <w:sz w:val="24"/>
          <w:szCs w:val="24"/>
        </w:rPr>
        <w:t>Madhatter</w:t>
      </w:r>
      <w:proofErr w:type="spellEnd"/>
      <w:r>
        <w:rPr>
          <w:i/>
          <w:sz w:val="24"/>
          <w:szCs w:val="24"/>
        </w:rPr>
        <w:t xml:space="preserve"> Mining Company </w:t>
      </w:r>
      <w:r>
        <w:rPr>
          <w:sz w:val="24"/>
          <w:szCs w:val="24"/>
        </w:rPr>
        <w:t xml:space="preserve">v </w:t>
      </w:r>
      <w:proofErr w:type="spellStart"/>
      <w:r>
        <w:rPr>
          <w:i/>
          <w:sz w:val="24"/>
          <w:szCs w:val="24"/>
        </w:rPr>
        <w:t>Tapfuma</w:t>
      </w:r>
      <w:proofErr w:type="spellEnd"/>
      <w:r>
        <w:rPr>
          <w:i/>
          <w:sz w:val="24"/>
          <w:szCs w:val="24"/>
        </w:rPr>
        <w:t xml:space="preserve"> </w:t>
      </w:r>
      <w:r>
        <w:rPr>
          <w:sz w:val="24"/>
          <w:szCs w:val="24"/>
        </w:rPr>
        <w:t>S-51-</w:t>
      </w:r>
      <w:proofErr w:type="gramStart"/>
      <w:r>
        <w:rPr>
          <w:sz w:val="24"/>
          <w:szCs w:val="24"/>
        </w:rPr>
        <w:t>14,</w:t>
      </w:r>
      <w:proofErr w:type="gramEnd"/>
      <w:r>
        <w:rPr>
          <w:sz w:val="24"/>
          <w:szCs w:val="24"/>
        </w:rPr>
        <w:t xml:space="preserve"> held that both back pay and damages must be within the same period, though varying time periods, dependent on the circumstances of each case.</w:t>
      </w:r>
    </w:p>
    <w:p w:rsidR="003656FA" w:rsidRDefault="003656FA" w:rsidP="003656FA">
      <w:pPr>
        <w:spacing w:after="0" w:line="360" w:lineRule="auto"/>
        <w:jc w:val="both"/>
        <w:rPr>
          <w:sz w:val="24"/>
          <w:szCs w:val="24"/>
        </w:rPr>
      </w:pPr>
    </w:p>
    <w:p w:rsidR="003656FA" w:rsidRPr="003656FA" w:rsidRDefault="003656FA" w:rsidP="003656FA">
      <w:pPr>
        <w:spacing w:after="0" w:line="360" w:lineRule="auto"/>
        <w:jc w:val="both"/>
        <w:rPr>
          <w:sz w:val="24"/>
          <w:szCs w:val="24"/>
          <w:u w:val="single"/>
        </w:rPr>
      </w:pPr>
      <w:r w:rsidRPr="003656FA">
        <w:rPr>
          <w:sz w:val="24"/>
          <w:szCs w:val="24"/>
          <w:u w:val="single"/>
        </w:rPr>
        <w:t>Notice Pay and Cash in Lieu of Leave</w:t>
      </w:r>
    </w:p>
    <w:p w:rsidR="003656FA" w:rsidRDefault="003656FA" w:rsidP="003656FA">
      <w:pPr>
        <w:spacing w:after="0" w:line="360" w:lineRule="auto"/>
        <w:jc w:val="both"/>
        <w:rPr>
          <w:sz w:val="24"/>
          <w:szCs w:val="24"/>
        </w:rPr>
      </w:pPr>
      <w:r>
        <w:rPr>
          <w:sz w:val="24"/>
          <w:szCs w:val="24"/>
        </w:rPr>
        <w:tab/>
      </w:r>
      <w:r w:rsidR="0002545A">
        <w:rPr>
          <w:sz w:val="24"/>
          <w:szCs w:val="24"/>
        </w:rPr>
        <w:t>As stated, the respondent did not turn up for the hearing.  Save for claiming, in the notice of response, to have paid the applicant the notice pay and cash in lieu of leave in terms of Section 13 of the Labour Act, no proof of such payment having been done was availed to this court.</w:t>
      </w:r>
    </w:p>
    <w:p w:rsidR="0002545A" w:rsidRDefault="0002545A" w:rsidP="003656FA">
      <w:pPr>
        <w:spacing w:after="0" w:line="360" w:lineRule="auto"/>
        <w:jc w:val="both"/>
        <w:rPr>
          <w:sz w:val="24"/>
          <w:szCs w:val="24"/>
        </w:rPr>
      </w:pPr>
      <w:r>
        <w:rPr>
          <w:sz w:val="24"/>
          <w:szCs w:val="24"/>
        </w:rPr>
        <w:tab/>
        <w:t>I accordingly award both the notice pay and cash in lieu of leave as claimed.</w:t>
      </w:r>
    </w:p>
    <w:p w:rsidR="0002545A" w:rsidRDefault="0002545A" w:rsidP="003656FA">
      <w:pPr>
        <w:spacing w:after="0" w:line="360" w:lineRule="auto"/>
        <w:jc w:val="both"/>
        <w:rPr>
          <w:sz w:val="24"/>
          <w:szCs w:val="24"/>
        </w:rPr>
      </w:pPr>
    </w:p>
    <w:p w:rsidR="002050E0" w:rsidRDefault="002050E0" w:rsidP="003656FA">
      <w:pPr>
        <w:spacing w:after="0" w:line="360" w:lineRule="auto"/>
        <w:jc w:val="both"/>
        <w:rPr>
          <w:sz w:val="24"/>
          <w:szCs w:val="24"/>
          <w:u w:val="single"/>
        </w:rPr>
      </w:pPr>
    </w:p>
    <w:p w:rsidR="002050E0" w:rsidRDefault="002050E0" w:rsidP="003656FA">
      <w:pPr>
        <w:spacing w:after="0" w:line="360" w:lineRule="auto"/>
        <w:jc w:val="both"/>
        <w:rPr>
          <w:sz w:val="24"/>
          <w:szCs w:val="24"/>
          <w:u w:val="single"/>
        </w:rPr>
      </w:pPr>
    </w:p>
    <w:p w:rsidR="002050E0" w:rsidRDefault="002050E0" w:rsidP="003656FA">
      <w:pPr>
        <w:spacing w:after="0" w:line="360" w:lineRule="auto"/>
        <w:jc w:val="both"/>
        <w:rPr>
          <w:sz w:val="24"/>
          <w:szCs w:val="24"/>
          <w:u w:val="single"/>
        </w:rPr>
      </w:pPr>
    </w:p>
    <w:p w:rsidR="0002545A" w:rsidRDefault="0002545A" w:rsidP="003656FA">
      <w:pPr>
        <w:spacing w:after="0" w:line="360" w:lineRule="auto"/>
        <w:jc w:val="both"/>
        <w:rPr>
          <w:sz w:val="24"/>
          <w:szCs w:val="24"/>
          <w:u w:val="single"/>
        </w:rPr>
      </w:pPr>
      <w:bookmarkStart w:id="0" w:name="_GoBack"/>
      <w:bookmarkEnd w:id="0"/>
      <w:r>
        <w:rPr>
          <w:sz w:val="24"/>
          <w:szCs w:val="24"/>
          <w:u w:val="single"/>
        </w:rPr>
        <w:lastRenderedPageBreak/>
        <w:t>Damages In Lieu Of Reinstatement</w:t>
      </w:r>
    </w:p>
    <w:p w:rsidR="0002545A" w:rsidRDefault="0002545A" w:rsidP="003656FA">
      <w:pPr>
        <w:spacing w:after="0" w:line="360" w:lineRule="auto"/>
        <w:jc w:val="both"/>
        <w:rPr>
          <w:i/>
          <w:sz w:val="24"/>
          <w:szCs w:val="24"/>
        </w:rPr>
      </w:pPr>
      <w:r>
        <w:rPr>
          <w:sz w:val="24"/>
          <w:szCs w:val="24"/>
        </w:rPr>
        <w:tab/>
        <w:t xml:space="preserve">The claim for damages in lieu of reinstatement for 8 months before the applicant secured alternative employment is not really opposed by the respondent as it falls squarely within the principles set out in the case of </w:t>
      </w:r>
      <w:proofErr w:type="spellStart"/>
      <w:r>
        <w:rPr>
          <w:i/>
          <w:sz w:val="24"/>
          <w:szCs w:val="24"/>
        </w:rPr>
        <w:t>Ambali</w:t>
      </w:r>
      <w:proofErr w:type="spellEnd"/>
      <w:r>
        <w:rPr>
          <w:i/>
          <w:sz w:val="24"/>
          <w:szCs w:val="24"/>
        </w:rPr>
        <w:t xml:space="preserve"> </w:t>
      </w:r>
      <w:r>
        <w:rPr>
          <w:sz w:val="24"/>
          <w:szCs w:val="24"/>
        </w:rPr>
        <w:t xml:space="preserve">v </w:t>
      </w:r>
      <w:r>
        <w:rPr>
          <w:i/>
          <w:sz w:val="24"/>
          <w:szCs w:val="24"/>
        </w:rPr>
        <w:t>Bata Shoe Company supra.</w:t>
      </w:r>
    </w:p>
    <w:p w:rsidR="0002545A" w:rsidRDefault="0002545A" w:rsidP="003656FA">
      <w:pPr>
        <w:spacing w:after="0" w:line="360" w:lineRule="auto"/>
        <w:jc w:val="both"/>
        <w:rPr>
          <w:sz w:val="24"/>
          <w:szCs w:val="24"/>
        </w:rPr>
      </w:pPr>
      <w:r>
        <w:rPr>
          <w:i/>
          <w:sz w:val="24"/>
          <w:szCs w:val="24"/>
        </w:rPr>
        <w:tab/>
      </w:r>
      <w:r>
        <w:rPr>
          <w:sz w:val="24"/>
          <w:szCs w:val="24"/>
        </w:rPr>
        <w:t>There is proof on record of the applicant having secured alternative employment on 1 Marc</w:t>
      </w:r>
      <w:r w:rsidR="00460D35">
        <w:rPr>
          <w:sz w:val="24"/>
          <w:szCs w:val="24"/>
        </w:rPr>
        <w:t>h</w:t>
      </w:r>
      <w:r>
        <w:rPr>
          <w:sz w:val="24"/>
          <w:szCs w:val="24"/>
        </w:rPr>
        <w:t xml:space="preserve"> 2015.</w:t>
      </w:r>
    </w:p>
    <w:p w:rsidR="0002545A" w:rsidRDefault="0002545A" w:rsidP="003656FA">
      <w:pPr>
        <w:spacing w:after="0" w:line="360" w:lineRule="auto"/>
        <w:jc w:val="both"/>
        <w:rPr>
          <w:sz w:val="24"/>
          <w:szCs w:val="24"/>
        </w:rPr>
      </w:pPr>
      <w:r>
        <w:rPr>
          <w:sz w:val="24"/>
          <w:szCs w:val="24"/>
        </w:rPr>
        <w:tab/>
        <w:t>Though the respondent makes an averment in its notice of opposition that the applicant in fact set up a flea market in July 2014, no evidence of this was availed and the respondent did not bother coming to court to prove this.</w:t>
      </w:r>
    </w:p>
    <w:p w:rsidR="0002545A" w:rsidRDefault="0002545A" w:rsidP="003656FA">
      <w:pPr>
        <w:spacing w:after="0" w:line="360" w:lineRule="auto"/>
        <w:jc w:val="both"/>
        <w:rPr>
          <w:sz w:val="24"/>
          <w:szCs w:val="24"/>
        </w:rPr>
      </w:pPr>
      <w:r>
        <w:rPr>
          <w:sz w:val="24"/>
          <w:szCs w:val="24"/>
        </w:rPr>
        <w:tab/>
        <w:t>Accordingly the claim for damages in lieu of reinstatement in the amount of $2504 is awarded.</w:t>
      </w:r>
    </w:p>
    <w:p w:rsidR="0002545A" w:rsidRDefault="0002545A" w:rsidP="003656FA">
      <w:pPr>
        <w:spacing w:after="0" w:line="360" w:lineRule="auto"/>
        <w:jc w:val="both"/>
        <w:rPr>
          <w:sz w:val="24"/>
          <w:szCs w:val="24"/>
        </w:rPr>
      </w:pPr>
      <w:r>
        <w:rPr>
          <w:sz w:val="24"/>
          <w:szCs w:val="24"/>
        </w:rPr>
        <w:tab/>
        <w:t>In the circumstances the quantified award in favour of the applicant is as follows;</w:t>
      </w:r>
    </w:p>
    <w:p w:rsidR="0002545A" w:rsidRDefault="0002545A" w:rsidP="0002545A">
      <w:pPr>
        <w:pStyle w:val="ListParagraph"/>
        <w:numPr>
          <w:ilvl w:val="0"/>
          <w:numId w:val="3"/>
        </w:numPr>
        <w:spacing w:after="0" w:line="360" w:lineRule="auto"/>
        <w:jc w:val="both"/>
        <w:rPr>
          <w:sz w:val="24"/>
          <w:szCs w:val="24"/>
        </w:rPr>
      </w:pPr>
      <w:r>
        <w:rPr>
          <w:sz w:val="24"/>
          <w:szCs w:val="24"/>
        </w:rPr>
        <w:t>Notice pay</w:t>
      </w:r>
      <w:r>
        <w:rPr>
          <w:sz w:val="24"/>
          <w:szCs w:val="24"/>
        </w:rPr>
        <w:tab/>
      </w:r>
      <w:r>
        <w:rPr>
          <w:sz w:val="24"/>
          <w:szCs w:val="24"/>
        </w:rPr>
        <w:tab/>
      </w:r>
      <w:r>
        <w:rPr>
          <w:sz w:val="24"/>
          <w:szCs w:val="24"/>
        </w:rPr>
        <w:tab/>
      </w:r>
      <w:r>
        <w:rPr>
          <w:sz w:val="24"/>
          <w:szCs w:val="24"/>
        </w:rPr>
        <w:tab/>
      </w:r>
      <w:r>
        <w:rPr>
          <w:sz w:val="24"/>
          <w:szCs w:val="24"/>
        </w:rPr>
        <w:tab/>
        <w:t>$939.00</w:t>
      </w:r>
    </w:p>
    <w:p w:rsidR="0002545A" w:rsidRDefault="0002545A" w:rsidP="0002545A">
      <w:pPr>
        <w:pStyle w:val="ListParagraph"/>
        <w:numPr>
          <w:ilvl w:val="0"/>
          <w:numId w:val="3"/>
        </w:numPr>
        <w:spacing w:after="0" w:line="360" w:lineRule="auto"/>
        <w:jc w:val="both"/>
        <w:rPr>
          <w:sz w:val="24"/>
          <w:szCs w:val="24"/>
        </w:rPr>
      </w:pPr>
      <w:r>
        <w:rPr>
          <w:sz w:val="24"/>
          <w:szCs w:val="24"/>
        </w:rPr>
        <w:t>Cash in lieu of leave</w:t>
      </w:r>
      <w:r>
        <w:rPr>
          <w:sz w:val="24"/>
          <w:szCs w:val="24"/>
        </w:rPr>
        <w:tab/>
      </w:r>
      <w:r>
        <w:rPr>
          <w:sz w:val="24"/>
          <w:szCs w:val="24"/>
        </w:rPr>
        <w:tab/>
      </w:r>
      <w:r>
        <w:rPr>
          <w:sz w:val="24"/>
          <w:szCs w:val="24"/>
        </w:rPr>
        <w:tab/>
        <w:t xml:space="preserve">          $1565.00</w:t>
      </w:r>
    </w:p>
    <w:p w:rsidR="0002545A" w:rsidRDefault="0002545A" w:rsidP="0002545A">
      <w:pPr>
        <w:pStyle w:val="ListParagraph"/>
        <w:numPr>
          <w:ilvl w:val="0"/>
          <w:numId w:val="3"/>
        </w:numPr>
        <w:spacing w:after="0" w:line="360" w:lineRule="auto"/>
        <w:jc w:val="both"/>
        <w:rPr>
          <w:sz w:val="24"/>
          <w:szCs w:val="24"/>
        </w:rPr>
      </w:pPr>
      <w:r>
        <w:rPr>
          <w:sz w:val="24"/>
          <w:szCs w:val="24"/>
        </w:rPr>
        <w:t>Damages in lieu of reinstatement</w:t>
      </w:r>
      <w:r>
        <w:rPr>
          <w:sz w:val="24"/>
          <w:szCs w:val="24"/>
        </w:rPr>
        <w:tab/>
        <w:t xml:space="preserve">          $2504.00</w:t>
      </w:r>
    </w:p>
    <w:p w:rsidR="0002545A" w:rsidRDefault="0002545A" w:rsidP="0002545A">
      <w:pPr>
        <w:pStyle w:val="ListParagraph"/>
        <w:spacing w:after="0" w:line="360" w:lineRule="auto"/>
        <w:jc w:val="both"/>
        <w:rPr>
          <w:sz w:val="24"/>
          <w:szCs w:val="24"/>
        </w:rPr>
      </w:pPr>
      <w:r>
        <w:rPr>
          <w:sz w:val="24"/>
          <w:szCs w:val="24"/>
        </w:rPr>
        <w:t>Total</w:t>
      </w:r>
      <w:r>
        <w:rPr>
          <w:sz w:val="24"/>
          <w:szCs w:val="24"/>
        </w:rPr>
        <w:tab/>
      </w:r>
      <w:r>
        <w:rPr>
          <w:sz w:val="24"/>
          <w:szCs w:val="24"/>
        </w:rPr>
        <w:tab/>
      </w:r>
      <w:r>
        <w:rPr>
          <w:sz w:val="24"/>
          <w:szCs w:val="24"/>
        </w:rPr>
        <w:tab/>
      </w:r>
      <w:r>
        <w:rPr>
          <w:sz w:val="24"/>
          <w:szCs w:val="24"/>
        </w:rPr>
        <w:tab/>
      </w:r>
      <w:r>
        <w:rPr>
          <w:sz w:val="24"/>
          <w:szCs w:val="24"/>
        </w:rPr>
        <w:tab/>
        <w:t xml:space="preserve">          $5008.00</w:t>
      </w:r>
    </w:p>
    <w:p w:rsidR="0002545A" w:rsidRDefault="0002545A" w:rsidP="0002545A">
      <w:pPr>
        <w:spacing w:after="0" w:line="360" w:lineRule="auto"/>
        <w:jc w:val="both"/>
        <w:rPr>
          <w:sz w:val="24"/>
          <w:szCs w:val="24"/>
        </w:rPr>
      </w:pPr>
    </w:p>
    <w:p w:rsidR="0002545A" w:rsidRDefault="0002545A" w:rsidP="0002545A">
      <w:pPr>
        <w:spacing w:after="0" w:line="360" w:lineRule="auto"/>
        <w:jc w:val="both"/>
        <w:rPr>
          <w:sz w:val="24"/>
          <w:szCs w:val="24"/>
        </w:rPr>
      </w:pPr>
    </w:p>
    <w:p w:rsidR="0002545A" w:rsidRDefault="0002545A" w:rsidP="0002545A">
      <w:pPr>
        <w:spacing w:after="0" w:line="360" w:lineRule="auto"/>
        <w:jc w:val="both"/>
        <w:rPr>
          <w:sz w:val="24"/>
          <w:szCs w:val="24"/>
        </w:rPr>
      </w:pPr>
    </w:p>
    <w:p w:rsidR="0002545A" w:rsidRPr="0002545A" w:rsidRDefault="0002545A" w:rsidP="0002545A">
      <w:pPr>
        <w:spacing w:after="0" w:line="360" w:lineRule="auto"/>
        <w:jc w:val="both"/>
      </w:pPr>
      <w:proofErr w:type="spellStart"/>
      <w:r>
        <w:rPr>
          <w:i/>
        </w:rPr>
        <w:t>Simango</w:t>
      </w:r>
      <w:proofErr w:type="spellEnd"/>
      <w:r>
        <w:rPr>
          <w:i/>
        </w:rPr>
        <w:t xml:space="preserve"> &amp; Associates, </w:t>
      </w:r>
      <w:r>
        <w:t>applicant’s legal practitioners</w:t>
      </w:r>
    </w:p>
    <w:p w:rsidR="003656FA" w:rsidRDefault="003656FA" w:rsidP="003656FA">
      <w:pPr>
        <w:spacing w:after="0" w:line="360" w:lineRule="auto"/>
        <w:jc w:val="both"/>
        <w:rPr>
          <w:sz w:val="24"/>
          <w:szCs w:val="24"/>
        </w:rPr>
      </w:pPr>
    </w:p>
    <w:p w:rsidR="003656FA" w:rsidRDefault="003656FA" w:rsidP="003656FA">
      <w:pPr>
        <w:spacing w:after="0" w:line="360" w:lineRule="auto"/>
        <w:jc w:val="both"/>
        <w:rPr>
          <w:sz w:val="24"/>
          <w:szCs w:val="24"/>
        </w:rPr>
      </w:pPr>
    </w:p>
    <w:p w:rsidR="003656FA" w:rsidRDefault="003656FA" w:rsidP="003656FA">
      <w:pPr>
        <w:spacing w:after="0" w:line="360" w:lineRule="auto"/>
        <w:jc w:val="both"/>
        <w:rPr>
          <w:sz w:val="24"/>
          <w:szCs w:val="24"/>
        </w:rPr>
      </w:pPr>
    </w:p>
    <w:p w:rsidR="003656FA" w:rsidRDefault="003656FA" w:rsidP="003656FA">
      <w:pPr>
        <w:spacing w:after="0" w:line="360" w:lineRule="auto"/>
        <w:jc w:val="both"/>
        <w:rPr>
          <w:sz w:val="24"/>
          <w:szCs w:val="24"/>
        </w:rPr>
      </w:pPr>
    </w:p>
    <w:p w:rsidR="003656FA" w:rsidRPr="003656FA" w:rsidRDefault="003656FA" w:rsidP="003656FA">
      <w:pPr>
        <w:spacing w:after="0" w:line="360" w:lineRule="auto"/>
        <w:jc w:val="both"/>
        <w:rPr>
          <w:sz w:val="24"/>
          <w:szCs w:val="24"/>
        </w:rPr>
      </w:pPr>
    </w:p>
    <w:p w:rsidR="00AE07A9" w:rsidRPr="00AE07A9" w:rsidRDefault="00AE07A9" w:rsidP="00424E1D">
      <w:pPr>
        <w:spacing w:line="360" w:lineRule="auto"/>
        <w:jc w:val="both"/>
        <w:rPr>
          <w:sz w:val="24"/>
          <w:szCs w:val="24"/>
        </w:rPr>
      </w:pPr>
    </w:p>
    <w:sectPr w:rsidR="00AE07A9" w:rsidRPr="00AE07A9" w:rsidSect="003656F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9C2" w:rsidRDefault="00C429C2" w:rsidP="003656FA">
      <w:pPr>
        <w:spacing w:after="0" w:line="240" w:lineRule="auto"/>
      </w:pPr>
      <w:r>
        <w:separator/>
      </w:r>
    </w:p>
  </w:endnote>
  <w:endnote w:type="continuationSeparator" w:id="0">
    <w:p w:rsidR="00C429C2" w:rsidRDefault="00C429C2" w:rsidP="0036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679483"/>
      <w:docPartObj>
        <w:docPartGallery w:val="Page Numbers (Bottom of Page)"/>
        <w:docPartUnique/>
      </w:docPartObj>
    </w:sdtPr>
    <w:sdtEndPr>
      <w:rPr>
        <w:noProof/>
      </w:rPr>
    </w:sdtEndPr>
    <w:sdtContent>
      <w:p w:rsidR="003656FA" w:rsidRDefault="003656FA">
        <w:pPr>
          <w:pStyle w:val="Footer"/>
          <w:jc w:val="right"/>
        </w:pPr>
        <w:r>
          <w:fldChar w:fldCharType="begin"/>
        </w:r>
        <w:r>
          <w:instrText xml:space="preserve"> PAGE   \* MERGEFORMAT </w:instrText>
        </w:r>
        <w:r>
          <w:fldChar w:fldCharType="separate"/>
        </w:r>
        <w:r w:rsidR="002050E0">
          <w:rPr>
            <w:noProof/>
          </w:rPr>
          <w:t>3</w:t>
        </w:r>
        <w:r>
          <w:rPr>
            <w:noProof/>
          </w:rPr>
          <w:fldChar w:fldCharType="end"/>
        </w:r>
      </w:p>
    </w:sdtContent>
  </w:sdt>
  <w:p w:rsidR="003656FA" w:rsidRDefault="00365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9C2" w:rsidRDefault="00C429C2" w:rsidP="003656FA">
      <w:pPr>
        <w:spacing w:after="0" w:line="240" w:lineRule="auto"/>
      </w:pPr>
      <w:r>
        <w:separator/>
      </w:r>
    </w:p>
  </w:footnote>
  <w:footnote w:type="continuationSeparator" w:id="0">
    <w:p w:rsidR="00C429C2" w:rsidRDefault="00C429C2" w:rsidP="00365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6FA" w:rsidRDefault="002050E0" w:rsidP="002050E0">
    <w:pPr>
      <w:ind w:left="5760"/>
      <w:rPr>
        <w:b/>
        <w:sz w:val="24"/>
        <w:szCs w:val="24"/>
      </w:rPr>
    </w:pPr>
    <w:r>
      <w:rPr>
        <w:b/>
        <w:sz w:val="24"/>
        <w:szCs w:val="24"/>
      </w:rPr>
      <w:t xml:space="preserve">   </w:t>
    </w:r>
    <w:r w:rsidR="003656FA">
      <w:rPr>
        <w:b/>
        <w:sz w:val="24"/>
        <w:szCs w:val="24"/>
      </w:rPr>
      <w:t>JUDGMENT NO LC/H/</w:t>
    </w:r>
    <w:r>
      <w:rPr>
        <w:b/>
        <w:sz w:val="24"/>
        <w:szCs w:val="24"/>
      </w:rPr>
      <w:t>413</w:t>
    </w:r>
    <w:r w:rsidR="003656FA">
      <w:rPr>
        <w:b/>
        <w:sz w:val="24"/>
        <w:szCs w:val="24"/>
      </w:rPr>
      <w:t>/16</w:t>
    </w:r>
  </w:p>
  <w:p w:rsidR="003656FA" w:rsidRDefault="003656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07CD5"/>
    <w:multiLevelType w:val="hybridMultilevel"/>
    <w:tmpl w:val="B122DD2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5D9313B"/>
    <w:multiLevelType w:val="hybridMultilevel"/>
    <w:tmpl w:val="4C4ECF1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6A609A1"/>
    <w:multiLevelType w:val="hybridMultilevel"/>
    <w:tmpl w:val="0782756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A9"/>
    <w:rsid w:val="0002545A"/>
    <w:rsid w:val="002050E0"/>
    <w:rsid w:val="003453EC"/>
    <w:rsid w:val="003656FA"/>
    <w:rsid w:val="00424E1D"/>
    <w:rsid w:val="00460D35"/>
    <w:rsid w:val="009C3224"/>
    <w:rsid w:val="00AE07A9"/>
    <w:rsid w:val="00C429C2"/>
    <w:rsid w:val="00C5012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7A9"/>
    <w:pPr>
      <w:ind w:left="720"/>
      <w:contextualSpacing/>
    </w:pPr>
  </w:style>
  <w:style w:type="paragraph" w:styleId="Header">
    <w:name w:val="header"/>
    <w:basedOn w:val="Normal"/>
    <w:link w:val="HeaderChar"/>
    <w:uiPriority w:val="99"/>
    <w:unhideWhenUsed/>
    <w:rsid w:val="00365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6FA"/>
  </w:style>
  <w:style w:type="paragraph" w:styleId="Footer">
    <w:name w:val="footer"/>
    <w:basedOn w:val="Normal"/>
    <w:link w:val="FooterChar"/>
    <w:uiPriority w:val="99"/>
    <w:unhideWhenUsed/>
    <w:rsid w:val="00365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7A9"/>
    <w:pPr>
      <w:ind w:left="720"/>
      <w:contextualSpacing/>
    </w:pPr>
  </w:style>
  <w:style w:type="paragraph" w:styleId="Header">
    <w:name w:val="header"/>
    <w:basedOn w:val="Normal"/>
    <w:link w:val="HeaderChar"/>
    <w:uiPriority w:val="99"/>
    <w:unhideWhenUsed/>
    <w:rsid w:val="00365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6FA"/>
  </w:style>
  <w:style w:type="paragraph" w:styleId="Footer">
    <w:name w:val="footer"/>
    <w:basedOn w:val="Normal"/>
    <w:link w:val="FooterChar"/>
    <w:uiPriority w:val="99"/>
    <w:unhideWhenUsed/>
    <w:rsid w:val="00365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2016-06-30T06:52:00Z</dcterms:created>
  <dcterms:modified xsi:type="dcterms:W3CDTF">2016-07-06T09:47:00Z</dcterms:modified>
</cp:coreProperties>
</file>