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F12" w:rsidRPr="009802E9" w:rsidRDefault="00410F12" w:rsidP="00410F12">
      <w:pPr>
        <w:tabs>
          <w:tab w:val="left" w:pos="927"/>
        </w:tabs>
        <w:spacing w:after="0" w:line="360" w:lineRule="auto"/>
        <w:rPr>
          <w:rFonts w:ascii="Tahoma" w:hAnsi="Tahoma" w:cs="Tahoma"/>
          <w:b/>
          <w:sz w:val="24"/>
          <w:szCs w:val="24"/>
        </w:rPr>
      </w:pPr>
      <w:proofErr w:type="gramStart"/>
      <w:r>
        <w:rPr>
          <w:rFonts w:ascii="Tahoma" w:hAnsi="Tahoma" w:cs="Tahoma"/>
          <w:b/>
          <w:sz w:val="24"/>
          <w:szCs w:val="24"/>
        </w:rPr>
        <w:t xml:space="preserve">IN </w:t>
      </w:r>
      <w:r w:rsidRPr="009802E9">
        <w:rPr>
          <w:rFonts w:ascii="Tahoma" w:hAnsi="Tahoma" w:cs="Tahoma"/>
          <w:b/>
          <w:sz w:val="24"/>
          <w:szCs w:val="24"/>
        </w:rPr>
        <w:t>THE LABOUR COURT OF ZIMBABWE</w:t>
      </w:r>
      <w:r w:rsidRPr="009802E9">
        <w:rPr>
          <w:rFonts w:ascii="Tahoma" w:hAnsi="Tahoma" w:cs="Tahoma"/>
          <w:b/>
          <w:sz w:val="24"/>
          <w:szCs w:val="24"/>
        </w:rPr>
        <w:tab/>
        <w:t xml:space="preserve">      </w:t>
      </w:r>
      <w:r w:rsidR="004B6265">
        <w:rPr>
          <w:rFonts w:ascii="Tahoma" w:hAnsi="Tahoma" w:cs="Tahoma"/>
          <w:b/>
          <w:sz w:val="24"/>
          <w:szCs w:val="24"/>
        </w:rPr>
        <w:t xml:space="preserve"> </w:t>
      </w:r>
      <w:r w:rsidRPr="009802E9">
        <w:rPr>
          <w:rFonts w:ascii="Tahoma" w:hAnsi="Tahoma" w:cs="Tahoma"/>
          <w:b/>
          <w:sz w:val="24"/>
          <w:szCs w:val="24"/>
        </w:rPr>
        <w:t>JUDGMENT NO.</w:t>
      </w:r>
      <w:proofErr w:type="gramEnd"/>
      <w:r w:rsidRPr="009802E9">
        <w:rPr>
          <w:rFonts w:ascii="Tahoma" w:hAnsi="Tahoma" w:cs="Tahoma"/>
          <w:b/>
          <w:sz w:val="24"/>
          <w:szCs w:val="24"/>
        </w:rPr>
        <w:t xml:space="preserve"> LC/H/</w:t>
      </w:r>
      <w:r w:rsidR="004B6265">
        <w:rPr>
          <w:rFonts w:ascii="Tahoma" w:hAnsi="Tahoma" w:cs="Tahoma"/>
          <w:b/>
          <w:sz w:val="24"/>
          <w:szCs w:val="24"/>
        </w:rPr>
        <w:t>117</w:t>
      </w:r>
      <w:r w:rsidRPr="009802E9">
        <w:rPr>
          <w:rFonts w:ascii="Tahoma" w:hAnsi="Tahoma" w:cs="Tahoma"/>
          <w:b/>
          <w:sz w:val="24"/>
          <w:szCs w:val="24"/>
        </w:rPr>
        <w:t>/</w:t>
      </w:r>
      <w:r>
        <w:rPr>
          <w:rFonts w:ascii="Tahoma" w:hAnsi="Tahoma" w:cs="Tahoma"/>
          <w:b/>
          <w:sz w:val="24"/>
          <w:szCs w:val="24"/>
        </w:rPr>
        <w:t>21</w:t>
      </w:r>
    </w:p>
    <w:p w:rsidR="00410F12" w:rsidRPr="009802E9" w:rsidRDefault="00410F12" w:rsidP="00410F12">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Pr>
          <w:rFonts w:ascii="Tahoma" w:hAnsi="Tahoma" w:cs="Tahoma"/>
          <w:b/>
          <w:sz w:val="24"/>
          <w:szCs w:val="24"/>
        </w:rPr>
        <w:t>29</w:t>
      </w:r>
      <w:r w:rsidRPr="001510E9">
        <w:rPr>
          <w:rFonts w:ascii="Tahoma" w:hAnsi="Tahoma" w:cs="Tahoma"/>
          <w:b/>
          <w:sz w:val="24"/>
          <w:szCs w:val="24"/>
          <w:vertAlign w:val="superscript"/>
        </w:rPr>
        <w:t>TH</w:t>
      </w:r>
      <w:r w:rsidR="004B6265">
        <w:rPr>
          <w:rFonts w:ascii="Tahoma" w:hAnsi="Tahoma" w:cs="Tahoma"/>
          <w:b/>
          <w:sz w:val="24"/>
          <w:szCs w:val="24"/>
        </w:rPr>
        <w:t xml:space="preserve"> JUNE, 2021             </w:t>
      </w:r>
      <w:r w:rsidRPr="009802E9">
        <w:rPr>
          <w:rFonts w:ascii="Tahoma" w:hAnsi="Tahoma" w:cs="Tahoma"/>
          <w:b/>
          <w:sz w:val="24"/>
          <w:szCs w:val="24"/>
        </w:rPr>
        <w:t xml:space="preserve">CASE NO. </w:t>
      </w:r>
      <w:r w:rsidRPr="009802E9">
        <w:rPr>
          <w:rFonts w:ascii="Tahoma" w:hAnsi="Tahoma" w:cs="Tahoma"/>
          <w:b/>
          <w:color w:val="000000" w:themeColor="text1"/>
          <w:sz w:val="24"/>
          <w:szCs w:val="24"/>
        </w:rPr>
        <w:t>LC/</w:t>
      </w:r>
      <w:r>
        <w:rPr>
          <w:rFonts w:ascii="Tahoma" w:hAnsi="Tahoma" w:cs="Tahoma"/>
          <w:b/>
          <w:color w:val="000000" w:themeColor="text1"/>
          <w:sz w:val="24"/>
          <w:szCs w:val="24"/>
        </w:rPr>
        <w:t>H/124/20</w:t>
      </w:r>
    </w:p>
    <w:p w:rsidR="00410F12" w:rsidRPr="009802E9" w:rsidRDefault="00410F12" w:rsidP="00410F12">
      <w:pPr>
        <w:spacing w:after="0" w:line="360" w:lineRule="auto"/>
        <w:rPr>
          <w:rFonts w:ascii="Tahoma" w:hAnsi="Tahoma" w:cs="Tahoma"/>
          <w:b/>
          <w:sz w:val="24"/>
          <w:szCs w:val="24"/>
        </w:rPr>
      </w:pPr>
      <w:r>
        <w:rPr>
          <w:rFonts w:ascii="Tahoma" w:hAnsi="Tahoma" w:cs="Tahoma"/>
          <w:b/>
          <w:sz w:val="24"/>
          <w:szCs w:val="24"/>
        </w:rPr>
        <w:t xml:space="preserve">AND </w:t>
      </w:r>
      <w:r w:rsidR="00AB76BB">
        <w:rPr>
          <w:rFonts w:ascii="Tahoma" w:hAnsi="Tahoma" w:cs="Tahoma"/>
          <w:b/>
          <w:sz w:val="24"/>
          <w:szCs w:val="24"/>
        </w:rPr>
        <w:t>27</w:t>
      </w:r>
      <w:r w:rsidRPr="00453430">
        <w:rPr>
          <w:rFonts w:ascii="Tahoma" w:hAnsi="Tahoma" w:cs="Tahoma"/>
          <w:b/>
          <w:sz w:val="24"/>
          <w:szCs w:val="24"/>
          <w:vertAlign w:val="superscript"/>
        </w:rPr>
        <w:t>TH</w:t>
      </w:r>
      <w:r>
        <w:rPr>
          <w:rFonts w:ascii="Tahoma" w:hAnsi="Tahoma" w:cs="Tahoma"/>
          <w:b/>
          <w:sz w:val="24"/>
          <w:szCs w:val="24"/>
        </w:rPr>
        <w:t xml:space="preserve"> </w:t>
      </w:r>
      <w:r w:rsidR="00AB76BB">
        <w:rPr>
          <w:rFonts w:ascii="Tahoma" w:hAnsi="Tahoma" w:cs="Tahoma"/>
          <w:b/>
          <w:sz w:val="24"/>
          <w:szCs w:val="24"/>
        </w:rPr>
        <w:t>AUGUST</w:t>
      </w:r>
      <w:r>
        <w:rPr>
          <w:rFonts w:ascii="Tahoma" w:hAnsi="Tahoma" w:cs="Tahoma"/>
          <w:b/>
          <w:sz w:val="24"/>
          <w:szCs w:val="24"/>
        </w:rPr>
        <w:t xml:space="preserve"> 2</w:t>
      </w:r>
      <w:r w:rsidRPr="009802E9">
        <w:rPr>
          <w:rFonts w:ascii="Tahoma" w:hAnsi="Tahoma" w:cs="Tahoma"/>
          <w:b/>
          <w:sz w:val="24"/>
          <w:szCs w:val="24"/>
        </w:rPr>
        <w:t>0</w:t>
      </w:r>
      <w:r>
        <w:rPr>
          <w:rFonts w:ascii="Tahoma" w:hAnsi="Tahoma" w:cs="Tahoma"/>
          <w:b/>
          <w:sz w:val="24"/>
          <w:szCs w:val="24"/>
        </w:rPr>
        <w:t>21</w:t>
      </w:r>
      <w:r w:rsidRPr="009802E9">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410F12" w:rsidRDefault="00410F12" w:rsidP="00410F12">
      <w:pPr>
        <w:spacing w:after="0" w:line="240" w:lineRule="auto"/>
        <w:rPr>
          <w:rFonts w:ascii="Tahoma" w:hAnsi="Tahoma" w:cs="Tahoma"/>
          <w:sz w:val="24"/>
          <w:szCs w:val="24"/>
        </w:rPr>
      </w:pPr>
      <w:r w:rsidRPr="009802E9">
        <w:rPr>
          <w:rFonts w:ascii="Tahoma" w:hAnsi="Tahoma" w:cs="Tahoma"/>
          <w:sz w:val="24"/>
          <w:szCs w:val="24"/>
        </w:rPr>
        <w:t>In the matter between:-</w:t>
      </w:r>
      <w:r w:rsidRPr="009802E9">
        <w:rPr>
          <w:rFonts w:ascii="Tahoma" w:hAnsi="Tahoma" w:cs="Tahoma"/>
          <w:sz w:val="24"/>
          <w:szCs w:val="24"/>
        </w:rPr>
        <w:tab/>
      </w:r>
      <w:r w:rsidRPr="009802E9">
        <w:rPr>
          <w:rFonts w:ascii="Tahoma" w:hAnsi="Tahoma" w:cs="Tahoma"/>
          <w:sz w:val="24"/>
          <w:szCs w:val="24"/>
        </w:rPr>
        <w:tab/>
      </w:r>
      <w:r w:rsidRPr="009802E9">
        <w:rPr>
          <w:rFonts w:ascii="Tahoma" w:hAnsi="Tahoma" w:cs="Tahoma"/>
          <w:sz w:val="24"/>
          <w:szCs w:val="24"/>
        </w:rPr>
        <w:tab/>
      </w:r>
      <w:r>
        <w:rPr>
          <w:rFonts w:ascii="Tahoma" w:hAnsi="Tahoma" w:cs="Tahoma"/>
          <w:sz w:val="24"/>
          <w:szCs w:val="24"/>
        </w:rPr>
        <w:tab/>
      </w:r>
      <w:r>
        <w:rPr>
          <w:rFonts w:ascii="Tahoma" w:hAnsi="Tahoma" w:cs="Tahoma"/>
          <w:sz w:val="24"/>
          <w:szCs w:val="24"/>
        </w:rPr>
        <w:tab/>
      </w:r>
    </w:p>
    <w:p w:rsidR="00410F12" w:rsidRDefault="00410F12" w:rsidP="00410F12">
      <w:pPr>
        <w:spacing w:after="0" w:line="240" w:lineRule="auto"/>
        <w:rPr>
          <w:rFonts w:ascii="Tahoma" w:hAnsi="Tahoma" w:cs="Tahoma"/>
          <w:sz w:val="24"/>
          <w:szCs w:val="24"/>
        </w:rPr>
      </w:pPr>
    </w:p>
    <w:p w:rsidR="00410F12" w:rsidRDefault="00410F12" w:rsidP="00410F12">
      <w:pPr>
        <w:spacing w:after="0" w:line="240" w:lineRule="auto"/>
        <w:rPr>
          <w:rFonts w:ascii="Tahoma" w:hAnsi="Tahoma" w:cs="Tahoma"/>
          <w:sz w:val="24"/>
          <w:szCs w:val="24"/>
        </w:rPr>
      </w:pPr>
    </w:p>
    <w:p w:rsidR="00410F12" w:rsidRPr="009802E9" w:rsidRDefault="00410F12" w:rsidP="00410F12">
      <w:pPr>
        <w:spacing w:after="0" w:line="240" w:lineRule="auto"/>
        <w:rPr>
          <w:rFonts w:ascii="Tahoma" w:hAnsi="Tahoma" w:cs="Tahoma"/>
          <w:sz w:val="24"/>
          <w:szCs w:val="24"/>
        </w:rPr>
      </w:pPr>
    </w:p>
    <w:p w:rsidR="00410F12" w:rsidRPr="009802E9" w:rsidRDefault="00410F12" w:rsidP="00410F12">
      <w:pPr>
        <w:spacing w:after="0" w:line="360" w:lineRule="auto"/>
        <w:rPr>
          <w:rFonts w:ascii="Tahoma" w:hAnsi="Tahoma" w:cs="Tahoma"/>
          <w:b/>
          <w:sz w:val="24"/>
          <w:szCs w:val="24"/>
        </w:rPr>
      </w:pPr>
      <w:r>
        <w:rPr>
          <w:rFonts w:ascii="Tahoma" w:hAnsi="Tahoma" w:cs="Tahoma"/>
          <w:b/>
          <w:sz w:val="24"/>
          <w:szCs w:val="24"/>
        </w:rPr>
        <w:t>AUGUSHITO KAMBA</w:t>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9802E9">
        <w:rPr>
          <w:rFonts w:ascii="Tahoma" w:hAnsi="Tahoma" w:cs="Tahoma"/>
          <w:b/>
          <w:sz w:val="24"/>
          <w:szCs w:val="24"/>
        </w:rPr>
        <w:t>App</w:t>
      </w:r>
      <w:r>
        <w:rPr>
          <w:rFonts w:ascii="Tahoma" w:hAnsi="Tahoma" w:cs="Tahoma"/>
          <w:b/>
          <w:sz w:val="24"/>
          <w:szCs w:val="24"/>
        </w:rPr>
        <w:t>ell</w:t>
      </w:r>
      <w:r w:rsidRPr="009802E9">
        <w:rPr>
          <w:rFonts w:ascii="Tahoma" w:hAnsi="Tahoma" w:cs="Tahoma"/>
          <w:b/>
          <w:sz w:val="24"/>
          <w:szCs w:val="24"/>
        </w:rPr>
        <w:t>ant</w:t>
      </w:r>
    </w:p>
    <w:p w:rsidR="00410F12" w:rsidRPr="009802E9" w:rsidRDefault="00410F12" w:rsidP="00410F12">
      <w:pPr>
        <w:spacing w:after="0" w:line="360" w:lineRule="auto"/>
        <w:rPr>
          <w:rFonts w:ascii="Tahoma" w:hAnsi="Tahoma" w:cs="Tahoma"/>
          <w:b/>
          <w:sz w:val="24"/>
          <w:szCs w:val="24"/>
        </w:rPr>
      </w:pPr>
      <w:r>
        <w:rPr>
          <w:rFonts w:ascii="Tahoma" w:hAnsi="Tahoma" w:cs="Tahoma"/>
          <w:b/>
          <w:sz w:val="24"/>
          <w:szCs w:val="24"/>
        </w:rPr>
        <w:t>Vs</w:t>
      </w:r>
    </w:p>
    <w:p w:rsidR="00410F12" w:rsidRDefault="00410F12" w:rsidP="00410F12">
      <w:pPr>
        <w:spacing w:after="0" w:line="240" w:lineRule="auto"/>
        <w:rPr>
          <w:rFonts w:ascii="Tahoma" w:hAnsi="Tahoma" w:cs="Tahoma"/>
          <w:b/>
          <w:sz w:val="24"/>
          <w:szCs w:val="24"/>
        </w:rPr>
      </w:pPr>
      <w:r>
        <w:rPr>
          <w:rFonts w:ascii="Tahoma" w:hAnsi="Tahoma" w:cs="Tahoma"/>
          <w:b/>
          <w:sz w:val="24"/>
          <w:szCs w:val="24"/>
        </w:rPr>
        <w:t>NATIONAL SOCIAL SECURITY AUTHORITY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9802E9">
        <w:rPr>
          <w:rFonts w:ascii="Tahoma" w:hAnsi="Tahoma" w:cs="Tahoma"/>
          <w:b/>
          <w:sz w:val="24"/>
          <w:szCs w:val="24"/>
        </w:rPr>
        <w:t>Respondent</w:t>
      </w:r>
    </w:p>
    <w:p w:rsidR="00410F12" w:rsidRPr="00970B61" w:rsidRDefault="00410F12" w:rsidP="00410F12">
      <w:pPr>
        <w:spacing w:after="0" w:line="240" w:lineRule="auto"/>
        <w:rPr>
          <w:rFonts w:ascii="Tahoma" w:hAnsi="Tahoma" w:cs="Tahoma"/>
          <w:b/>
          <w:sz w:val="24"/>
          <w:szCs w:val="24"/>
        </w:rPr>
      </w:pPr>
    </w:p>
    <w:p w:rsidR="00410F12" w:rsidRPr="009802E9" w:rsidRDefault="00410F12" w:rsidP="00410F12">
      <w:pPr>
        <w:spacing w:after="0" w:line="240" w:lineRule="auto"/>
        <w:rPr>
          <w:rFonts w:ascii="Tahoma" w:hAnsi="Tahoma" w:cs="Tahoma"/>
          <w:sz w:val="24"/>
          <w:szCs w:val="24"/>
        </w:rPr>
      </w:pPr>
    </w:p>
    <w:p w:rsidR="00410F12" w:rsidRPr="009802E9" w:rsidRDefault="00410F12" w:rsidP="00410F12">
      <w:pPr>
        <w:spacing w:after="0" w:line="240" w:lineRule="auto"/>
        <w:rPr>
          <w:rFonts w:ascii="Tahoma" w:hAnsi="Tahoma" w:cs="Tahoma"/>
          <w:sz w:val="24"/>
          <w:szCs w:val="24"/>
        </w:rPr>
      </w:pPr>
    </w:p>
    <w:p w:rsidR="00410F12" w:rsidRDefault="00410F12" w:rsidP="00410F12">
      <w:pPr>
        <w:spacing w:after="0" w:line="360" w:lineRule="auto"/>
        <w:rPr>
          <w:rFonts w:ascii="Tahoma" w:hAnsi="Tahoma" w:cs="Tahoma"/>
          <w:sz w:val="24"/>
          <w:szCs w:val="24"/>
        </w:rPr>
      </w:pPr>
      <w:r w:rsidRPr="009802E9">
        <w:rPr>
          <w:rFonts w:ascii="Tahoma" w:hAnsi="Tahoma" w:cs="Tahoma"/>
          <w:sz w:val="24"/>
          <w:szCs w:val="24"/>
        </w:rPr>
        <w:t>Before the Honourable Mhuri, J.</w:t>
      </w:r>
    </w:p>
    <w:p w:rsidR="00410F12" w:rsidRPr="00896317" w:rsidRDefault="00410F12" w:rsidP="00410F12">
      <w:pPr>
        <w:spacing w:after="0" w:line="360" w:lineRule="auto"/>
        <w:rPr>
          <w:rFonts w:ascii="Tahoma" w:hAnsi="Tahoma" w:cs="Tahoma"/>
          <w:sz w:val="24"/>
          <w:szCs w:val="24"/>
        </w:rPr>
      </w:pPr>
      <w:r>
        <w:rPr>
          <w:rFonts w:ascii="Tahoma" w:hAnsi="Tahoma" w:cs="Tahoma"/>
          <w:b/>
          <w:sz w:val="24"/>
          <w:szCs w:val="24"/>
        </w:rPr>
        <w:t xml:space="preserve">For </w:t>
      </w:r>
      <w:r w:rsidRPr="009802E9">
        <w:rPr>
          <w:rFonts w:ascii="Tahoma" w:hAnsi="Tahoma" w:cs="Tahoma"/>
          <w:b/>
          <w:sz w:val="24"/>
          <w:szCs w:val="24"/>
        </w:rPr>
        <w:t>App</w:t>
      </w:r>
      <w:r>
        <w:rPr>
          <w:rFonts w:ascii="Tahoma" w:hAnsi="Tahoma" w:cs="Tahoma"/>
          <w:b/>
          <w:sz w:val="24"/>
          <w:szCs w:val="24"/>
        </w:rPr>
        <w:t>ell</w:t>
      </w:r>
      <w:r w:rsidRPr="009802E9">
        <w:rPr>
          <w:rFonts w:ascii="Tahoma" w:hAnsi="Tahoma" w:cs="Tahoma"/>
          <w:b/>
          <w:sz w:val="24"/>
          <w:szCs w:val="24"/>
        </w:rPr>
        <w:t>ant</w:t>
      </w:r>
      <w:r w:rsidRPr="009802E9">
        <w:rPr>
          <w:rFonts w:ascii="Tahoma" w:hAnsi="Tahoma" w:cs="Tahoma"/>
          <w:b/>
          <w:sz w:val="24"/>
          <w:szCs w:val="24"/>
        </w:rPr>
        <w:tab/>
      </w:r>
      <w:r>
        <w:rPr>
          <w:rFonts w:ascii="Tahoma" w:hAnsi="Tahoma" w:cs="Tahoma"/>
          <w:b/>
          <w:sz w:val="24"/>
          <w:szCs w:val="24"/>
        </w:rPr>
        <w:tab/>
      </w:r>
      <w:r w:rsidRPr="009802E9">
        <w:rPr>
          <w:rFonts w:ascii="Tahoma" w:hAnsi="Tahoma" w:cs="Tahoma"/>
          <w:b/>
          <w:sz w:val="24"/>
          <w:szCs w:val="24"/>
        </w:rPr>
        <w:t>:</w:t>
      </w:r>
      <w:r w:rsidRPr="009802E9">
        <w:rPr>
          <w:rFonts w:ascii="Tahoma" w:hAnsi="Tahoma" w:cs="Tahoma"/>
          <w:b/>
          <w:sz w:val="24"/>
          <w:szCs w:val="24"/>
        </w:rPr>
        <w:tab/>
      </w:r>
      <w:r>
        <w:rPr>
          <w:rFonts w:ascii="Tahoma" w:hAnsi="Tahoma" w:cs="Tahoma"/>
          <w:b/>
          <w:sz w:val="24"/>
          <w:szCs w:val="24"/>
        </w:rPr>
        <w:t>Mr. L. Chimuriwo (Legal Practitioner)</w:t>
      </w:r>
    </w:p>
    <w:p w:rsidR="00410F12" w:rsidRDefault="004C5D26" w:rsidP="00410F12">
      <w:pPr>
        <w:spacing w:after="0" w:line="240" w:lineRule="auto"/>
        <w:ind w:left="2880" w:hanging="2880"/>
        <w:rPr>
          <w:rFonts w:ascii="Tahoma" w:hAnsi="Tahoma" w:cs="Tahoma"/>
          <w:b/>
          <w:sz w:val="24"/>
          <w:szCs w:val="24"/>
        </w:rPr>
      </w:pPr>
      <w:r>
        <w:rPr>
          <w:rFonts w:ascii="Tahoma" w:hAnsi="Tahoma" w:cs="Tahoma"/>
          <w:b/>
          <w:sz w:val="24"/>
          <w:szCs w:val="24"/>
        </w:rPr>
        <w:t xml:space="preserve">For Respondent </w:t>
      </w:r>
      <w:r>
        <w:rPr>
          <w:rFonts w:ascii="Tahoma" w:hAnsi="Tahoma" w:cs="Tahoma"/>
          <w:b/>
          <w:sz w:val="24"/>
          <w:szCs w:val="24"/>
        </w:rPr>
        <w:tab/>
        <w:t>:</w:t>
      </w:r>
      <w:r>
        <w:rPr>
          <w:rFonts w:ascii="Tahoma" w:hAnsi="Tahoma" w:cs="Tahoma"/>
          <w:b/>
          <w:sz w:val="24"/>
          <w:szCs w:val="24"/>
        </w:rPr>
        <w:tab/>
        <w:t>Ms. G</w:t>
      </w:r>
      <w:r w:rsidR="00410F12">
        <w:rPr>
          <w:rFonts w:ascii="Tahoma" w:hAnsi="Tahoma" w:cs="Tahoma"/>
          <w:b/>
          <w:sz w:val="24"/>
          <w:szCs w:val="24"/>
        </w:rPr>
        <w:t>.K. Muchapireyi (Legal Practitioner)</w:t>
      </w:r>
      <w:r w:rsidR="00410F12" w:rsidRPr="007B01FA">
        <w:rPr>
          <w:rFonts w:ascii="Tahoma" w:hAnsi="Tahoma" w:cs="Tahoma"/>
          <w:b/>
          <w:sz w:val="24"/>
          <w:szCs w:val="24"/>
        </w:rPr>
        <w:t xml:space="preserve"> </w:t>
      </w:r>
    </w:p>
    <w:p w:rsidR="00410F12" w:rsidRDefault="00410F12" w:rsidP="00410F12">
      <w:pPr>
        <w:spacing w:after="0" w:line="240" w:lineRule="auto"/>
        <w:rPr>
          <w:rFonts w:ascii="Tahoma" w:hAnsi="Tahoma" w:cs="Tahoma"/>
          <w:sz w:val="24"/>
          <w:szCs w:val="24"/>
        </w:rPr>
      </w:pPr>
    </w:p>
    <w:p w:rsidR="00410F12" w:rsidRDefault="00410F12" w:rsidP="00410F12">
      <w:pPr>
        <w:spacing w:after="0" w:line="240" w:lineRule="auto"/>
        <w:rPr>
          <w:rFonts w:ascii="Tahoma" w:hAnsi="Tahoma" w:cs="Tahoma"/>
          <w:sz w:val="24"/>
          <w:szCs w:val="24"/>
        </w:rPr>
      </w:pPr>
    </w:p>
    <w:p w:rsidR="00410F12" w:rsidRPr="009802E9" w:rsidRDefault="00410F12" w:rsidP="00410F12">
      <w:pPr>
        <w:spacing w:after="0" w:line="240" w:lineRule="auto"/>
        <w:rPr>
          <w:rFonts w:ascii="Tahoma" w:hAnsi="Tahoma" w:cs="Tahoma"/>
          <w:sz w:val="24"/>
          <w:szCs w:val="24"/>
        </w:rPr>
      </w:pPr>
    </w:p>
    <w:p w:rsidR="00410F12" w:rsidRPr="009802E9" w:rsidRDefault="00410F12" w:rsidP="00410F12">
      <w:pPr>
        <w:spacing w:after="120" w:line="240" w:lineRule="auto"/>
        <w:rPr>
          <w:rFonts w:ascii="Tahoma" w:hAnsi="Tahoma" w:cs="Tahoma"/>
          <w:b/>
          <w:sz w:val="24"/>
          <w:szCs w:val="24"/>
        </w:rPr>
      </w:pPr>
      <w:r w:rsidRPr="009802E9">
        <w:rPr>
          <w:rFonts w:ascii="Tahoma" w:hAnsi="Tahoma" w:cs="Tahoma"/>
          <w:b/>
          <w:sz w:val="24"/>
          <w:szCs w:val="24"/>
        </w:rPr>
        <w:t>MHURI J.</w:t>
      </w:r>
    </w:p>
    <w:p w:rsidR="00410F12" w:rsidRDefault="00410F12" w:rsidP="00410F12">
      <w:pPr>
        <w:spacing w:after="0" w:line="360" w:lineRule="auto"/>
        <w:rPr>
          <w:rFonts w:ascii="Tahoma" w:hAnsi="Tahoma" w:cs="Tahoma"/>
          <w:sz w:val="24"/>
          <w:szCs w:val="24"/>
        </w:rPr>
      </w:pPr>
    </w:p>
    <w:p w:rsidR="00B27556" w:rsidRDefault="00410F12" w:rsidP="00B27556">
      <w:pPr>
        <w:spacing w:after="0" w:line="360" w:lineRule="auto"/>
        <w:jc w:val="both"/>
        <w:rPr>
          <w:rFonts w:ascii="Tahoma" w:hAnsi="Tahoma" w:cs="Tahoma"/>
          <w:sz w:val="24"/>
          <w:szCs w:val="24"/>
        </w:rPr>
      </w:pPr>
      <w:r>
        <w:rPr>
          <w:rFonts w:ascii="Tahoma" w:hAnsi="Tahoma" w:cs="Tahoma"/>
          <w:sz w:val="24"/>
          <w:szCs w:val="24"/>
        </w:rPr>
        <w:tab/>
      </w:r>
      <w:r w:rsidR="00B27556">
        <w:rPr>
          <w:rFonts w:ascii="Tahoma" w:hAnsi="Tahoma" w:cs="Tahoma"/>
          <w:sz w:val="24"/>
          <w:szCs w:val="24"/>
        </w:rPr>
        <w:t>The brief background of this matter which is generally common cause is that, on the 20</w:t>
      </w:r>
      <w:r w:rsidR="00B27556" w:rsidRPr="00D873EB">
        <w:rPr>
          <w:rFonts w:ascii="Tahoma" w:hAnsi="Tahoma" w:cs="Tahoma"/>
          <w:sz w:val="24"/>
          <w:szCs w:val="24"/>
          <w:vertAlign w:val="superscript"/>
        </w:rPr>
        <w:t>th</w:t>
      </w:r>
      <w:r w:rsidR="00B27556">
        <w:rPr>
          <w:rFonts w:ascii="Tahoma" w:hAnsi="Tahoma" w:cs="Tahoma"/>
          <w:sz w:val="24"/>
          <w:szCs w:val="24"/>
        </w:rPr>
        <w:t xml:space="preserve"> July 2020 appellant was served with a charge letter in which he was being charged with an act of misconduct in terms of the National Social Security Authority Code of Conduct.  In terms of Section 10.6 of the Code the matter is to be determined within 30 days from the date of service of the charge letter upon failure of which the matter shall be referred to a Labour Officer in terms of Section 101(6) of the Labour Act.</w:t>
      </w:r>
    </w:p>
    <w:p w:rsidR="00B27556" w:rsidRDefault="00B27556" w:rsidP="00B27556">
      <w:pPr>
        <w:spacing w:after="0" w:line="360" w:lineRule="auto"/>
        <w:jc w:val="both"/>
        <w:rPr>
          <w:rFonts w:ascii="Tahoma" w:hAnsi="Tahoma" w:cs="Tahoma"/>
          <w:sz w:val="24"/>
          <w:szCs w:val="24"/>
        </w:rPr>
      </w:pPr>
    </w:p>
    <w:p w:rsidR="00B27556" w:rsidRDefault="00B27556" w:rsidP="00B27556">
      <w:pPr>
        <w:spacing w:after="0" w:line="360" w:lineRule="auto"/>
        <w:jc w:val="both"/>
        <w:rPr>
          <w:rFonts w:ascii="Tahoma" w:hAnsi="Tahoma" w:cs="Tahoma"/>
          <w:sz w:val="24"/>
          <w:szCs w:val="24"/>
        </w:rPr>
      </w:pPr>
      <w:r>
        <w:rPr>
          <w:rFonts w:ascii="Tahoma" w:hAnsi="Tahoma" w:cs="Tahoma"/>
          <w:sz w:val="24"/>
          <w:szCs w:val="24"/>
        </w:rPr>
        <w:tab/>
        <w:t>In casu, the disciplinary proceedings were to be determined by the 2</w:t>
      </w:r>
      <w:r w:rsidRPr="00AD5614">
        <w:rPr>
          <w:rFonts w:ascii="Tahoma" w:hAnsi="Tahoma" w:cs="Tahoma"/>
          <w:sz w:val="24"/>
          <w:szCs w:val="24"/>
          <w:vertAlign w:val="superscript"/>
        </w:rPr>
        <w:t>nd</w:t>
      </w:r>
      <w:r>
        <w:rPr>
          <w:rFonts w:ascii="Tahoma" w:hAnsi="Tahoma" w:cs="Tahoma"/>
          <w:sz w:val="24"/>
          <w:szCs w:val="24"/>
        </w:rPr>
        <w:t xml:space="preserve"> September, 2020.  The 2</w:t>
      </w:r>
      <w:r w:rsidRPr="00AD5614">
        <w:rPr>
          <w:rFonts w:ascii="Tahoma" w:hAnsi="Tahoma" w:cs="Tahoma"/>
          <w:sz w:val="24"/>
          <w:szCs w:val="24"/>
          <w:vertAlign w:val="superscript"/>
        </w:rPr>
        <w:t>nd</w:t>
      </w:r>
      <w:r>
        <w:rPr>
          <w:rFonts w:ascii="Tahoma" w:hAnsi="Tahoma" w:cs="Tahoma"/>
          <w:sz w:val="24"/>
          <w:szCs w:val="24"/>
        </w:rPr>
        <w:t xml:space="preserve"> September, 2020 wa</w:t>
      </w:r>
      <w:r w:rsidR="00D75AA1">
        <w:rPr>
          <w:rFonts w:ascii="Tahoma" w:hAnsi="Tahoma" w:cs="Tahoma"/>
          <w:sz w:val="24"/>
          <w:szCs w:val="24"/>
        </w:rPr>
        <w:t>s the last day of the 30 day</w:t>
      </w:r>
      <w:r>
        <w:rPr>
          <w:rFonts w:ascii="Tahoma" w:hAnsi="Tahoma" w:cs="Tahoma"/>
          <w:sz w:val="24"/>
          <w:szCs w:val="24"/>
        </w:rPr>
        <w:t xml:space="preserve"> period, and it was on the 3</w:t>
      </w:r>
      <w:r w:rsidRPr="00A8722B">
        <w:rPr>
          <w:rFonts w:ascii="Tahoma" w:hAnsi="Tahoma" w:cs="Tahoma"/>
          <w:sz w:val="24"/>
          <w:szCs w:val="24"/>
          <w:vertAlign w:val="superscript"/>
        </w:rPr>
        <w:t>rd</w:t>
      </w:r>
      <w:r>
        <w:rPr>
          <w:rFonts w:ascii="Tahoma" w:hAnsi="Tahoma" w:cs="Tahoma"/>
          <w:sz w:val="24"/>
          <w:szCs w:val="24"/>
        </w:rPr>
        <w:t xml:space="preserve"> of September, 2020 tha</w:t>
      </w:r>
      <w:r w:rsidR="004C5D26">
        <w:rPr>
          <w:rFonts w:ascii="Tahoma" w:hAnsi="Tahoma" w:cs="Tahoma"/>
          <w:sz w:val="24"/>
          <w:szCs w:val="24"/>
        </w:rPr>
        <w:t xml:space="preserve">t appellant in terms of Section </w:t>
      </w:r>
      <w:r>
        <w:rPr>
          <w:rFonts w:ascii="Tahoma" w:hAnsi="Tahoma" w:cs="Tahoma"/>
          <w:sz w:val="24"/>
          <w:szCs w:val="24"/>
        </w:rPr>
        <w:t>10.6 of the Code, referred the matter to a Labour office</w:t>
      </w:r>
      <w:r w:rsidR="004C5D26">
        <w:rPr>
          <w:rFonts w:ascii="Tahoma" w:hAnsi="Tahoma" w:cs="Tahoma"/>
          <w:sz w:val="24"/>
          <w:szCs w:val="24"/>
        </w:rPr>
        <w:t>r</w:t>
      </w:r>
      <w:r>
        <w:rPr>
          <w:rFonts w:ascii="Tahoma" w:hAnsi="Tahoma" w:cs="Tahoma"/>
          <w:sz w:val="24"/>
          <w:szCs w:val="24"/>
        </w:rPr>
        <w:t>.  Respondent challenged the referral on the ground that it was prematurely referred as the 30 da</w:t>
      </w:r>
      <w:r w:rsidR="004C5D26">
        <w:rPr>
          <w:rFonts w:ascii="Tahoma" w:hAnsi="Tahoma" w:cs="Tahoma"/>
          <w:sz w:val="24"/>
          <w:szCs w:val="24"/>
        </w:rPr>
        <w:t>y period was interrupted by an a</w:t>
      </w:r>
      <w:r>
        <w:rPr>
          <w:rFonts w:ascii="Tahoma" w:hAnsi="Tahoma" w:cs="Tahoma"/>
          <w:sz w:val="24"/>
          <w:szCs w:val="24"/>
        </w:rPr>
        <w:t xml:space="preserve">ct of God vis the corona virus which was detected at respondent’s premises as </w:t>
      </w:r>
      <w:r>
        <w:rPr>
          <w:rFonts w:ascii="Tahoma" w:hAnsi="Tahoma" w:cs="Tahoma"/>
          <w:sz w:val="24"/>
          <w:szCs w:val="24"/>
        </w:rPr>
        <w:lastRenderedPageBreak/>
        <w:t>a result of which the premises was closed for a period of 7 day</w:t>
      </w:r>
      <w:r w:rsidR="004C5D26">
        <w:rPr>
          <w:rFonts w:ascii="Tahoma" w:hAnsi="Tahoma" w:cs="Tahoma"/>
          <w:sz w:val="24"/>
          <w:szCs w:val="24"/>
        </w:rPr>
        <w:t>s</w:t>
      </w:r>
      <w:r>
        <w:rPr>
          <w:rFonts w:ascii="Tahoma" w:hAnsi="Tahoma" w:cs="Tahoma"/>
          <w:sz w:val="24"/>
          <w:szCs w:val="24"/>
        </w:rPr>
        <w:t>.  It prayed that the matter be remitted to respondent to carry on with the disciplinary hearing.</w:t>
      </w:r>
    </w:p>
    <w:p w:rsidR="00B27556" w:rsidRDefault="00B27556" w:rsidP="00B27556">
      <w:pPr>
        <w:spacing w:after="0" w:line="360" w:lineRule="auto"/>
        <w:jc w:val="both"/>
        <w:rPr>
          <w:rFonts w:ascii="Tahoma" w:hAnsi="Tahoma" w:cs="Tahoma"/>
          <w:sz w:val="24"/>
          <w:szCs w:val="24"/>
        </w:rPr>
      </w:pPr>
    </w:p>
    <w:p w:rsidR="00B27556" w:rsidRDefault="00B27556" w:rsidP="00B27556">
      <w:pPr>
        <w:spacing w:after="0" w:line="360" w:lineRule="auto"/>
        <w:jc w:val="both"/>
        <w:rPr>
          <w:rFonts w:ascii="Tahoma" w:hAnsi="Tahoma" w:cs="Tahoma"/>
          <w:sz w:val="24"/>
          <w:szCs w:val="24"/>
        </w:rPr>
      </w:pPr>
      <w:r>
        <w:rPr>
          <w:rFonts w:ascii="Tahoma" w:hAnsi="Tahoma" w:cs="Tahoma"/>
          <w:sz w:val="24"/>
          <w:szCs w:val="24"/>
        </w:rPr>
        <w:tab/>
        <w:t>The Labour Officer found in favour of the respondent and ruled that the matter was referred to a Labour Officer prematurely and referred it back to respondent to determine it in terms of its Code within 7 days of receipt of the ruling.</w:t>
      </w:r>
    </w:p>
    <w:p w:rsidR="00B27556" w:rsidRDefault="00B27556" w:rsidP="00B27556">
      <w:pPr>
        <w:spacing w:after="0" w:line="360" w:lineRule="auto"/>
        <w:jc w:val="both"/>
        <w:rPr>
          <w:rFonts w:ascii="Tahoma" w:hAnsi="Tahoma" w:cs="Tahoma"/>
          <w:sz w:val="24"/>
          <w:szCs w:val="24"/>
        </w:rPr>
      </w:pPr>
    </w:p>
    <w:p w:rsidR="00B27556" w:rsidRDefault="00B27556" w:rsidP="00B27556">
      <w:pPr>
        <w:spacing w:after="0" w:line="360" w:lineRule="auto"/>
        <w:jc w:val="both"/>
        <w:rPr>
          <w:rFonts w:ascii="Tahoma" w:hAnsi="Tahoma" w:cs="Tahoma"/>
          <w:sz w:val="24"/>
          <w:szCs w:val="24"/>
        </w:rPr>
      </w:pPr>
      <w:r>
        <w:rPr>
          <w:rFonts w:ascii="Tahoma" w:hAnsi="Tahoma" w:cs="Tahoma"/>
          <w:sz w:val="24"/>
          <w:szCs w:val="24"/>
        </w:rPr>
        <w:tab/>
        <w:t>Appellant was aggrieved by the Labour Officer’s ruling and noted this appeal on 3 main grounds, to wit that:-</w:t>
      </w:r>
    </w:p>
    <w:p w:rsidR="00B27556" w:rsidRDefault="00B27556" w:rsidP="00B27556">
      <w:pPr>
        <w:spacing w:after="0" w:line="360" w:lineRule="auto"/>
        <w:jc w:val="both"/>
        <w:rPr>
          <w:rFonts w:ascii="Tahoma" w:hAnsi="Tahoma" w:cs="Tahoma"/>
          <w:sz w:val="24"/>
          <w:szCs w:val="24"/>
        </w:rPr>
      </w:pPr>
    </w:p>
    <w:p w:rsidR="00B27556" w:rsidRDefault="00B27556" w:rsidP="00B27556">
      <w:pPr>
        <w:pStyle w:val="ListParagraph"/>
        <w:numPr>
          <w:ilvl w:val="0"/>
          <w:numId w:val="14"/>
        </w:numPr>
        <w:spacing w:after="0" w:line="360" w:lineRule="auto"/>
        <w:ind w:hanging="720"/>
        <w:jc w:val="both"/>
        <w:rPr>
          <w:rFonts w:ascii="Tahoma" w:hAnsi="Tahoma" w:cs="Tahoma"/>
          <w:sz w:val="24"/>
          <w:szCs w:val="24"/>
        </w:rPr>
      </w:pPr>
      <w:r>
        <w:rPr>
          <w:rFonts w:ascii="Tahoma" w:hAnsi="Tahoma" w:cs="Tahoma"/>
          <w:sz w:val="24"/>
          <w:szCs w:val="24"/>
        </w:rPr>
        <w:t>The Labour Officer erred at law in entertaining a matter in which he had no jurisdiction to sit as a disciplinary tribunal when the Act only provides for conciliation.</w:t>
      </w:r>
    </w:p>
    <w:p w:rsidR="00B27556" w:rsidRDefault="00B27556" w:rsidP="00B27556">
      <w:pPr>
        <w:pStyle w:val="ListParagraph"/>
        <w:numPr>
          <w:ilvl w:val="0"/>
          <w:numId w:val="14"/>
        </w:numPr>
        <w:spacing w:after="0" w:line="360" w:lineRule="auto"/>
        <w:ind w:hanging="720"/>
        <w:jc w:val="both"/>
        <w:rPr>
          <w:rFonts w:ascii="Tahoma" w:hAnsi="Tahoma" w:cs="Tahoma"/>
          <w:sz w:val="24"/>
          <w:szCs w:val="24"/>
        </w:rPr>
      </w:pPr>
      <w:r>
        <w:rPr>
          <w:rFonts w:ascii="Tahoma" w:hAnsi="Tahoma" w:cs="Tahoma"/>
          <w:sz w:val="24"/>
          <w:szCs w:val="24"/>
        </w:rPr>
        <w:t xml:space="preserve">The Labour Officer erred at law in </w:t>
      </w:r>
      <w:proofErr w:type="spellStart"/>
      <w:r>
        <w:rPr>
          <w:rFonts w:ascii="Tahoma" w:hAnsi="Tahoma" w:cs="Tahoma"/>
          <w:sz w:val="24"/>
          <w:szCs w:val="24"/>
        </w:rPr>
        <w:t>mero</w:t>
      </w:r>
      <w:proofErr w:type="spellEnd"/>
      <w:r>
        <w:rPr>
          <w:rFonts w:ascii="Tahoma" w:hAnsi="Tahoma" w:cs="Tahoma"/>
          <w:sz w:val="24"/>
          <w:szCs w:val="24"/>
        </w:rPr>
        <w:t xml:space="preserve"> </w:t>
      </w:r>
      <w:proofErr w:type="spellStart"/>
      <w:r w:rsidR="00861C49" w:rsidRPr="009615F1">
        <w:rPr>
          <w:rFonts w:ascii="Tahoma" w:hAnsi="Tahoma" w:cs="Tahoma"/>
          <w:i/>
          <w:sz w:val="24"/>
          <w:szCs w:val="24"/>
        </w:rPr>
        <w:t>motu</w:t>
      </w:r>
      <w:proofErr w:type="spellEnd"/>
      <w:r>
        <w:rPr>
          <w:rFonts w:ascii="Tahoma" w:hAnsi="Tahoma" w:cs="Tahoma"/>
          <w:sz w:val="24"/>
          <w:szCs w:val="24"/>
        </w:rPr>
        <w:t xml:space="preserve"> holding that the matter was prematurely referred to him.</w:t>
      </w:r>
    </w:p>
    <w:p w:rsidR="00B27556" w:rsidRDefault="00B27556" w:rsidP="00B27556">
      <w:pPr>
        <w:pStyle w:val="ListParagraph"/>
        <w:numPr>
          <w:ilvl w:val="0"/>
          <w:numId w:val="14"/>
        </w:numPr>
        <w:spacing w:after="0" w:line="360" w:lineRule="auto"/>
        <w:ind w:hanging="720"/>
        <w:jc w:val="both"/>
        <w:rPr>
          <w:rFonts w:ascii="Tahoma" w:hAnsi="Tahoma" w:cs="Tahoma"/>
          <w:sz w:val="24"/>
          <w:szCs w:val="24"/>
        </w:rPr>
      </w:pPr>
      <w:r>
        <w:rPr>
          <w:rFonts w:ascii="Tahoma" w:hAnsi="Tahoma" w:cs="Tahoma"/>
          <w:sz w:val="24"/>
          <w:szCs w:val="24"/>
        </w:rPr>
        <w:t>The Labour Officer erred in failing to determine a preliminary point on jurisdiction that was placed before him by appellant.</w:t>
      </w:r>
    </w:p>
    <w:p w:rsidR="00B27556" w:rsidRDefault="00B27556" w:rsidP="00B27556">
      <w:pPr>
        <w:pStyle w:val="ListParagraph"/>
        <w:spacing w:after="0" w:line="360" w:lineRule="auto"/>
        <w:jc w:val="both"/>
        <w:rPr>
          <w:rFonts w:ascii="Tahoma" w:hAnsi="Tahoma" w:cs="Tahoma"/>
          <w:sz w:val="24"/>
          <w:szCs w:val="24"/>
        </w:rPr>
      </w:pPr>
    </w:p>
    <w:p w:rsidR="00B27556" w:rsidRDefault="00B27556" w:rsidP="00D42D2D">
      <w:pPr>
        <w:pStyle w:val="ListParagraph"/>
        <w:spacing w:after="0" w:line="360" w:lineRule="auto"/>
        <w:ind w:left="0" w:firstLine="720"/>
        <w:jc w:val="both"/>
        <w:rPr>
          <w:rFonts w:ascii="Tahoma" w:hAnsi="Tahoma" w:cs="Tahoma"/>
          <w:sz w:val="24"/>
          <w:szCs w:val="24"/>
        </w:rPr>
      </w:pPr>
      <w:r>
        <w:rPr>
          <w:rFonts w:ascii="Tahoma" w:hAnsi="Tahoma" w:cs="Tahoma"/>
          <w:sz w:val="24"/>
          <w:szCs w:val="24"/>
        </w:rPr>
        <w:t>Appellant’s contention vis a vis the 1</w:t>
      </w:r>
      <w:r w:rsidRPr="00B27556">
        <w:rPr>
          <w:rFonts w:ascii="Tahoma" w:hAnsi="Tahoma" w:cs="Tahoma"/>
          <w:sz w:val="24"/>
          <w:szCs w:val="24"/>
          <w:vertAlign w:val="superscript"/>
        </w:rPr>
        <w:t>st</w:t>
      </w:r>
      <w:r>
        <w:rPr>
          <w:rFonts w:ascii="Tahoma" w:hAnsi="Tahoma" w:cs="Tahoma"/>
          <w:sz w:val="24"/>
          <w:szCs w:val="24"/>
        </w:rPr>
        <w:t xml:space="preserve"> ground was that in terms of section 93 of the Labour Act [Chapter 28:01] a Labour Officer deals with matters referred to him/her as a conciliator and not as a disciplinary authority.  Before issuing a ruling he/she must first issue a certificate of no settlement.  He argued that since the Labour Officer in the present case issued a ruling without issuing a certificate of no settlement, he acted against the provision</w:t>
      </w:r>
      <w:r w:rsidR="004C5D26">
        <w:rPr>
          <w:rFonts w:ascii="Tahoma" w:hAnsi="Tahoma" w:cs="Tahoma"/>
          <w:sz w:val="24"/>
          <w:szCs w:val="24"/>
        </w:rPr>
        <w:t>s</w:t>
      </w:r>
      <w:r>
        <w:rPr>
          <w:rFonts w:ascii="Tahoma" w:hAnsi="Tahoma" w:cs="Tahoma"/>
          <w:sz w:val="24"/>
          <w:szCs w:val="24"/>
        </w:rPr>
        <w:t xml:space="preserve"> of Section 93 of the Act.  He acted as a disciplinary authority and not a conciliator.  Appellant also </w:t>
      </w:r>
      <w:r w:rsidR="00D42D2D">
        <w:rPr>
          <w:rFonts w:ascii="Tahoma" w:hAnsi="Tahoma" w:cs="Tahoma"/>
          <w:sz w:val="24"/>
          <w:szCs w:val="24"/>
        </w:rPr>
        <w:t>bolstered this argument by submitting that the use of the word tribunal by the Labour Officer meant that the Labour Officer sat as a disciplinary authority and not a conciliator.</w:t>
      </w:r>
    </w:p>
    <w:p w:rsidR="00D42D2D" w:rsidRDefault="00D42D2D" w:rsidP="00D42D2D">
      <w:pPr>
        <w:pStyle w:val="ListParagraph"/>
        <w:spacing w:after="0" w:line="360" w:lineRule="auto"/>
        <w:ind w:left="0" w:firstLine="720"/>
        <w:jc w:val="both"/>
        <w:rPr>
          <w:rFonts w:ascii="Tahoma" w:hAnsi="Tahoma" w:cs="Tahoma"/>
          <w:sz w:val="24"/>
          <w:szCs w:val="24"/>
        </w:rPr>
      </w:pPr>
    </w:p>
    <w:p w:rsidR="00D42D2D" w:rsidRDefault="00D42D2D" w:rsidP="00D42D2D">
      <w:pPr>
        <w:pStyle w:val="ListParagraph"/>
        <w:spacing w:after="0" w:line="360" w:lineRule="auto"/>
        <w:ind w:left="0" w:firstLine="720"/>
        <w:jc w:val="both"/>
        <w:rPr>
          <w:rFonts w:ascii="Tahoma" w:hAnsi="Tahoma" w:cs="Tahoma"/>
          <w:sz w:val="24"/>
          <w:szCs w:val="24"/>
        </w:rPr>
      </w:pPr>
      <w:r>
        <w:rPr>
          <w:rFonts w:ascii="Tahoma" w:hAnsi="Tahoma" w:cs="Tahoma"/>
          <w:sz w:val="24"/>
          <w:szCs w:val="24"/>
        </w:rPr>
        <w:t>Respondent countered appellant’s argument by submitting that the Labour Officer did not sit as a disciplinary authority, but that it had raised a preliminary point which had to be determined first before the Labour Officer could start conciliation proceedings.</w:t>
      </w:r>
    </w:p>
    <w:p w:rsidR="00D42D2D" w:rsidRDefault="00D42D2D" w:rsidP="00D42D2D">
      <w:pPr>
        <w:pStyle w:val="ListParagraph"/>
        <w:spacing w:after="0" w:line="360" w:lineRule="auto"/>
        <w:ind w:left="0" w:firstLine="720"/>
        <w:jc w:val="both"/>
        <w:rPr>
          <w:rFonts w:ascii="Tahoma" w:hAnsi="Tahoma" w:cs="Tahoma"/>
          <w:sz w:val="24"/>
          <w:szCs w:val="24"/>
        </w:rPr>
      </w:pPr>
    </w:p>
    <w:p w:rsidR="00D42D2D" w:rsidRDefault="00D42D2D" w:rsidP="00D42D2D">
      <w:pPr>
        <w:pStyle w:val="ListParagraph"/>
        <w:spacing w:after="0" w:line="360" w:lineRule="auto"/>
        <w:ind w:left="0" w:firstLine="720"/>
        <w:jc w:val="both"/>
        <w:rPr>
          <w:rFonts w:ascii="Tahoma" w:hAnsi="Tahoma" w:cs="Tahoma"/>
          <w:sz w:val="24"/>
          <w:szCs w:val="24"/>
        </w:rPr>
      </w:pPr>
      <w:r>
        <w:rPr>
          <w:rFonts w:ascii="Tahoma" w:hAnsi="Tahoma" w:cs="Tahoma"/>
          <w:sz w:val="24"/>
          <w:szCs w:val="24"/>
        </w:rPr>
        <w:t>It is not in dispute as it is trite that where a matter is referred to a Labour Of</w:t>
      </w:r>
      <w:r w:rsidR="004C5D26">
        <w:rPr>
          <w:rFonts w:ascii="Tahoma" w:hAnsi="Tahoma" w:cs="Tahoma"/>
          <w:sz w:val="24"/>
          <w:szCs w:val="24"/>
        </w:rPr>
        <w:t>ficer in terms of section 101 (6</w:t>
      </w:r>
      <w:r>
        <w:rPr>
          <w:rFonts w:ascii="Tahoma" w:hAnsi="Tahoma" w:cs="Tahoma"/>
          <w:sz w:val="24"/>
          <w:szCs w:val="24"/>
        </w:rPr>
        <w:t>) o</w:t>
      </w:r>
      <w:r w:rsidR="00DA3D7E">
        <w:rPr>
          <w:rFonts w:ascii="Tahoma" w:hAnsi="Tahoma" w:cs="Tahoma"/>
          <w:sz w:val="24"/>
          <w:szCs w:val="24"/>
        </w:rPr>
        <w:t xml:space="preserve">f the Code, the Labour Officer </w:t>
      </w:r>
      <w:r>
        <w:rPr>
          <w:rFonts w:ascii="Tahoma" w:hAnsi="Tahoma" w:cs="Tahoma"/>
          <w:sz w:val="24"/>
          <w:szCs w:val="24"/>
        </w:rPr>
        <w:t xml:space="preserve">proceeds in terms of Section 93 of the Act which obliges him to conciliate the dispute and </w:t>
      </w:r>
      <w:r w:rsidR="00DA3D7E">
        <w:rPr>
          <w:rFonts w:ascii="Tahoma" w:hAnsi="Tahoma" w:cs="Tahoma"/>
          <w:sz w:val="24"/>
          <w:szCs w:val="24"/>
        </w:rPr>
        <w:t>if conciliation fails, he issues a certificate of no settlement and thereafter issues a ruling.  The Labour Officer sits as a conciliator.</w:t>
      </w:r>
    </w:p>
    <w:p w:rsidR="00DA3D7E" w:rsidRDefault="00DA3D7E" w:rsidP="00D42D2D">
      <w:pPr>
        <w:pStyle w:val="ListParagraph"/>
        <w:spacing w:after="0" w:line="360" w:lineRule="auto"/>
        <w:ind w:left="0" w:firstLine="720"/>
        <w:jc w:val="both"/>
        <w:rPr>
          <w:rFonts w:ascii="Tahoma" w:hAnsi="Tahoma" w:cs="Tahoma"/>
          <w:sz w:val="24"/>
          <w:szCs w:val="24"/>
        </w:rPr>
      </w:pPr>
    </w:p>
    <w:p w:rsidR="00DA3D7E" w:rsidRDefault="00DA3D7E" w:rsidP="00D42D2D">
      <w:pPr>
        <w:pStyle w:val="ListParagraph"/>
        <w:spacing w:after="0" w:line="360" w:lineRule="auto"/>
        <w:ind w:left="0" w:firstLine="720"/>
        <w:jc w:val="both"/>
        <w:rPr>
          <w:rFonts w:ascii="Tahoma" w:hAnsi="Tahoma" w:cs="Tahoma"/>
          <w:sz w:val="24"/>
          <w:szCs w:val="24"/>
        </w:rPr>
      </w:pPr>
      <w:r>
        <w:rPr>
          <w:rFonts w:ascii="Tahoma" w:hAnsi="Tahoma" w:cs="Tahoma"/>
          <w:sz w:val="24"/>
          <w:szCs w:val="24"/>
        </w:rPr>
        <w:t xml:space="preserve">Where a preliminary point is raised, either on the jurisdiction of the Labour Officer or on the matter being properly before the Labour Officer, this </w:t>
      </w:r>
      <w:r w:rsidR="00861C49">
        <w:rPr>
          <w:rFonts w:ascii="Tahoma" w:hAnsi="Tahoma" w:cs="Tahoma"/>
          <w:sz w:val="24"/>
          <w:szCs w:val="24"/>
        </w:rPr>
        <w:t>issue</w:t>
      </w:r>
      <w:r>
        <w:rPr>
          <w:rFonts w:ascii="Tahoma" w:hAnsi="Tahoma" w:cs="Tahoma"/>
          <w:sz w:val="24"/>
          <w:szCs w:val="24"/>
        </w:rPr>
        <w:t xml:space="preserve"> has to be determined first before the Labour Officer delves into conciliation proceedings.  Such a point goes to determine whether the Labour Officer can deal with the matter as both speak to the Labour Officer’s jurisdiction.</w:t>
      </w:r>
    </w:p>
    <w:p w:rsidR="00D42D2D" w:rsidRDefault="00D42D2D" w:rsidP="00B27556">
      <w:pPr>
        <w:pStyle w:val="ListParagraph"/>
        <w:spacing w:after="0" w:line="360" w:lineRule="auto"/>
        <w:jc w:val="both"/>
        <w:rPr>
          <w:rFonts w:ascii="Tahoma" w:hAnsi="Tahoma" w:cs="Tahoma"/>
          <w:sz w:val="24"/>
          <w:szCs w:val="24"/>
        </w:rPr>
      </w:pPr>
    </w:p>
    <w:p w:rsidR="00DA3D7E" w:rsidRDefault="00DA3D7E" w:rsidP="00A072ED">
      <w:pPr>
        <w:pStyle w:val="ListParagraph"/>
        <w:spacing w:after="0" w:line="360" w:lineRule="auto"/>
        <w:ind w:left="0" w:firstLine="720"/>
        <w:jc w:val="both"/>
        <w:rPr>
          <w:rFonts w:ascii="Tahoma" w:hAnsi="Tahoma" w:cs="Tahoma"/>
          <w:sz w:val="24"/>
          <w:szCs w:val="24"/>
        </w:rPr>
      </w:pPr>
      <w:r>
        <w:rPr>
          <w:rFonts w:ascii="Tahoma" w:hAnsi="Tahoma" w:cs="Tahoma"/>
          <w:sz w:val="24"/>
          <w:szCs w:val="24"/>
        </w:rPr>
        <w:t>A</w:t>
      </w:r>
      <w:r w:rsidR="00A072ED">
        <w:rPr>
          <w:rFonts w:ascii="Tahoma" w:hAnsi="Tahoma" w:cs="Tahoma"/>
          <w:sz w:val="24"/>
          <w:szCs w:val="24"/>
        </w:rPr>
        <w:t xml:space="preserve"> ruling on this point cannot be said to be a ruling by a Labour Officer sitting as a disciplinary authority and not conciliator.  The Labour Officer had to rule whether the matter was prematurely brought before him or not so that he can found jurisdiction to proceed with conciliation.  Such a preliminary point cannot be ignored as was aptly stated in the case of </w:t>
      </w:r>
    </w:p>
    <w:p w:rsidR="00A072ED" w:rsidRDefault="00A072ED" w:rsidP="00A072ED">
      <w:pPr>
        <w:pStyle w:val="ListParagraph"/>
        <w:spacing w:after="0" w:line="360" w:lineRule="auto"/>
        <w:ind w:left="0" w:firstLine="720"/>
        <w:jc w:val="both"/>
        <w:rPr>
          <w:rFonts w:ascii="Tahoma" w:hAnsi="Tahoma" w:cs="Tahoma"/>
          <w:b/>
          <w:i/>
          <w:sz w:val="24"/>
          <w:szCs w:val="24"/>
        </w:rPr>
      </w:pPr>
      <w:r>
        <w:rPr>
          <w:rFonts w:ascii="Tahoma" w:hAnsi="Tahoma" w:cs="Tahoma"/>
          <w:b/>
          <w:i/>
          <w:sz w:val="24"/>
          <w:szCs w:val="24"/>
        </w:rPr>
        <w:t xml:space="preserve">A.M. GWARADZIMBA </w:t>
      </w:r>
    </w:p>
    <w:p w:rsidR="00A072ED" w:rsidRDefault="00A072ED" w:rsidP="00A072ED">
      <w:pPr>
        <w:pStyle w:val="ListParagraph"/>
        <w:spacing w:after="0" w:line="360" w:lineRule="auto"/>
        <w:ind w:left="1440" w:firstLine="720"/>
        <w:jc w:val="both"/>
        <w:rPr>
          <w:rFonts w:ascii="Tahoma" w:hAnsi="Tahoma" w:cs="Tahoma"/>
          <w:b/>
          <w:i/>
          <w:sz w:val="24"/>
          <w:szCs w:val="24"/>
        </w:rPr>
      </w:pPr>
      <w:r>
        <w:rPr>
          <w:rFonts w:ascii="Tahoma" w:hAnsi="Tahoma" w:cs="Tahoma"/>
          <w:b/>
          <w:i/>
          <w:sz w:val="24"/>
          <w:szCs w:val="24"/>
        </w:rPr>
        <w:t xml:space="preserve">vs </w:t>
      </w:r>
    </w:p>
    <w:p w:rsidR="00A072ED" w:rsidRPr="00A072ED" w:rsidRDefault="00A072ED" w:rsidP="00A072ED">
      <w:pPr>
        <w:pStyle w:val="ListParagraph"/>
        <w:spacing w:after="0" w:line="360" w:lineRule="auto"/>
        <w:ind w:left="0" w:firstLine="720"/>
        <w:jc w:val="both"/>
        <w:rPr>
          <w:rFonts w:ascii="Tahoma" w:hAnsi="Tahoma" w:cs="Tahoma"/>
          <w:b/>
          <w:i/>
          <w:sz w:val="24"/>
          <w:szCs w:val="24"/>
        </w:rPr>
      </w:pPr>
      <w:r>
        <w:rPr>
          <w:rFonts w:ascii="Tahoma" w:hAnsi="Tahoma" w:cs="Tahoma"/>
          <w:b/>
          <w:i/>
          <w:sz w:val="24"/>
          <w:szCs w:val="24"/>
        </w:rPr>
        <w:t>C.J. PETRON &amp; COMPANY (PROPRIETARY) LIMITED SC 12/16</w:t>
      </w:r>
    </w:p>
    <w:p w:rsidR="00D42D2D" w:rsidRDefault="00D42D2D" w:rsidP="00B27556">
      <w:pPr>
        <w:pStyle w:val="ListParagraph"/>
        <w:spacing w:after="0" w:line="360" w:lineRule="auto"/>
        <w:jc w:val="both"/>
        <w:rPr>
          <w:rFonts w:ascii="Tahoma" w:hAnsi="Tahoma" w:cs="Tahoma"/>
          <w:b/>
          <w:i/>
          <w:sz w:val="24"/>
          <w:szCs w:val="24"/>
        </w:rPr>
      </w:pPr>
    </w:p>
    <w:p w:rsidR="00A072ED" w:rsidRPr="00FB3AB0" w:rsidRDefault="00A072ED" w:rsidP="00FB3AB0">
      <w:pPr>
        <w:pStyle w:val="ListParagraph"/>
        <w:spacing w:after="0" w:line="360" w:lineRule="auto"/>
        <w:ind w:firstLine="720"/>
        <w:jc w:val="both"/>
        <w:rPr>
          <w:rFonts w:ascii="Times New Roman" w:hAnsi="Times New Roman" w:cs="Times New Roman"/>
          <w:i/>
          <w:sz w:val="24"/>
          <w:szCs w:val="24"/>
        </w:rPr>
      </w:pPr>
      <w:r w:rsidRPr="00FB3AB0">
        <w:rPr>
          <w:rFonts w:ascii="Times New Roman" w:hAnsi="Times New Roman" w:cs="Times New Roman"/>
          <w:i/>
          <w:sz w:val="24"/>
          <w:szCs w:val="24"/>
        </w:rPr>
        <w:t>“</w:t>
      </w:r>
      <w:r w:rsidR="00FB3AB0" w:rsidRPr="00FB3AB0">
        <w:rPr>
          <w:rFonts w:ascii="Times New Roman" w:hAnsi="Times New Roman" w:cs="Times New Roman"/>
          <w:i/>
          <w:sz w:val="24"/>
          <w:szCs w:val="24"/>
        </w:rPr>
        <w:t>In the present case, the substantive issue that was determined by the court a quo did not dispose of the matter.  The question still remained whether the application was, in the first instance, properly before the court.</w:t>
      </w:r>
    </w:p>
    <w:p w:rsidR="00FB3AB0" w:rsidRPr="00FB3AB0" w:rsidRDefault="00FB3AB0" w:rsidP="00B27556">
      <w:pPr>
        <w:pStyle w:val="ListParagraph"/>
        <w:spacing w:after="0" w:line="360" w:lineRule="auto"/>
        <w:jc w:val="both"/>
        <w:rPr>
          <w:rFonts w:ascii="Times New Roman" w:hAnsi="Times New Roman" w:cs="Times New Roman"/>
          <w:i/>
          <w:sz w:val="24"/>
          <w:szCs w:val="24"/>
        </w:rPr>
      </w:pPr>
    </w:p>
    <w:p w:rsidR="00FB3AB0" w:rsidRPr="00FB3AB0" w:rsidRDefault="00FB3AB0" w:rsidP="00B27556">
      <w:pPr>
        <w:pStyle w:val="ListParagraph"/>
        <w:spacing w:after="0" w:line="360" w:lineRule="auto"/>
        <w:jc w:val="both"/>
        <w:rPr>
          <w:rFonts w:ascii="Times New Roman" w:hAnsi="Times New Roman" w:cs="Times New Roman"/>
          <w:i/>
          <w:sz w:val="24"/>
          <w:szCs w:val="24"/>
        </w:rPr>
      </w:pPr>
      <w:r w:rsidRPr="00FB3AB0">
        <w:rPr>
          <w:rFonts w:ascii="Times New Roman" w:hAnsi="Times New Roman" w:cs="Times New Roman"/>
          <w:i/>
          <w:sz w:val="24"/>
          <w:szCs w:val="24"/>
        </w:rPr>
        <w:tab/>
      </w:r>
      <w:r w:rsidR="00861C49" w:rsidRPr="00FB3AB0">
        <w:rPr>
          <w:rFonts w:ascii="Times New Roman" w:hAnsi="Times New Roman" w:cs="Times New Roman"/>
          <w:i/>
          <w:sz w:val="24"/>
          <w:szCs w:val="24"/>
        </w:rPr>
        <w:t>This was not an issue</w:t>
      </w:r>
      <w:r w:rsidR="00861C49">
        <w:rPr>
          <w:rFonts w:ascii="Times New Roman" w:hAnsi="Times New Roman" w:cs="Times New Roman"/>
          <w:i/>
          <w:sz w:val="24"/>
          <w:szCs w:val="24"/>
        </w:rPr>
        <w:t xml:space="preserve"> that the court a quo could ign</w:t>
      </w:r>
      <w:r w:rsidR="00861C49" w:rsidRPr="00FB3AB0">
        <w:rPr>
          <w:rFonts w:ascii="Times New Roman" w:hAnsi="Times New Roman" w:cs="Times New Roman"/>
          <w:i/>
          <w:sz w:val="24"/>
          <w:szCs w:val="24"/>
        </w:rPr>
        <w:t xml:space="preserve">ore or wish away.  </w:t>
      </w:r>
      <w:r w:rsidRPr="00FB3AB0">
        <w:rPr>
          <w:rFonts w:ascii="Times New Roman" w:hAnsi="Times New Roman" w:cs="Times New Roman"/>
          <w:i/>
          <w:sz w:val="24"/>
          <w:szCs w:val="24"/>
        </w:rPr>
        <w:t>The court was obliged to consider it and decide whether the matter was properly before it…”</w:t>
      </w:r>
    </w:p>
    <w:p w:rsidR="00A072ED" w:rsidRPr="00FB3AB0" w:rsidRDefault="00A072ED" w:rsidP="00FB3AB0">
      <w:pPr>
        <w:pStyle w:val="ListParagraph"/>
        <w:spacing w:after="0" w:line="240" w:lineRule="auto"/>
        <w:jc w:val="both"/>
        <w:rPr>
          <w:rFonts w:ascii="Times New Roman" w:hAnsi="Times New Roman" w:cs="Times New Roman"/>
          <w:sz w:val="24"/>
          <w:szCs w:val="24"/>
        </w:rPr>
      </w:pPr>
    </w:p>
    <w:p w:rsidR="00A072ED" w:rsidRPr="00FB3AB0" w:rsidRDefault="00FB3AB0" w:rsidP="00FB3AB0">
      <w:pPr>
        <w:pStyle w:val="ListParagraph"/>
        <w:spacing w:after="0" w:line="360" w:lineRule="auto"/>
        <w:ind w:left="0" w:firstLine="720"/>
        <w:jc w:val="both"/>
        <w:rPr>
          <w:rFonts w:ascii="Tahoma" w:hAnsi="Tahoma" w:cs="Tahoma"/>
          <w:sz w:val="24"/>
          <w:szCs w:val="24"/>
        </w:rPr>
      </w:pPr>
      <w:r w:rsidRPr="00FB3AB0">
        <w:rPr>
          <w:rFonts w:ascii="Tahoma" w:hAnsi="Tahoma" w:cs="Tahoma"/>
          <w:sz w:val="24"/>
          <w:szCs w:val="24"/>
        </w:rPr>
        <w:t xml:space="preserve">I find the appellant’s argument to be without merit and equally </w:t>
      </w:r>
      <w:r w:rsidR="004C5D26">
        <w:rPr>
          <w:rFonts w:ascii="Tahoma" w:hAnsi="Tahoma" w:cs="Tahoma"/>
          <w:sz w:val="24"/>
          <w:szCs w:val="24"/>
        </w:rPr>
        <w:t>as well</w:t>
      </w:r>
      <w:r w:rsidRPr="00FB3AB0">
        <w:rPr>
          <w:rFonts w:ascii="Tahoma" w:hAnsi="Tahoma" w:cs="Tahoma"/>
          <w:sz w:val="24"/>
          <w:szCs w:val="24"/>
        </w:rPr>
        <w:t xml:space="preserve">, find his other argument on the </w:t>
      </w:r>
      <w:r w:rsidR="004C5D26">
        <w:rPr>
          <w:rFonts w:ascii="Tahoma" w:hAnsi="Tahoma" w:cs="Tahoma"/>
          <w:sz w:val="24"/>
          <w:szCs w:val="24"/>
        </w:rPr>
        <w:t xml:space="preserve">labour officer’s </w:t>
      </w:r>
      <w:r w:rsidRPr="00FB3AB0">
        <w:rPr>
          <w:rFonts w:ascii="Tahoma" w:hAnsi="Tahoma" w:cs="Tahoma"/>
          <w:sz w:val="24"/>
          <w:szCs w:val="24"/>
        </w:rPr>
        <w:t>reference to himself as tribunal as meritless</w:t>
      </w:r>
      <w:r>
        <w:rPr>
          <w:rFonts w:ascii="Tahoma" w:hAnsi="Tahoma" w:cs="Tahoma"/>
          <w:sz w:val="24"/>
          <w:szCs w:val="24"/>
        </w:rPr>
        <w:t xml:space="preserve">.  The word tribunal does </w:t>
      </w:r>
      <w:r w:rsidR="00083696">
        <w:rPr>
          <w:rFonts w:ascii="Tahoma" w:hAnsi="Tahoma" w:cs="Tahoma"/>
          <w:sz w:val="24"/>
          <w:szCs w:val="24"/>
        </w:rPr>
        <w:t>not change the seat from conci</w:t>
      </w:r>
      <w:r>
        <w:rPr>
          <w:rFonts w:ascii="Tahoma" w:hAnsi="Tahoma" w:cs="Tahoma"/>
          <w:sz w:val="24"/>
          <w:szCs w:val="24"/>
        </w:rPr>
        <w:t>liator to disciplinary authority.  A reading of paragraph</w:t>
      </w:r>
      <w:r w:rsidR="00083696">
        <w:rPr>
          <w:rFonts w:ascii="Tahoma" w:hAnsi="Tahoma" w:cs="Tahoma"/>
          <w:sz w:val="24"/>
          <w:szCs w:val="24"/>
        </w:rPr>
        <w:t xml:space="preserve"> </w:t>
      </w:r>
      <w:r>
        <w:rPr>
          <w:rFonts w:ascii="Tahoma" w:hAnsi="Tahoma" w:cs="Tahoma"/>
          <w:sz w:val="24"/>
          <w:szCs w:val="24"/>
        </w:rPr>
        <w:t>2 of the Labour Officer’</w:t>
      </w:r>
      <w:r w:rsidR="00083696">
        <w:rPr>
          <w:rFonts w:ascii="Tahoma" w:hAnsi="Tahoma" w:cs="Tahoma"/>
          <w:sz w:val="24"/>
          <w:szCs w:val="24"/>
        </w:rPr>
        <w:t>s min</w:t>
      </w:r>
      <w:r>
        <w:rPr>
          <w:rFonts w:ascii="Tahoma" w:hAnsi="Tahoma" w:cs="Tahoma"/>
          <w:sz w:val="24"/>
          <w:szCs w:val="24"/>
        </w:rPr>
        <w:t>utes</w:t>
      </w:r>
      <w:r w:rsidR="00083696">
        <w:rPr>
          <w:rFonts w:ascii="Tahoma" w:hAnsi="Tahoma" w:cs="Tahoma"/>
          <w:sz w:val="24"/>
          <w:szCs w:val="24"/>
        </w:rPr>
        <w:t xml:space="preserve"> </w:t>
      </w:r>
      <w:r>
        <w:rPr>
          <w:rFonts w:ascii="Tahoma" w:hAnsi="Tahoma" w:cs="Tahoma"/>
          <w:sz w:val="24"/>
          <w:szCs w:val="24"/>
        </w:rPr>
        <w:t xml:space="preserve">under FACTS OF MATTER TO THE </w:t>
      </w:r>
      <w:r w:rsidR="00861C49">
        <w:rPr>
          <w:rFonts w:ascii="Tahoma" w:hAnsi="Tahoma" w:cs="Tahoma"/>
          <w:sz w:val="24"/>
          <w:szCs w:val="24"/>
        </w:rPr>
        <w:t>RULING</w:t>
      </w:r>
      <w:r>
        <w:rPr>
          <w:rFonts w:ascii="Tahoma" w:hAnsi="Tahoma" w:cs="Tahoma"/>
          <w:sz w:val="24"/>
          <w:szCs w:val="24"/>
        </w:rPr>
        <w:t xml:space="preserve"> shows that the Labour Officer sat as a conciliator.  He states, </w:t>
      </w:r>
    </w:p>
    <w:p w:rsidR="00A072ED" w:rsidRPr="00083696" w:rsidRDefault="00083696" w:rsidP="00083696">
      <w:pPr>
        <w:pStyle w:val="ListParagraph"/>
        <w:spacing w:after="0" w:line="360" w:lineRule="auto"/>
        <w:ind w:firstLine="720"/>
        <w:jc w:val="both"/>
        <w:rPr>
          <w:rFonts w:ascii="Times New Roman" w:hAnsi="Times New Roman" w:cs="Times New Roman"/>
          <w:i/>
          <w:sz w:val="24"/>
          <w:szCs w:val="24"/>
        </w:rPr>
      </w:pPr>
      <w:r w:rsidRPr="00083696">
        <w:rPr>
          <w:rFonts w:ascii="Times New Roman" w:hAnsi="Times New Roman" w:cs="Times New Roman"/>
          <w:i/>
          <w:sz w:val="24"/>
          <w:szCs w:val="24"/>
        </w:rPr>
        <w:t>“During conciliation proceedings the respondent raised a point in limine that the matter was improperly before the Labour Officer”</w:t>
      </w:r>
    </w:p>
    <w:p w:rsidR="00A072ED" w:rsidRDefault="00A072ED" w:rsidP="00E00D86">
      <w:pPr>
        <w:pStyle w:val="ListParagraph"/>
        <w:spacing w:after="0" w:line="240" w:lineRule="auto"/>
        <w:jc w:val="both"/>
        <w:rPr>
          <w:rFonts w:ascii="Tahoma" w:hAnsi="Tahoma" w:cs="Tahoma"/>
          <w:sz w:val="24"/>
          <w:szCs w:val="24"/>
        </w:rPr>
      </w:pPr>
    </w:p>
    <w:p w:rsidR="00083696" w:rsidRDefault="00083696" w:rsidP="00B27556">
      <w:pPr>
        <w:pStyle w:val="ListParagraph"/>
        <w:spacing w:after="0" w:line="360" w:lineRule="auto"/>
        <w:jc w:val="both"/>
        <w:rPr>
          <w:rFonts w:ascii="Tahoma" w:hAnsi="Tahoma" w:cs="Tahoma"/>
          <w:sz w:val="24"/>
          <w:szCs w:val="24"/>
        </w:rPr>
      </w:pPr>
      <w:r>
        <w:rPr>
          <w:rFonts w:ascii="Tahoma" w:hAnsi="Tahoma" w:cs="Tahoma"/>
          <w:sz w:val="24"/>
          <w:szCs w:val="24"/>
        </w:rPr>
        <w:t>This 1</w:t>
      </w:r>
      <w:r w:rsidRPr="00083696">
        <w:rPr>
          <w:rFonts w:ascii="Tahoma" w:hAnsi="Tahoma" w:cs="Tahoma"/>
          <w:sz w:val="24"/>
          <w:szCs w:val="24"/>
          <w:vertAlign w:val="superscript"/>
        </w:rPr>
        <w:t>st</w:t>
      </w:r>
      <w:r>
        <w:rPr>
          <w:rFonts w:ascii="Tahoma" w:hAnsi="Tahoma" w:cs="Tahoma"/>
          <w:sz w:val="24"/>
          <w:szCs w:val="24"/>
        </w:rPr>
        <w:t xml:space="preserve"> ground of appeal being devoid of merit is therefore dismissed.</w:t>
      </w:r>
    </w:p>
    <w:p w:rsidR="00083696" w:rsidRDefault="00083696" w:rsidP="00E00D86">
      <w:pPr>
        <w:pStyle w:val="ListParagraph"/>
        <w:spacing w:after="0" w:line="240" w:lineRule="auto"/>
        <w:jc w:val="both"/>
        <w:rPr>
          <w:rFonts w:ascii="Tahoma" w:hAnsi="Tahoma" w:cs="Tahoma"/>
          <w:sz w:val="24"/>
          <w:szCs w:val="24"/>
        </w:rPr>
      </w:pPr>
    </w:p>
    <w:p w:rsidR="00E00D86" w:rsidRDefault="00083696" w:rsidP="00E00D86">
      <w:pPr>
        <w:pStyle w:val="ListParagraph"/>
        <w:spacing w:after="0" w:line="360" w:lineRule="auto"/>
        <w:ind w:left="0" w:firstLine="900"/>
        <w:jc w:val="both"/>
        <w:rPr>
          <w:rFonts w:ascii="Tahoma" w:hAnsi="Tahoma" w:cs="Tahoma"/>
          <w:sz w:val="24"/>
          <w:szCs w:val="24"/>
        </w:rPr>
      </w:pPr>
      <w:r>
        <w:rPr>
          <w:rFonts w:ascii="Tahoma" w:hAnsi="Tahoma" w:cs="Tahoma"/>
          <w:sz w:val="24"/>
          <w:szCs w:val="24"/>
        </w:rPr>
        <w:t xml:space="preserve">As regards ground 2, the record is very clear that the respondent raised the point that the matter had been prematurely referred to the Labour Officer as the 30 day period within which disciplinary proceedings had to be determined, was interrupted by COVID.  This was the bone of contention in respondent’s opposition filed of record.  It was respondent’s prayer that the Labour Officer orders that the referral of the matter to the Labour Officer was done in contravention of the Code </w:t>
      </w:r>
      <w:r w:rsidR="004C5D26">
        <w:rPr>
          <w:rFonts w:ascii="Tahoma" w:hAnsi="Tahoma" w:cs="Tahoma"/>
          <w:sz w:val="24"/>
          <w:szCs w:val="24"/>
        </w:rPr>
        <w:t xml:space="preserve">as </w:t>
      </w:r>
      <w:r>
        <w:rPr>
          <w:rFonts w:ascii="Tahoma" w:hAnsi="Tahoma" w:cs="Tahoma"/>
          <w:sz w:val="24"/>
          <w:szCs w:val="24"/>
        </w:rPr>
        <w:t xml:space="preserve">the 30 days period had not yet </w:t>
      </w:r>
      <w:r w:rsidR="004C5D26">
        <w:rPr>
          <w:rFonts w:ascii="Tahoma" w:hAnsi="Tahoma" w:cs="Tahoma"/>
          <w:sz w:val="24"/>
          <w:szCs w:val="24"/>
        </w:rPr>
        <w:t xml:space="preserve"> lapsed du</w:t>
      </w:r>
      <w:r w:rsidR="00E00D86">
        <w:rPr>
          <w:rFonts w:ascii="Tahoma" w:hAnsi="Tahoma" w:cs="Tahoma"/>
          <w:sz w:val="24"/>
          <w:szCs w:val="24"/>
        </w:rPr>
        <w:t xml:space="preserve">e to interruption of the period due to the pandemic of the corona virus.  Respondent relied mainly on the doctrine of force majeure to support its argument.  </w:t>
      </w:r>
      <w:r w:rsidR="00861C49">
        <w:rPr>
          <w:rFonts w:ascii="Tahoma" w:hAnsi="Tahoma" w:cs="Tahoma"/>
          <w:sz w:val="24"/>
          <w:szCs w:val="24"/>
        </w:rPr>
        <w:t>It also</w:t>
      </w:r>
      <w:r w:rsidR="00E00D86">
        <w:rPr>
          <w:rFonts w:ascii="Tahoma" w:hAnsi="Tahoma" w:cs="Tahoma"/>
          <w:sz w:val="24"/>
          <w:szCs w:val="24"/>
        </w:rPr>
        <w:t xml:space="preserve"> prayed that the matter be remitted to the employer to carry on with the disciplinary hearing.  On the date of the conciliation proceedings (6</w:t>
      </w:r>
      <w:r w:rsidR="00E00D86" w:rsidRPr="00E00D86">
        <w:rPr>
          <w:rFonts w:ascii="Tahoma" w:hAnsi="Tahoma" w:cs="Tahoma"/>
          <w:sz w:val="24"/>
          <w:szCs w:val="24"/>
          <w:vertAlign w:val="superscript"/>
        </w:rPr>
        <w:t>th</w:t>
      </w:r>
      <w:r w:rsidR="00E00D86">
        <w:rPr>
          <w:rFonts w:ascii="Tahoma" w:hAnsi="Tahoma" w:cs="Tahoma"/>
          <w:sz w:val="24"/>
          <w:szCs w:val="24"/>
        </w:rPr>
        <w:t xml:space="preserve"> October, 2020) the point was persisted with and a ruling on it was issued.</w:t>
      </w:r>
    </w:p>
    <w:p w:rsidR="00E00D86" w:rsidRDefault="00E00D86" w:rsidP="00B27556">
      <w:pPr>
        <w:pStyle w:val="ListParagraph"/>
        <w:spacing w:after="0" w:line="360" w:lineRule="auto"/>
        <w:jc w:val="both"/>
        <w:rPr>
          <w:rFonts w:ascii="Tahoma" w:hAnsi="Tahoma" w:cs="Tahoma"/>
          <w:sz w:val="24"/>
          <w:szCs w:val="24"/>
        </w:rPr>
      </w:pPr>
    </w:p>
    <w:p w:rsidR="00E00D86" w:rsidRDefault="00F800C5" w:rsidP="00F800C5">
      <w:pPr>
        <w:pStyle w:val="ListParagraph"/>
        <w:spacing w:after="0" w:line="360" w:lineRule="auto"/>
        <w:ind w:left="0" w:firstLine="720"/>
        <w:jc w:val="both"/>
        <w:rPr>
          <w:rFonts w:ascii="Tahoma" w:hAnsi="Tahoma" w:cs="Tahoma"/>
          <w:sz w:val="24"/>
          <w:szCs w:val="24"/>
        </w:rPr>
      </w:pPr>
      <w:r>
        <w:rPr>
          <w:rFonts w:ascii="Tahoma" w:hAnsi="Tahoma" w:cs="Tahoma"/>
          <w:sz w:val="24"/>
          <w:szCs w:val="24"/>
        </w:rPr>
        <w:t xml:space="preserve">In paragraph 12 of his response to respondent’s opposition and before the Labour Officer, applicant responded that the matter was properly referred to the Labour Officer.  It is clear therefore that the point was raised by Respondent, responded to by applicant and the Labour Officer made a ruling on it.  It is therefore not correct that the Labour Officer MERO MOTU held that the matter was prematurely referred to him.  From a reading of the ground it is clear that appellant is not attacking the Labour Officer’s ruling on the basis that he erred or misdirected himself in accepting that the doctrine of force majeure </w:t>
      </w:r>
      <w:r w:rsidR="00EE6C7A">
        <w:rPr>
          <w:rFonts w:ascii="Tahoma" w:hAnsi="Tahoma" w:cs="Tahoma"/>
          <w:sz w:val="24"/>
          <w:szCs w:val="24"/>
        </w:rPr>
        <w:t>applied in this case.  I will therefore not dwell on the issue of force majeure.</w:t>
      </w:r>
    </w:p>
    <w:p w:rsidR="00EE6C7A" w:rsidRDefault="00EE6C7A" w:rsidP="00F800C5">
      <w:pPr>
        <w:pStyle w:val="ListParagraph"/>
        <w:spacing w:after="0" w:line="360" w:lineRule="auto"/>
        <w:ind w:left="0" w:firstLine="720"/>
        <w:jc w:val="both"/>
        <w:rPr>
          <w:rFonts w:ascii="Tahoma" w:hAnsi="Tahoma" w:cs="Tahoma"/>
          <w:sz w:val="24"/>
          <w:szCs w:val="24"/>
        </w:rPr>
      </w:pPr>
    </w:p>
    <w:p w:rsidR="00EE6C7A" w:rsidRPr="00EE6C7A" w:rsidRDefault="00EE6C7A" w:rsidP="00EE6C7A">
      <w:pPr>
        <w:pStyle w:val="ListParagraph"/>
        <w:spacing w:after="0" w:line="360" w:lineRule="auto"/>
        <w:ind w:left="0" w:firstLine="720"/>
        <w:jc w:val="both"/>
        <w:rPr>
          <w:rFonts w:ascii="Tahoma" w:hAnsi="Tahoma" w:cs="Tahoma"/>
          <w:sz w:val="24"/>
          <w:szCs w:val="24"/>
        </w:rPr>
      </w:pPr>
      <w:r>
        <w:rPr>
          <w:rFonts w:ascii="Tahoma" w:hAnsi="Tahoma" w:cs="Tahoma"/>
          <w:sz w:val="24"/>
          <w:szCs w:val="24"/>
        </w:rPr>
        <w:t>This ground of appeal is also devoid of merit</w:t>
      </w:r>
      <w:r>
        <w:rPr>
          <w:rFonts w:ascii="Tahoma" w:hAnsi="Tahoma" w:cs="Tahoma"/>
          <w:sz w:val="24"/>
          <w:szCs w:val="24"/>
        </w:rPr>
        <w:tab/>
      </w:r>
    </w:p>
    <w:p w:rsidR="00B27556" w:rsidRDefault="00EE6C7A" w:rsidP="00B27556">
      <w:pPr>
        <w:spacing w:after="0" w:line="360" w:lineRule="auto"/>
        <w:jc w:val="both"/>
        <w:rPr>
          <w:rFonts w:ascii="Tahoma" w:hAnsi="Tahoma" w:cs="Tahoma"/>
          <w:sz w:val="24"/>
          <w:szCs w:val="24"/>
        </w:rPr>
      </w:pPr>
      <w:r>
        <w:rPr>
          <w:rFonts w:ascii="Tahoma" w:hAnsi="Tahoma" w:cs="Tahoma"/>
          <w:sz w:val="24"/>
          <w:szCs w:val="24"/>
        </w:rPr>
        <w:tab/>
        <w:t>Ground number 3 is also baseless in my view.</w:t>
      </w:r>
      <w:r w:rsidR="004C5D26">
        <w:rPr>
          <w:rFonts w:ascii="Tahoma" w:hAnsi="Tahoma" w:cs="Tahoma"/>
          <w:sz w:val="24"/>
          <w:szCs w:val="24"/>
        </w:rPr>
        <w:t xml:space="preserve">  Having found that the matter w</w:t>
      </w:r>
      <w:r>
        <w:rPr>
          <w:rFonts w:ascii="Tahoma" w:hAnsi="Tahoma" w:cs="Tahoma"/>
          <w:sz w:val="24"/>
          <w:szCs w:val="24"/>
        </w:rPr>
        <w:t xml:space="preserve">as prematurely referred to him, it followed that the Labour Officer could not entertain any other point placed before him.  In essence by so finding he was declining jurisdiction, he was stating that at that point in time, he had no jurisdiction to entertain the matter.  The matter ended there.  Proceeding to consider the point of jurisdiction as raised by appellant was just going to </w:t>
      </w:r>
      <w:r w:rsidR="004C5D26">
        <w:rPr>
          <w:rFonts w:ascii="Tahoma" w:hAnsi="Tahoma" w:cs="Tahoma"/>
          <w:sz w:val="24"/>
          <w:szCs w:val="24"/>
        </w:rPr>
        <w:t xml:space="preserve">be </w:t>
      </w:r>
      <w:r w:rsidR="00D75AA1">
        <w:rPr>
          <w:rFonts w:ascii="Tahoma" w:hAnsi="Tahoma" w:cs="Tahoma"/>
          <w:sz w:val="24"/>
          <w:szCs w:val="24"/>
        </w:rPr>
        <w:t>an exercise</w:t>
      </w:r>
      <w:bookmarkStart w:id="0" w:name="_GoBack"/>
      <w:bookmarkEnd w:id="0"/>
      <w:r>
        <w:rPr>
          <w:rFonts w:ascii="Tahoma" w:hAnsi="Tahoma" w:cs="Tahoma"/>
          <w:sz w:val="24"/>
          <w:szCs w:val="24"/>
        </w:rPr>
        <w:t xml:space="preserve"> in futility.</w:t>
      </w:r>
    </w:p>
    <w:p w:rsidR="00EE6C7A" w:rsidRDefault="00EE6C7A" w:rsidP="00ED2AB7">
      <w:pPr>
        <w:spacing w:after="0" w:line="240" w:lineRule="auto"/>
        <w:jc w:val="both"/>
        <w:rPr>
          <w:rFonts w:ascii="Tahoma" w:hAnsi="Tahoma" w:cs="Tahoma"/>
          <w:sz w:val="24"/>
          <w:szCs w:val="24"/>
        </w:rPr>
      </w:pPr>
    </w:p>
    <w:p w:rsidR="00EE6C7A" w:rsidRDefault="00EE6C7A" w:rsidP="00B27556">
      <w:pPr>
        <w:spacing w:after="0" w:line="360" w:lineRule="auto"/>
        <w:jc w:val="both"/>
        <w:rPr>
          <w:rFonts w:ascii="Tahoma" w:hAnsi="Tahoma" w:cs="Tahoma"/>
          <w:sz w:val="24"/>
          <w:szCs w:val="24"/>
        </w:rPr>
      </w:pPr>
      <w:r>
        <w:rPr>
          <w:rFonts w:ascii="Tahoma" w:hAnsi="Tahoma" w:cs="Tahoma"/>
          <w:sz w:val="24"/>
          <w:szCs w:val="24"/>
        </w:rPr>
        <w:tab/>
        <w:t xml:space="preserve">In Gwaradzimba case (supra) </w:t>
      </w:r>
      <w:r w:rsidR="00615DFD">
        <w:rPr>
          <w:rFonts w:ascii="Tahoma" w:hAnsi="Tahoma" w:cs="Tahoma"/>
          <w:sz w:val="24"/>
          <w:szCs w:val="24"/>
        </w:rPr>
        <w:t>the point was made,</w:t>
      </w:r>
    </w:p>
    <w:p w:rsidR="00615DFD" w:rsidRDefault="00615DFD" w:rsidP="00ED2AB7">
      <w:pPr>
        <w:spacing w:after="0" w:line="240" w:lineRule="auto"/>
        <w:jc w:val="both"/>
        <w:rPr>
          <w:rFonts w:ascii="Tahoma" w:hAnsi="Tahoma" w:cs="Tahoma"/>
          <w:sz w:val="24"/>
          <w:szCs w:val="24"/>
        </w:rPr>
      </w:pPr>
    </w:p>
    <w:p w:rsidR="00615DFD" w:rsidRPr="00ED2AB7" w:rsidRDefault="00615DFD" w:rsidP="00ED2AB7">
      <w:pPr>
        <w:spacing w:after="0" w:line="360" w:lineRule="auto"/>
        <w:ind w:left="720" w:firstLine="720"/>
        <w:jc w:val="both"/>
        <w:rPr>
          <w:rFonts w:ascii="Times New Roman" w:hAnsi="Times New Roman" w:cs="Times New Roman"/>
          <w:i/>
          <w:sz w:val="24"/>
          <w:szCs w:val="24"/>
        </w:rPr>
      </w:pPr>
      <w:r w:rsidRPr="00ED2AB7">
        <w:rPr>
          <w:rFonts w:ascii="Times New Roman" w:hAnsi="Times New Roman" w:cs="Times New Roman"/>
          <w:i/>
          <w:sz w:val="24"/>
          <w:szCs w:val="24"/>
        </w:rPr>
        <w:t>“In general, I agree wi</w:t>
      </w:r>
      <w:r w:rsidR="004C5D26">
        <w:rPr>
          <w:rFonts w:ascii="Times New Roman" w:hAnsi="Times New Roman" w:cs="Times New Roman"/>
          <w:i/>
          <w:sz w:val="24"/>
          <w:szCs w:val="24"/>
        </w:rPr>
        <w:t>th respondent’s submission that, i</w:t>
      </w:r>
      <w:r w:rsidRPr="00ED2AB7">
        <w:rPr>
          <w:rFonts w:ascii="Times New Roman" w:hAnsi="Times New Roman" w:cs="Times New Roman"/>
          <w:i/>
          <w:sz w:val="24"/>
          <w:szCs w:val="24"/>
        </w:rPr>
        <w:t>n a case where a number of issues are raised, it is not always incumbent upon the court to deal with each and every issue raised in argument by the parties.  It is also correct that a court may well take the view that, in view of its findings on a particular</w:t>
      </w:r>
      <w:r w:rsidR="00ED2AB7" w:rsidRPr="00ED2AB7">
        <w:rPr>
          <w:rFonts w:ascii="Times New Roman" w:hAnsi="Times New Roman" w:cs="Times New Roman"/>
          <w:i/>
          <w:sz w:val="24"/>
          <w:szCs w:val="24"/>
        </w:rPr>
        <w:t xml:space="preserve"> issue, it may not </w:t>
      </w:r>
      <w:r w:rsidRPr="00ED2AB7">
        <w:rPr>
          <w:rFonts w:ascii="Times New Roman" w:hAnsi="Times New Roman" w:cs="Times New Roman"/>
          <w:i/>
          <w:sz w:val="24"/>
          <w:szCs w:val="24"/>
        </w:rPr>
        <w:t xml:space="preserve">be necessary to deal with the remaining issues raised.  However this </w:t>
      </w:r>
      <w:r w:rsidR="004C5D26">
        <w:rPr>
          <w:rFonts w:ascii="Times New Roman" w:hAnsi="Times New Roman" w:cs="Times New Roman"/>
          <w:i/>
          <w:sz w:val="24"/>
          <w:szCs w:val="24"/>
        </w:rPr>
        <w:t xml:space="preserve">is </w:t>
      </w:r>
      <w:r w:rsidRPr="00ED2AB7">
        <w:rPr>
          <w:rFonts w:ascii="Times New Roman" w:hAnsi="Times New Roman" w:cs="Times New Roman"/>
          <w:i/>
          <w:sz w:val="24"/>
          <w:szCs w:val="24"/>
        </w:rPr>
        <w:t xml:space="preserve">subject to the rider </w:t>
      </w:r>
      <w:r w:rsidR="00ED2AB7" w:rsidRPr="00ED2AB7">
        <w:rPr>
          <w:rFonts w:ascii="Times New Roman" w:hAnsi="Times New Roman" w:cs="Times New Roman"/>
          <w:i/>
          <w:sz w:val="24"/>
          <w:szCs w:val="24"/>
        </w:rPr>
        <w:t>that the issue that is determined in these circumstances must be one capable of finally disposing of the matter,”</w:t>
      </w:r>
    </w:p>
    <w:p w:rsidR="00EE6C7A" w:rsidRDefault="00EE6C7A" w:rsidP="004A1361">
      <w:pPr>
        <w:spacing w:after="0" w:line="240" w:lineRule="auto"/>
        <w:jc w:val="both"/>
        <w:rPr>
          <w:rFonts w:ascii="Tahoma" w:hAnsi="Tahoma" w:cs="Tahoma"/>
          <w:sz w:val="24"/>
          <w:szCs w:val="24"/>
        </w:rPr>
      </w:pPr>
    </w:p>
    <w:p w:rsidR="00ED2AB7" w:rsidRDefault="00ED2AB7" w:rsidP="00B27556">
      <w:pPr>
        <w:spacing w:after="0" w:line="360" w:lineRule="auto"/>
        <w:jc w:val="both"/>
        <w:rPr>
          <w:rFonts w:ascii="Tahoma" w:hAnsi="Tahoma" w:cs="Tahoma"/>
          <w:sz w:val="24"/>
          <w:szCs w:val="24"/>
        </w:rPr>
      </w:pPr>
      <w:r>
        <w:rPr>
          <w:rFonts w:ascii="Tahoma" w:hAnsi="Tahoma" w:cs="Tahoma"/>
          <w:sz w:val="24"/>
          <w:szCs w:val="24"/>
        </w:rPr>
        <w:tab/>
        <w:t>In casu, in ruling that the matter was prematurely referred to him, the Labour Officer disposed of the matter at that juncture and there was therefore no need for him to address the point r</w:t>
      </w:r>
      <w:r w:rsidR="004A1361">
        <w:rPr>
          <w:rFonts w:ascii="Tahoma" w:hAnsi="Tahoma" w:cs="Tahoma"/>
          <w:sz w:val="24"/>
          <w:szCs w:val="24"/>
        </w:rPr>
        <w:t>aised by appellant.  The matter ended at that point.</w:t>
      </w:r>
    </w:p>
    <w:p w:rsidR="004A1361" w:rsidRDefault="004A1361" w:rsidP="004A1361">
      <w:pPr>
        <w:spacing w:after="0" w:line="240" w:lineRule="auto"/>
        <w:jc w:val="both"/>
        <w:rPr>
          <w:rFonts w:ascii="Tahoma" w:hAnsi="Tahoma" w:cs="Tahoma"/>
          <w:sz w:val="24"/>
          <w:szCs w:val="24"/>
        </w:rPr>
      </w:pPr>
    </w:p>
    <w:p w:rsidR="004A1361" w:rsidRDefault="004A1361" w:rsidP="00B27556">
      <w:pPr>
        <w:spacing w:after="0" w:line="360" w:lineRule="auto"/>
        <w:jc w:val="both"/>
        <w:rPr>
          <w:rFonts w:ascii="Tahoma" w:hAnsi="Tahoma" w:cs="Tahoma"/>
          <w:sz w:val="24"/>
          <w:szCs w:val="24"/>
        </w:rPr>
      </w:pPr>
      <w:r>
        <w:rPr>
          <w:rFonts w:ascii="Tahoma" w:hAnsi="Tahoma" w:cs="Tahoma"/>
          <w:sz w:val="24"/>
          <w:szCs w:val="24"/>
        </w:rPr>
        <w:tab/>
        <w:t>This ground suffers the same fate as grounds 1 and 2.  It is equally dismissed.</w:t>
      </w:r>
    </w:p>
    <w:p w:rsidR="00ED2AB7" w:rsidRDefault="00ED2AB7" w:rsidP="00B27556">
      <w:pPr>
        <w:spacing w:after="0" w:line="360" w:lineRule="auto"/>
        <w:jc w:val="both"/>
        <w:rPr>
          <w:rFonts w:ascii="Tahoma" w:hAnsi="Tahoma" w:cs="Tahoma"/>
          <w:sz w:val="24"/>
          <w:szCs w:val="24"/>
        </w:rPr>
      </w:pPr>
    </w:p>
    <w:p w:rsidR="00ED2AB7" w:rsidRDefault="004A1361" w:rsidP="00B27556">
      <w:pPr>
        <w:spacing w:after="0" w:line="360" w:lineRule="auto"/>
        <w:jc w:val="both"/>
        <w:rPr>
          <w:rFonts w:ascii="Tahoma" w:hAnsi="Tahoma" w:cs="Tahoma"/>
          <w:sz w:val="24"/>
          <w:szCs w:val="24"/>
        </w:rPr>
      </w:pPr>
      <w:r>
        <w:rPr>
          <w:rFonts w:ascii="Tahoma" w:hAnsi="Tahoma" w:cs="Tahoma"/>
          <w:sz w:val="24"/>
          <w:szCs w:val="24"/>
        </w:rPr>
        <w:tab/>
        <w:t>Appellant’s all grounds having failed, it is ordered that the appeal be and is hereby dismissed with costs on the ordinary scale.</w:t>
      </w:r>
    </w:p>
    <w:p w:rsidR="00ED2AB7" w:rsidRPr="00EE6C7A" w:rsidRDefault="00ED2AB7" w:rsidP="00B27556">
      <w:pPr>
        <w:spacing w:after="0" w:line="360" w:lineRule="auto"/>
        <w:jc w:val="both"/>
        <w:rPr>
          <w:rFonts w:ascii="Tahoma" w:hAnsi="Tahoma" w:cs="Tahoma"/>
          <w:sz w:val="24"/>
          <w:szCs w:val="24"/>
        </w:rPr>
      </w:pPr>
    </w:p>
    <w:p w:rsidR="00410F12" w:rsidRDefault="00410F12" w:rsidP="00410F12">
      <w:pPr>
        <w:spacing w:after="0" w:line="360" w:lineRule="auto"/>
        <w:rPr>
          <w:rFonts w:ascii="Tahoma" w:hAnsi="Tahoma" w:cs="Tahoma"/>
          <w:sz w:val="24"/>
          <w:szCs w:val="24"/>
        </w:rPr>
      </w:pPr>
    </w:p>
    <w:p w:rsidR="00410F12" w:rsidRPr="00540494" w:rsidRDefault="00410F12" w:rsidP="00410F12">
      <w:pPr>
        <w:spacing w:after="0" w:line="360" w:lineRule="auto"/>
        <w:rPr>
          <w:rFonts w:ascii="Tahoma" w:hAnsi="Tahoma" w:cs="Tahoma"/>
          <w:b/>
          <w:i/>
          <w:sz w:val="24"/>
          <w:szCs w:val="24"/>
        </w:rPr>
      </w:pPr>
      <w:r>
        <w:rPr>
          <w:rFonts w:ascii="Tahoma" w:hAnsi="Tahoma" w:cs="Tahoma"/>
          <w:b/>
          <w:i/>
          <w:sz w:val="24"/>
          <w:szCs w:val="24"/>
        </w:rPr>
        <w:t>MESSRS LAWMAN LAW CHAMBERS – Appellant’s practitioners</w:t>
      </w:r>
    </w:p>
    <w:p w:rsidR="00410F12" w:rsidRDefault="00410F12" w:rsidP="00410F12">
      <w:pPr>
        <w:spacing w:after="0" w:line="360" w:lineRule="auto"/>
        <w:rPr>
          <w:rFonts w:ascii="Tahoma" w:hAnsi="Tahoma" w:cs="Tahoma"/>
          <w:b/>
          <w:i/>
          <w:sz w:val="24"/>
          <w:szCs w:val="24"/>
        </w:rPr>
      </w:pPr>
      <w:r>
        <w:rPr>
          <w:rFonts w:ascii="Tahoma" w:hAnsi="Tahoma" w:cs="Tahoma"/>
          <w:b/>
          <w:i/>
          <w:sz w:val="24"/>
          <w:szCs w:val="24"/>
        </w:rPr>
        <w:t>MUVIRIMI LAW CHAMBERS</w:t>
      </w:r>
      <w:r w:rsidRPr="009802E9">
        <w:rPr>
          <w:rFonts w:ascii="Tahoma" w:hAnsi="Tahoma" w:cs="Tahoma"/>
          <w:b/>
          <w:i/>
          <w:sz w:val="24"/>
          <w:szCs w:val="24"/>
        </w:rPr>
        <w:t>– Respondent’s legal practitioners</w:t>
      </w:r>
    </w:p>
    <w:p w:rsidR="000C61ED" w:rsidRPr="00410F12" w:rsidRDefault="000C61ED" w:rsidP="00410F12"/>
    <w:sectPr w:rsidR="000C61ED" w:rsidRPr="00410F12"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B91" w:rsidRDefault="004C6B91" w:rsidP="007C5CA3">
      <w:pPr>
        <w:spacing w:after="0" w:line="240" w:lineRule="auto"/>
      </w:pPr>
      <w:r>
        <w:separator/>
      </w:r>
    </w:p>
  </w:endnote>
  <w:endnote w:type="continuationSeparator" w:id="0">
    <w:p w:rsidR="004C6B91" w:rsidRDefault="004C6B91"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D75AA1">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B91" w:rsidRDefault="004C6B91" w:rsidP="007C5CA3">
      <w:pPr>
        <w:spacing w:after="0" w:line="240" w:lineRule="auto"/>
      </w:pPr>
      <w:r>
        <w:separator/>
      </w:r>
    </w:p>
  </w:footnote>
  <w:footnote w:type="continuationSeparator" w:id="0">
    <w:p w:rsidR="004C6B91" w:rsidRDefault="004C6B91"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4B6265">
      <w:rPr>
        <w:rFonts w:ascii="Tahoma" w:hAnsi="Tahoma" w:cs="Tahoma"/>
        <w:b/>
        <w:sz w:val="24"/>
        <w:szCs w:val="24"/>
      </w:rPr>
      <w:t>117</w:t>
    </w:r>
    <w:r w:rsidR="000E1A24" w:rsidRPr="000E1A24">
      <w:rPr>
        <w:rFonts w:ascii="Tahoma" w:hAnsi="Tahoma" w:cs="Tahoma"/>
        <w:b/>
        <w:sz w:val="24"/>
        <w:szCs w:val="24"/>
      </w:rPr>
      <w:t>/</w:t>
    </w:r>
    <w:r w:rsidR="00F512E8">
      <w:rPr>
        <w:rFonts w:ascii="Tahoma" w:hAnsi="Tahoma" w:cs="Tahoma"/>
        <w:b/>
        <w:sz w:val="24"/>
        <w:szCs w:val="24"/>
      </w:rPr>
      <w:t>2</w:t>
    </w:r>
    <w:r w:rsidR="000C61ED">
      <w:rPr>
        <w:rFonts w:ascii="Tahoma" w:hAnsi="Tahoma" w:cs="Tahoma"/>
        <w:b/>
        <w:sz w:val="24"/>
        <w:szCs w:val="24"/>
      </w:rPr>
      <w:t>1</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26166550"/>
    <w:multiLevelType w:val="hybridMultilevel"/>
    <w:tmpl w:val="A6EE8E8E"/>
    <w:lvl w:ilvl="0" w:tplc="6290827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9">
    <w:nsid w:val="61D26F96"/>
    <w:multiLevelType w:val="hybridMultilevel"/>
    <w:tmpl w:val="F806ABE2"/>
    <w:lvl w:ilvl="0" w:tplc="E338743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3">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10"/>
  </w:num>
  <w:num w:numId="3">
    <w:abstractNumId w:val="5"/>
  </w:num>
  <w:num w:numId="4">
    <w:abstractNumId w:val="0"/>
  </w:num>
  <w:num w:numId="5">
    <w:abstractNumId w:val="12"/>
  </w:num>
  <w:num w:numId="6">
    <w:abstractNumId w:val="7"/>
  </w:num>
  <w:num w:numId="7">
    <w:abstractNumId w:val="1"/>
  </w:num>
  <w:num w:numId="8">
    <w:abstractNumId w:val="8"/>
  </w:num>
  <w:num w:numId="9">
    <w:abstractNumId w:val="11"/>
  </w:num>
  <w:num w:numId="10">
    <w:abstractNumId w:val="6"/>
  </w:num>
  <w:num w:numId="11">
    <w:abstractNumId w:val="2"/>
  </w:num>
  <w:num w:numId="12">
    <w:abstractNumId w:val="13"/>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08BC"/>
    <w:rsid w:val="00011069"/>
    <w:rsid w:val="00017EFA"/>
    <w:rsid w:val="00023132"/>
    <w:rsid w:val="00025B6C"/>
    <w:rsid w:val="00025D19"/>
    <w:rsid w:val="000269B7"/>
    <w:rsid w:val="000330C0"/>
    <w:rsid w:val="0003571E"/>
    <w:rsid w:val="00040041"/>
    <w:rsid w:val="00043BB2"/>
    <w:rsid w:val="000449EA"/>
    <w:rsid w:val="000501E6"/>
    <w:rsid w:val="000550D5"/>
    <w:rsid w:val="0005610B"/>
    <w:rsid w:val="00062DEC"/>
    <w:rsid w:val="0006785C"/>
    <w:rsid w:val="00073B99"/>
    <w:rsid w:val="00074C1D"/>
    <w:rsid w:val="00083696"/>
    <w:rsid w:val="00090C20"/>
    <w:rsid w:val="0009112F"/>
    <w:rsid w:val="00093A54"/>
    <w:rsid w:val="00095E28"/>
    <w:rsid w:val="000A0351"/>
    <w:rsid w:val="000A07BC"/>
    <w:rsid w:val="000C61ED"/>
    <w:rsid w:val="000D1A1E"/>
    <w:rsid w:val="000D4276"/>
    <w:rsid w:val="000D5D9F"/>
    <w:rsid w:val="000D6E56"/>
    <w:rsid w:val="000E1A24"/>
    <w:rsid w:val="000E1D81"/>
    <w:rsid w:val="000E2D16"/>
    <w:rsid w:val="000E5A35"/>
    <w:rsid w:val="001059DC"/>
    <w:rsid w:val="0011530D"/>
    <w:rsid w:val="00121584"/>
    <w:rsid w:val="00127584"/>
    <w:rsid w:val="00131493"/>
    <w:rsid w:val="001327BC"/>
    <w:rsid w:val="0013390D"/>
    <w:rsid w:val="0014037C"/>
    <w:rsid w:val="00140F14"/>
    <w:rsid w:val="00144FCC"/>
    <w:rsid w:val="00150174"/>
    <w:rsid w:val="001510E9"/>
    <w:rsid w:val="00176651"/>
    <w:rsid w:val="0018688E"/>
    <w:rsid w:val="00192EC2"/>
    <w:rsid w:val="001A037B"/>
    <w:rsid w:val="001A3916"/>
    <w:rsid w:val="001B520A"/>
    <w:rsid w:val="001B5CA8"/>
    <w:rsid w:val="001B7DFE"/>
    <w:rsid w:val="001E59E3"/>
    <w:rsid w:val="001F245A"/>
    <w:rsid w:val="001F2A28"/>
    <w:rsid w:val="001F6C80"/>
    <w:rsid w:val="002059A1"/>
    <w:rsid w:val="002101CD"/>
    <w:rsid w:val="00210280"/>
    <w:rsid w:val="002131B9"/>
    <w:rsid w:val="00244B99"/>
    <w:rsid w:val="00246FAB"/>
    <w:rsid w:val="00250097"/>
    <w:rsid w:val="00250EC3"/>
    <w:rsid w:val="00257D13"/>
    <w:rsid w:val="00257EAA"/>
    <w:rsid w:val="002708FC"/>
    <w:rsid w:val="00276D4A"/>
    <w:rsid w:val="002813AD"/>
    <w:rsid w:val="00293474"/>
    <w:rsid w:val="00295B65"/>
    <w:rsid w:val="002972ED"/>
    <w:rsid w:val="002A3347"/>
    <w:rsid w:val="002A4EA4"/>
    <w:rsid w:val="002B042E"/>
    <w:rsid w:val="002C1D35"/>
    <w:rsid w:val="002C7EF3"/>
    <w:rsid w:val="002D0332"/>
    <w:rsid w:val="002E1FE1"/>
    <w:rsid w:val="002E229C"/>
    <w:rsid w:val="002E7C20"/>
    <w:rsid w:val="002F5298"/>
    <w:rsid w:val="002F5836"/>
    <w:rsid w:val="002F7414"/>
    <w:rsid w:val="003102CF"/>
    <w:rsid w:val="00320D70"/>
    <w:rsid w:val="00325625"/>
    <w:rsid w:val="00333A04"/>
    <w:rsid w:val="00335437"/>
    <w:rsid w:val="00345C9C"/>
    <w:rsid w:val="00352819"/>
    <w:rsid w:val="003571DC"/>
    <w:rsid w:val="003732BA"/>
    <w:rsid w:val="003744B2"/>
    <w:rsid w:val="00375E60"/>
    <w:rsid w:val="003B073C"/>
    <w:rsid w:val="003B2DAE"/>
    <w:rsid w:val="003C1461"/>
    <w:rsid w:val="003C4704"/>
    <w:rsid w:val="003C673B"/>
    <w:rsid w:val="003E0ACA"/>
    <w:rsid w:val="003E58BF"/>
    <w:rsid w:val="003E7494"/>
    <w:rsid w:val="00402716"/>
    <w:rsid w:val="00410F12"/>
    <w:rsid w:val="00421421"/>
    <w:rsid w:val="00421D94"/>
    <w:rsid w:val="00435CF9"/>
    <w:rsid w:val="004403C4"/>
    <w:rsid w:val="00443D09"/>
    <w:rsid w:val="00450F2A"/>
    <w:rsid w:val="00452BD6"/>
    <w:rsid w:val="00453430"/>
    <w:rsid w:val="0045597D"/>
    <w:rsid w:val="0046134D"/>
    <w:rsid w:val="0046724B"/>
    <w:rsid w:val="00471F6B"/>
    <w:rsid w:val="004737A1"/>
    <w:rsid w:val="004770D4"/>
    <w:rsid w:val="00480F5B"/>
    <w:rsid w:val="00481C4E"/>
    <w:rsid w:val="00483B95"/>
    <w:rsid w:val="00485EFC"/>
    <w:rsid w:val="004905CF"/>
    <w:rsid w:val="00490FE1"/>
    <w:rsid w:val="004927A7"/>
    <w:rsid w:val="004A1361"/>
    <w:rsid w:val="004A67E0"/>
    <w:rsid w:val="004B6265"/>
    <w:rsid w:val="004B7711"/>
    <w:rsid w:val="004C0E8D"/>
    <w:rsid w:val="004C3334"/>
    <w:rsid w:val="004C5D26"/>
    <w:rsid w:val="004C6B91"/>
    <w:rsid w:val="004D303B"/>
    <w:rsid w:val="004E2B68"/>
    <w:rsid w:val="004E6DBC"/>
    <w:rsid w:val="00506C51"/>
    <w:rsid w:val="005105BE"/>
    <w:rsid w:val="00521048"/>
    <w:rsid w:val="005219C0"/>
    <w:rsid w:val="00524234"/>
    <w:rsid w:val="00525555"/>
    <w:rsid w:val="00527FB7"/>
    <w:rsid w:val="005355C3"/>
    <w:rsid w:val="00535E77"/>
    <w:rsid w:val="00540494"/>
    <w:rsid w:val="00540C28"/>
    <w:rsid w:val="005414C3"/>
    <w:rsid w:val="00542814"/>
    <w:rsid w:val="005669E8"/>
    <w:rsid w:val="0057453B"/>
    <w:rsid w:val="00594B04"/>
    <w:rsid w:val="00594E66"/>
    <w:rsid w:val="00596A9F"/>
    <w:rsid w:val="00596D64"/>
    <w:rsid w:val="005A3B8C"/>
    <w:rsid w:val="005B1DD7"/>
    <w:rsid w:val="005B403F"/>
    <w:rsid w:val="005B6B07"/>
    <w:rsid w:val="005C3E74"/>
    <w:rsid w:val="005E1F4E"/>
    <w:rsid w:val="005E4CBF"/>
    <w:rsid w:val="005F3C09"/>
    <w:rsid w:val="005F670D"/>
    <w:rsid w:val="005F74DB"/>
    <w:rsid w:val="006002F8"/>
    <w:rsid w:val="00602FF5"/>
    <w:rsid w:val="00615DFD"/>
    <w:rsid w:val="006321B4"/>
    <w:rsid w:val="00637CA0"/>
    <w:rsid w:val="006462FD"/>
    <w:rsid w:val="00652B98"/>
    <w:rsid w:val="0065753B"/>
    <w:rsid w:val="006676CB"/>
    <w:rsid w:val="006766B6"/>
    <w:rsid w:val="006773CF"/>
    <w:rsid w:val="00680357"/>
    <w:rsid w:val="006932C9"/>
    <w:rsid w:val="00694322"/>
    <w:rsid w:val="00695E6F"/>
    <w:rsid w:val="006A098A"/>
    <w:rsid w:val="006C1C1D"/>
    <w:rsid w:val="006D5DFF"/>
    <w:rsid w:val="006E73F7"/>
    <w:rsid w:val="00701CC6"/>
    <w:rsid w:val="007073CE"/>
    <w:rsid w:val="00713ED0"/>
    <w:rsid w:val="007155B3"/>
    <w:rsid w:val="00736501"/>
    <w:rsid w:val="00737751"/>
    <w:rsid w:val="00740E8A"/>
    <w:rsid w:val="007410F5"/>
    <w:rsid w:val="00743501"/>
    <w:rsid w:val="007467FD"/>
    <w:rsid w:val="00750D84"/>
    <w:rsid w:val="0075400E"/>
    <w:rsid w:val="007548C0"/>
    <w:rsid w:val="007561F6"/>
    <w:rsid w:val="00756DFE"/>
    <w:rsid w:val="0076164C"/>
    <w:rsid w:val="00761EF7"/>
    <w:rsid w:val="007659C9"/>
    <w:rsid w:val="00767FF0"/>
    <w:rsid w:val="00772D5C"/>
    <w:rsid w:val="00777CDC"/>
    <w:rsid w:val="0078151B"/>
    <w:rsid w:val="007866AA"/>
    <w:rsid w:val="00790BA6"/>
    <w:rsid w:val="00792B78"/>
    <w:rsid w:val="007A10E9"/>
    <w:rsid w:val="007A3E60"/>
    <w:rsid w:val="007B01FA"/>
    <w:rsid w:val="007B0D03"/>
    <w:rsid w:val="007B3902"/>
    <w:rsid w:val="007B5134"/>
    <w:rsid w:val="007B655A"/>
    <w:rsid w:val="007C3A03"/>
    <w:rsid w:val="007C3B6F"/>
    <w:rsid w:val="007C5A03"/>
    <w:rsid w:val="007C5CA3"/>
    <w:rsid w:val="007D077F"/>
    <w:rsid w:val="007D717D"/>
    <w:rsid w:val="007E14CC"/>
    <w:rsid w:val="007E274A"/>
    <w:rsid w:val="007E544C"/>
    <w:rsid w:val="007E6C56"/>
    <w:rsid w:val="007F16D4"/>
    <w:rsid w:val="007F7ECE"/>
    <w:rsid w:val="00811B52"/>
    <w:rsid w:val="008160DC"/>
    <w:rsid w:val="00831AA2"/>
    <w:rsid w:val="0083632A"/>
    <w:rsid w:val="008371A4"/>
    <w:rsid w:val="00853204"/>
    <w:rsid w:val="00856238"/>
    <w:rsid w:val="00856A33"/>
    <w:rsid w:val="00856DF5"/>
    <w:rsid w:val="00857174"/>
    <w:rsid w:val="00861C49"/>
    <w:rsid w:val="00867C88"/>
    <w:rsid w:val="008710BD"/>
    <w:rsid w:val="008759B5"/>
    <w:rsid w:val="00876084"/>
    <w:rsid w:val="0088004C"/>
    <w:rsid w:val="008826C4"/>
    <w:rsid w:val="008918D7"/>
    <w:rsid w:val="0089692E"/>
    <w:rsid w:val="008C3DA9"/>
    <w:rsid w:val="008C57F8"/>
    <w:rsid w:val="008C7097"/>
    <w:rsid w:val="008C7683"/>
    <w:rsid w:val="008D3C88"/>
    <w:rsid w:val="008D7019"/>
    <w:rsid w:val="008E5EEC"/>
    <w:rsid w:val="008F1680"/>
    <w:rsid w:val="008F632A"/>
    <w:rsid w:val="00904DDA"/>
    <w:rsid w:val="009111D0"/>
    <w:rsid w:val="00912EF0"/>
    <w:rsid w:val="00914FC6"/>
    <w:rsid w:val="00923896"/>
    <w:rsid w:val="00925FE5"/>
    <w:rsid w:val="00940DD4"/>
    <w:rsid w:val="0095112E"/>
    <w:rsid w:val="0095114C"/>
    <w:rsid w:val="0096098F"/>
    <w:rsid w:val="00970B61"/>
    <w:rsid w:val="00970BED"/>
    <w:rsid w:val="009734A3"/>
    <w:rsid w:val="0097397F"/>
    <w:rsid w:val="00974217"/>
    <w:rsid w:val="009746E3"/>
    <w:rsid w:val="00974A50"/>
    <w:rsid w:val="009802E9"/>
    <w:rsid w:val="0098286B"/>
    <w:rsid w:val="0098406A"/>
    <w:rsid w:val="009907F8"/>
    <w:rsid w:val="00995170"/>
    <w:rsid w:val="009951A3"/>
    <w:rsid w:val="009A1F2F"/>
    <w:rsid w:val="009B46BD"/>
    <w:rsid w:val="009C30EA"/>
    <w:rsid w:val="009D6239"/>
    <w:rsid w:val="009D66AF"/>
    <w:rsid w:val="009E0CF2"/>
    <w:rsid w:val="009E7D2A"/>
    <w:rsid w:val="009E7D49"/>
    <w:rsid w:val="00A038ED"/>
    <w:rsid w:val="00A05445"/>
    <w:rsid w:val="00A072ED"/>
    <w:rsid w:val="00A11163"/>
    <w:rsid w:val="00A13EB6"/>
    <w:rsid w:val="00A15B90"/>
    <w:rsid w:val="00A22ADC"/>
    <w:rsid w:val="00A23452"/>
    <w:rsid w:val="00A2778D"/>
    <w:rsid w:val="00A30750"/>
    <w:rsid w:val="00A350A1"/>
    <w:rsid w:val="00A40C7C"/>
    <w:rsid w:val="00A42E04"/>
    <w:rsid w:val="00A52C77"/>
    <w:rsid w:val="00A54F38"/>
    <w:rsid w:val="00A70728"/>
    <w:rsid w:val="00A71E87"/>
    <w:rsid w:val="00A8753B"/>
    <w:rsid w:val="00A91A79"/>
    <w:rsid w:val="00AA1557"/>
    <w:rsid w:val="00AA3A3C"/>
    <w:rsid w:val="00AA452E"/>
    <w:rsid w:val="00AB1AE8"/>
    <w:rsid w:val="00AB2F6D"/>
    <w:rsid w:val="00AB3E4A"/>
    <w:rsid w:val="00AB76BB"/>
    <w:rsid w:val="00AB79D1"/>
    <w:rsid w:val="00AC326F"/>
    <w:rsid w:val="00AC79A6"/>
    <w:rsid w:val="00AD0C69"/>
    <w:rsid w:val="00AD1D12"/>
    <w:rsid w:val="00AD315B"/>
    <w:rsid w:val="00AD7621"/>
    <w:rsid w:val="00AD7FC8"/>
    <w:rsid w:val="00AE3B1E"/>
    <w:rsid w:val="00AE5876"/>
    <w:rsid w:val="00AF3FE6"/>
    <w:rsid w:val="00B03EED"/>
    <w:rsid w:val="00B04AE2"/>
    <w:rsid w:val="00B10417"/>
    <w:rsid w:val="00B1158D"/>
    <w:rsid w:val="00B13D4D"/>
    <w:rsid w:val="00B22F59"/>
    <w:rsid w:val="00B2519C"/>
    <w:rsid w:val="00B27556"/>
    <w:rsid w:val="00B3048B"/>
    <w:rsid w:val="00B375DC"/>
    <w:rsid w:val="00B40117"/>
    <w:rsid w:val="00B41161"/>
    <w:rsid w:val="00B45562"/>
    <w:rsid w:val="00B56A25"/>
    <w:rsid w:val="00B621A5"/>
    <w:rsid w:val="00B630AF"/>
    <w:rsid w:val="00B652F9"/>
    <w:rsid w:val="00B6717B"/>
    <w:rsid w:val="00B72AD4"/>
    <w:rsid w:val="00B819ED"/>
    <w:rsid w:val="00B841C4"/>
    <w:rsid w:val="00B8682C"/>
    <w:rsid w:val="00B8731A"/>
    <w:rsid w:val="00B91278"/>
    <w:rsid w:val="00B94539"/>
    <w:rsid w:val="00B967E0"/>
    <w:rsid w:val="00B974F9"/>
    <w:rsid w:val="00BA5626"/>
    <w:rsid w:val="00BB724E"/>
    <w:rsid w:val="00BD43C4"/>
    <w:rsid w:val="00BE2992"/>
    <w:rsid w:val="00BE7503"/>
    <w:rsid w:val="00BF6A51"/>
    <w:rsid w:val="00C015DB"/>
    <w:rsid w:val="00C14882"/>
    <w:rsid w:val="00C156BA"/>
    <w:rsid w:val="00C161A9"/>
    <w:rsid w:val="00C21214"/>
    <w:rsid w:val="00C21699"/>
    <w:rsid w:val="00C279F3"/>
    <w:rsid w:val="00C308FA"/>
    <w:rsid w:val="00C41ABD"/>
    <w:rsid w:val="00C428C2"/>
    <w:rsid w:val="00C469DD"/>
    <w:rsid w:val="00C5186B"/>
    <w:rsid w:val="00C54DA6"/>
    <w:rsid w:val="00C6342C"/>
    <w:rsid w:val="00C63A75"/>
    <w:rsid w:val="00C77699"/>
    <w:rsid w:val="00CA2B22"/>
    <w:rsid w:val="00CA5589"/>
    <w:rsid w:val="00CA5F87"/>
    <w:rsid w:val="00CB21D3"/>
    <w:rsid w:val="00CB2223"/>
    <w:rsid w:val="00CB4AE8"/>
    <w:rsid w:val="00CC1D76"/>
    <w:rsid w:val="00CD70A2"/>
    <w:rsid w:val="00CE26DD"/>
    <w:rsid w:val="00CE61E0"/>
    <w:rsid w:val="00CF7FB6"/>
    <w:rsid w:val="00D13C45"/>
    <w:rsid w:val="00D16C5E"/>
    <w:rsid w:val="00D21B53"/>
    <w:rsid w:val="00D34EA0"/>
    <w:rsid w:val="00D35D61"/>
    <w:rsid w:val="00D41FA4"/>
    <w:rsid w:val="00D42D2D"/>
    <w:rsid w:val="00D66B99"/>
    <w:rsid w:val="00D6717B"/>
    <w:rsid w:val="00D75AA1"/>
    <w:rsid w:val="00D80B9D"/>
    <w:rsid w:val="00D84EB3"/>
    <w:rsid w:val="00D85594"/>
    <w:rsid w:val="00D91E41"/>
    <w:rsid w:val="00D95B8F"/>
    <w:rsid w:val="00DA1C76"/>
    <w:rsid w:val="00DA3D7E"/>
    <w:rsid w:val="00DA5F18"/>
    <w:rsid w:val="00DB2EE5"/>
    <w:rsid w:val="00DC6A0C"/>
    <w:rsid w:val="00DD4676"/>
    <w:rsid w:val="00DD7258"/>
    <w:rsid w:val="00E00D86"/>
    <w:rsid w:val="00E04088"/>
    <w:rsid w:val="00E304B8"/>
    <w:rsid w:val="00E40848"/>
    <w:rsid w:val="00E5115D"/>
    <w:rsid w:val="00E554AA"/>
    <w:rsid w:val="00E576F4"/>
    <w:rsid w:val="00E6255E"/>
    <w:rsid w:val="00E86E3D"/>
    <w:rsid w:val="00E90AC8"/>
    <w:rsid w:val="00E93740"/>
    <w:rsid w:val="00EA5CF8"/>
    <w:rsid w:val="00EA7CA3"/>
    <w:rsid w:val="00EB130B"/>
    <w:rsid w:val="00EB2B00"/>
    <w:rsid w:val="00EC3B90"/>
    <w:rsid w:val="00EC5985"/>
    <w:rsid w:val="00EC678A"/>
    <w:rsid w:val="00ED0518"/>
    <w:rsid w:val="00ED288C"/>
    <w:rsid w:val="00ED2AB7"/>
    <w:rsid w:val="00ED3B87"/>
    <w:rsid w:val="00ED5019"/>
    <w:rsid w:val="00ED5A02"/>
    <w:rsid w:val="00ED5DF9"/>
    <w:rsid w:val="00EE2051"/>
    <w:rsid w:val="00EE43D8"/>
    <w:rsid w:val="00EE6C7A"/>
    <w:rsid w:val="00EF062B"/>
    <w:rsid w:val="00EF2FCB"/>
    <w:rsid w:val="00EF329B"/>
    <w:rsid w:val="00F00961"/>
    <w:rsid w:val="00F034A3"/>
    <w:rsid w:val="00F06F4E"/>
    <w:rsid w:val="00F10308"/>
    <w:rsid w:val="00F11DA5"/>
    <w:rsid w:val="00F2481E"/>
    <w:rsid w:val="00F2770F"/>
    <w:rsid w:val="00F277BC"/>
    <w:rsid w:val="00F32185"/>
    <w:rsid w:val="00F42581"/>
    <w:rsid w:val="00F47BFA"/>
    <w:rsid w:val="00F512E8"/>
    <w:rsid w:val="00F562A7"/>
    <w:rsid w:val="00F71A0B"/>
    <w:rsid w:val="00F74B99"/>
    <w:rsid w:val="00F800C5"/>
    <w:rsid w:val="00F84242"/>
    <w:rsid w:val="00F84341"/>
    <w:rsid w:val="00F86C90"/>
    <w:rsid w:val="00FA294B"/>
    <w:rsid w:val="00FA6517"/>
    <w:rsid w:val="00FB3AB0"/>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4</cp:revision>
  <cp:lastPrinted>2021-08-20T08:51:00Z</cp:lastPrinted>
  <dcterms:created xsi:type="dcterms:W3CDTF">2021-08-15T10:00:00Z</dcterms:created>
  <dcterms:modified xsi:type="dcterms:W3CDTF">2021-08-20T09:26:00Z</dcterms:modified>
</cp:coreProperties>
</file>