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D7" w:rsidRDefault="00171D12" w:rsidP="00260BC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ASHANTI GOLDFIELDS ZIMBABWE</w:t>
      </w: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 t/a FREDA REBECCA MINE</w:t>
      </w:r>
    </w:p>
    <w:p w:rsidR="00171D12" w:rsidRDefault="00260BC5" w:rsidP="00260BC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171D12">
        <w:rPr>
          <w:rFonts w:ascii="Times New Roman" w:hAnsi="Times New Roman" w:cs="Times New Roman"/>
          <w:sz w:val="24"/>
          <w:szCs w:val="24"/>
        </w:rPr>
        <w:t>ersus</w:t>
      </w:r>
      <w:proofErr w:type="gramEnd"/>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EPHRAIM PFIDZE</w:t>
      </w: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September 2012 and</w:t>
      </w: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 September 2012</w:t>
      </w:r>
    </w:p>
    <w:p w:rsidR="000848A1" w:rsidRDefault="000848A1" w:rsidP="00260BC5">
      <w:pPr>
        <w:spacing w:after="0" w:line="240" w:lineRule="auto"/>
        <w:jc w:val="both"/>
        <w:rPr>
          <w:rFonts w:ascii="Times New Roman" w:hAnsi="Times New Roman" w:cs="Times New Roman"/>
          <w:sz w:val="24"/>
          <w:szCs w:val="24"/>
        </w:rPr>
      </w:pPr>
    </w:p>
    <w:p w:rsidR="000848A1" w:rsidRDefault="000848A1" w:rsidP="00260BC5">
      <w:pPr>
        <w:spacing w:after="0" w:line="240" w:lineRule="auto"/>
        <w:jc w:val="both"/>
        <w:rPr>
          <w:rFonts w:ascii="Times New Roman" w:hAnsi="Times New Roman" w:cs="Times New Roman"/>
          <w:sz w:val="24"/>
          <w:szCs w:val="24"/>
        </w:rPr>
      </w:pPr>
    </w:p>
    <w:p w:rsidR="000848A1" w:rsidRPr="000848A1" w:rsidRDefault="000848A1" w:rsidP="00260BC5">
      <w:pPr>
        <w:spacing w:after="0" w:line="240" w:lineRule="auto"/>
        <w:jc w:val="both"/>
        <w:rPr>
          <w:rFonts w:ascii="Times New Roman" w:hAnsi="Times New Roman" w:cs="Times New Roman"/>
          <w:b/>
          <w:sz w:val="24"/>
          <w:szCs w:val="24"/>
        </w:rPr>
      </w:pPr>
      <w:r w:rsidRPr="000848A1">
        <w:rPr>
          <w:rFonts w:ascii="Times New Roman" w:hAnsi="Times New Roman" w:cs="Times New Roman"/>
          <w:b/>
          <w:sz w:val="24"/>
          <w:szCs w:val="24"/>
        </w:rPr>
        <w:t>Opposed Application</w:t>
      </w: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for the applicant</w:t>
      </w:r>
    </w:p>
    <w:p w:rsidR="00171D12" w:rsidRDefault="00171D12" w:rsidP="00260B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C </w:t>
      </w:r>
      <w:proofErr w:type="spellStart"/>
      <w:r>
        <w:rPr>
          <w:rFonts w:ascii="Times New Roman" w:hAnsi="Times New Roman" w:cs="Times New Roman"/>
          <w:i/>
          <w:sz w:val="24"/>
          <w:szCs w:val="24"/>
        </w:rPr>
        <w:t>Manyurureni</w:t>
      </w:r>
      <w:proofErr w:type="spellEnd"/>
      <w:r>
        <w:rPr>
          <w:rFonts w:ascii="Times New Roman" w:hAnsi="Times New Roman" w:cs="Times New Roman"/>
          <w:sz w:val="24"/>
          <w:szCs w:val="24"/>
        </w:rPr>
        <w:t>, for the respondent</w:t>
      </w: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240" w:lineRule="auto"/>
        <w:jc w:val="both"/>
        <w:rPr>
          <w:rFonts w:ascii="Times New Roman" w:hAnsi="Times New Roman" w:cs="Times New Roman"/>
          <w:sz w:val="24"/>
          <w:szCs w:val="24"/>
        </w:rPr>
      </w:pPr>
    </w:p>
    <w:p w:rsidR="00171D12" w:rsidRDefault="00171D12"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applicant seeks summary judgment for the eviction of the respondent and all those claiming through him from house number 1294 </w:t>
      </w:r>
      <w:proofErr w:type="spellStart"/>
      <w:r>
        <w:rPr>
          <w:rFonts w:ascii="Times New Roman" w:hAnsi="Times New Roman" w:cs="Times New Roman"/>
          <w:sz w:val="24"/>
          <w:szCs w:val="24"/>
        </w:rPr>
        <w:t>Mutufu</w:t>
      </w:r>
      <w:proofErr w:type="spellEnd"/>
      <w:r>
        <w:rPr>
          <w:rFonts w:ascii="Times New Roman" w:hAnsi="Times New Roman" w:cs="Times New Roman"/>
          <w:sz w:val="24"/>
          <w:szCs w:val="24"/>
        </w:rPr>
        <w:t xml:space="preserve"> Circle, </w:t>
      </w:r>
      <w:proofErr w:type="spellStart"/>
      <w:r>
        <w:rPr>
          <w:rFonts w:ascii="Times New Roman" w:hAnsi="Times New Roman" w:cs="Times New Roman"/>
          <w:sz w:val="24"/>
          <w:szCs w:val="24"/>
        </w:rPr>
        <w:t>Chiwaridzo</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(“the house”) and costs of suit.</w:t>
      </w:r>
    </w:p>
    <w:p w:rsidR="00171D12" w:rsidRDefault="00171D12"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until 30 June 2009, employed by the applicant and in the course of that employment he was allocated the house by the employer as a tenant. In good time, following negotiations between the employer and the employees who were represented by a committee of employees, the employer offered to sell its housing units to sitting tenants. Some kind of agreement was signed between the employer and the employees’ representatives on 1 December 2003 which reads as follows:</w:t>
      </w:r>
    </w:p>
    <w:p w:rsidR="00171D12" w:rsidRDefault="00171D12" w:rsidP="00260BC5">
      <w:pPr>
        <w:spacing w:after="0" w:line="240" w:lineRule="auto"/>
        <w:ind w:firstLine="720"/>
        <w:jc w:val="both"/>
        <w:rPr>
          <w:rFonts w:ascii="Times New Roman" w:hAnsi="Times New Roman" w:cs="Times New Roman"/>
          <w:sz w:val="24"/>
          <w:szCs w:val="24"/>
        </w:rPr>
      </w:pPr>
    </w:p>
    <w:p w:rsidR="00A5575B" w:rsidRDefault="00171D12"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“Ashanti Goldfields Zimbabwe agrees to dispose of its housing units situated in </w:t>
      </w:r>
      <w:proofErr w:type="spellStart"/>
      <w:r>
        <w:rPr>
          <w:rFonts w:ascii="Times New Roman" w:hAnsi="Times New Roman" w:cs="Times New Roman"/>
          <w:sz w:val="24"/>
          <w:szCs w:val="24"/>
        </w:rPr>
        <w:t>Chiwaridzo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Greyline</w:t>
      </w:r>
      <w:proofErr w:type="spellEnd"/>
      <w:r>
        <w:rPr>
          <w:rFonts w:ascii="Times New Roman" w:hAnsi="Times New Roman" w:cs="Times New Roman"/>
          <w:sz w:val="24"/>
          <w:szCs w:val="24"/>
        </w:rPr>
        <w:t xml:space="preserve"> Flats and Low Density to its employees who are sitting tenants effecti</w:t>
      </w:r>
      <w:r w:rsidR="00A5575B">
        <w:rPr>
          <w:rFonts w:ascii="Times New Roman" w:hAnsi="Times New Roman" w:cs="Times New Roman"/>
          <w:sz w:val="24"/>
          <w:szCs w:val="24"/>
        </w:rPr>
        <w:t>ve</w:t>
      </w:r>
      <w:r>
        <w:rPr>
          <w:rFonts w:ascii="Times New Roman" w:hAnsi="Times New Roman" w:cs="Times New Roman"/>
          <w:sz w:val="24"/>
          <w:szCs w:val="24"/>
        </w:rPr>
        <w:t xml:space="preserve"> 1 December 2003. Find the agreed prices attached.” </w:t>
      </w:r>
    </w:p>
    <w:p w:rsidR="00A5575B" w:rsidRDefault="00A5575B" w:rsidP="00260BC5">
      <w:pPr>
        <w:spacing w:after="0" w:line="240" w:lineRule="auto"/>
        <w:jc w:val="both"/>
        <w:rPr>
          <w:rFonts w:ascii="Times New Roman" w:hAnsi="Times New Roman" w:cs="Times New Roman"/>
          <w:sz w:val="24"/>
          <w:szCs w:val="24"/>
        </w:rPr>
      </w:pPr>
    </w:p>
    <w:p w:rsidR="00A5575B" w:rsidRDefault="00A5575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Appended to that agreement was a schedule containing the list of employees involved, their house numbers, the value of each housing unit and the monthly instalment required to be paid by each employee involved. I must state that the schedule which is attached as an annexure to the applicant’s founding affidavit contains two pages. Mr </w:t>
      </w:r>
      <w:proofErr w:type="spellStart"/>
      <w:r w:rsidRPr="00A5575B">
        <w:rPr>
          <w:rFonts w:ascii="Times New Roman" w:hAnsi="Times New Roman" w:cs="Times New Roman"/>
          <w:i/>
          <w:sz w:val="24"/>
          <w:szCs w:val="24"/>
        </w:rPr>
        <w:t>Manyurureni</w:t>
      </w:r>
      <w:proofErr w:type="spellEnd"/>
      <w:r>
        <w:rPr>
          <w:rFonts w:ascii="Times New Roman" w:hAnsi="Times New Roman" w:cs="Times New Roman"/>
          <w:sz w:val="24"/>
          <w:szCs w:val="24"/>
        </w:rPr>
        <w:t xml:space="preserve"> for the respondent made an oral application at the hearing of the matter to submit the third page of that schedule containing the name of the respondent as one of the beneficiaries of the scheme.</w:t>
      </w:r>
    </w:p>
    <w:p w:rsidR="00A5575B" w:rsidRDefault="00A5575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Manyurureni</w:t>
      </w:r>
      <w:proofErr w:type="spellEnd"/>
      <w:r>
        <w:rPr>
          <w:rFonts w:ascii="Times New Roman" w:hAnsi="Times New Roman" w:cs="Times New Roman"/>
          <w:sz w:val="24"/>
          <w:szCs w:val="24"/>
        </w:rPr>
        <w:t xml:space="preserve"> submitted that the agreement signed between the applicant and its employees always had a schedule with three pages and all the pages were signed by the </w:t>
      </w:r>
      <w:r>
        <w:rPr>
          <w:rFonts w:ascii="Times New Roman" w:hAnsi="Times New Roman" w:cs="Times New Roman"/>
          <w:sz w:val="24"/>
          <w:szCs w:val="24"/>
        </w:rPr>
        <w:lastRenderedPageBreak/>
        <w:t>relevant signatories to the agreement. In his view, it was clearly an oversight on the part of the applicant to leave out the last page containing the respondent’s name from the papers submitted to court. He submitted further that the respondent had also overlooked the issue and did not realise that the relevant page was missing right</w:t>
      </w:r>
      <w:r w:rsidR="002436EC">
        <w:rPr>
          <w:rFonts w:ascii="Times New Roman" w:hAnsi="Times New Roman" w:cs="Times New Roman"/>
          <w:sz w:val="24"/>
          <w:szCs w:val="24"/>
        </w:rPr>
        <w:t xml:space="preserve"> up</w:t>
      </w:r>
      <w:r>
        <w:rPr>
          <w:rFonts w:ascii="Times New Roman" w:hAnsi="Times New Roman" w:cs="Times New Roman"/>
          <w:sz w:val="24"/>
          <w:szCs w:val="24"/>
        </w:rPr>
        <w:t xml:space="preserve"> to the time of arguments. For that reason he sought the indulgence of the court to hand in the missing page.</w:t>
      </w:r>
    </w:p>
    <w:p w:rsidR="00A5575B" w:rsidRDefault="00A5575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xml:space="preserve"> for the applicant opposed the application on the ground that including the missing page would be prejudicial to the applicant. The respondent should have made the application earlier than that to enable the applicant to construct its case having regard to it. He however conceded that the signatures of all the parties who signed the agreement are appended on the missing page and that</w:t>
      </w:r>
      <w:r w:rsidR="002436EC">
        <w:rPr>
          <w:rFonts w:ascii="Times New Roman" w:hAnsi="Times New Roman" w:cs="Times New Roman"/>
          <w:sz w:val="24"/>
          <w:szCs w:val="24"/>
        </w:rPr>
        <w:t>,</w:t>
      </w:r>
      <w:r>
        <w:rPr>
          <w:rFonts w:ascii="Times New Roman" w:hAnsi="Times New Roman" w:cs="Times New Roman"/>
          <w:sz w:val="24"/>
          <w:szCs w:val="24"/>
        </w:rPr>
        <w:t xml:space="preserve"> on the face of it</w:t>
      </w:r>
      <w:r w:rsidR="002436EC">
        <w:rPr>
          <w:rFonts w:ascii="Times New Roman" w:hAnsi="Times New Roman" w:cs="Times New Roman"/>
          <w:sz w:val="24"/>
          <w:szCs w:val="24"/>
        </w:rPr>
        <w:t>,</w:t>
      </w:r>
      <w:r>
        <w:rPr>
          <w:rFonts w:ascii="Times New Roman" w:hAnsi="Times New Roman" w:cs="Times New Roman"/>
          <w:sz w:val="24"/>
          <w:szCs w:val="24"/>
        </w:rPr>
        <w:t xml:space="preserve"> the document looked authentic.</w:t>
      </w:r>
    </w:p>
    <w:p w:rsidR="00A23535" w:rsidRDefault="00A5575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schedule submitted by the applicant was demonstrably incomplete because it contained only </w:t>
      </w:r>
      <w:r w:rsidR="00A23535">
        <w:rPr>
          <w:rFonts w:ascii="Times New Roman" w:hAnsi="Times New Roman" w:cs="Times New Roman"/>
          <w:sz w:val="24"/>
          <w:szCs w:val="24"/>
        </w:rPr>
        <w:t>“s</w:t>
      </w:r>
      <w:r w:rsidR="002436EC">
        <w:rPr>
          <w:rFonts w:ascii="Times New Roman" w:hAnsi="Times New Roman" w:cs="Times New Roman"/>
          <w:sz w:val="24"/>
          <w:szCs w:val="24"/>
        </w:rPr>
        <w:t>ection</w:t>
      </w:r>
      <w:r w:rsidR="00A23535">
        <w:rPr>
          <w:rFonts w:ascii="Times New Roman" w:hAnsi="Times New Roman" w:cs="Times New Roman"/>
          <w:sz w:val="24"/>
          <w:szCs w:val="24"/>
        </w:rPr>
        <w:t xml:space="preserve"> 1” of “High Density Disposal Price List.” For that document to have </w:t>
      </w:r>
      <w:r w:rsidR="002436EC">
        <w:rPr>
          <w:rFonts w:ascii="Times New Roman" w:hAnsi="Times New Roman" w:cs="Times New Roman"/>
          <w:sz w:val="24"/>
          <w:szCs w:val="24"/>
        </w:rPr>
        <w:t>“</w:t>
      </w:r>
      <w:r w:rsidR="00A23535">
        <w:rPr>
          <w:rFonts w:ascii="Times New Roman" w:hAnsi="Times New Roman" w:cs="Times New Roman"/>
          <w:sz w:val="24"/>
          <w:szCs w:val="24"/>
        </w:rPr>
        <w:t>s</w:t>
      </w:r>
      <w:r w:rsidR="002436EC">
        <w:rPr>
          <w:rFonts w:ascii="Times New Roman" w:hAnsi="Times New Roman" w:cs="Times New Roman"/>
          <w:sz w:val="24"/>
          <w:szCs w:val="24"/>
        </w:rPr>
        <w:t>ection</w:t>
      </w:r>
      <w:r w:rsidR="00A23535">
        <w:rPr>
          <w:rFonts w:ascii="Times New Roman" w:hAnsi="Times New Roman" w:cs="Times New Roman"/>
          <w:sz w:val="24"/>
          <w:szCs w:val="24"/>
        </w:rPr>
        <w:t xml:space="preserve"> 1” must only mean that there is another section to it. Indeed it is that other section being “s</w:t>
      </w:r>
      <w:r w:rsidR="002436EC">
        <w:rPr>
          <w:rFonts w:ascii="Times New Roman" w:hAnsi="Times New Roman" w:cs="Times New Roman"/>
          <w:sz w:val="24"/>
          <w:szCs w:val="24"/>
        </w:rPr>
        <w:t>ection</w:t>
      </w:r>
      <w:r w:rsidR="00A23535">
        <w:rPr>
          <w:rFonts w:ascii="Times New Roman" w:hAnsi="Times New Roman" w:cs="Times New Roman"/>
          <w:sz w:val="24"/>
          <w:szCs w:val="24"/>
        </w:rPr>
        <w:t xml:space="preserve"> 2” of “Medium Density Disposal Price List” which the respondent sought to introduce to the record. That section 2 contains the</w:t>
      </w:r>
      <w:r w:rsidR="002436EC">
        <w:rPr>
          <w:rFonts w:ascii="Times New Roman" w:hAnsi="Times New Roman" w:cs="Times New Roman"/>
          <w:sz w:val="24"/>
          <w:szCs w:val="24"/>
        </w:rPr>
        <w:t xml:space="preserve"> name of the</w:t>
      </w:r>
      <w:r w:rsidR="00A23535">
        <w:rPr>
          <w:rFonts w:ascii="Times New Roman" w:hAnsi="Times New Roman" w:cs="Times New Roman"/>
          <w:sz w:val="24"/>
          <w:szCs w:val="24"/>
        </w:rPr>
        <w:t xml:space="preserve"> respondent</w:t>
      </w:r>
      <w:r w:rsidR="002436EC">
        <w:rPr>
          <w:rFonts w:ascii="Times New Roman" w:hAnsi="Times New Roman" w:cs="Times New Roman"/>
          <w:sz w:val="24"/>
          <w:szCs w:val="24"/>
        </w:rPr>
        <w:t xml:space="preserve"> on the</w:t>
      </w:r>
      <w:r w:rsidR="00A23535">
        <w:rPr>
          <w:rFonts w:ascii="Times New Roman" w:hAnsi="Times New Roman" w:cs="Times New Roman"/>
          <w:sz w:val="24"/>
          <w:szCs w:val="24"/>
        </w:rPr>
        <w:t xml:space="preserve"> list. I do not want to believe that the applicant plu</w:t>
      </w:r>
      <w:r w:rsidR="002436EC">
        <w:rPr>
          <w:rFonts w:ascii="Times New Roman" w:hAnsi="Times New Roman" w:cs="Times New Roman"/>
          <w:sz w:val="24"/>
          <w:szCs w:val="24"/>
        </w:rPr>
        <w:t>ck</w:t>
      </w:r>
      <w:r w:rsidR="00A23535">
        <w:rPr>
          <w:rFonts w:ascii="Times New Roman" w:hAnsi="Times New Roman" w:cs="Times New Roman"/>
          <w:sz w:val="24"/>
          <w:szCs w:val="24"/>
        </w:rPr>
        <w:t>ed that section from the annexure in order to pull the wool over the court’s eye because that would be unfortunate indeed.</w:t>
      </w:r>
    </w:p>
    <w:p w:rsidR="00A23535" w:rsidRDefault="00A2353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though is that it is in the interest of justice that the missing page be allowed as part of the record in order to arm the court with all the evidence to make an informed decision. It is for these reasons that I came to the conclusion that the applicant’s opposition to the application to introduce the missing page was without merit. I therefore allowed the page to be included in the record as annexure “D4.”</w:t>
      </w:r>
    </w:p>
    <w:p w:rsidR="00E958DB" w:rsidRDefault="00A2353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back to the main issue, the parties signed a document titled: “Memorandum of an Agreement of lease” about 15 December 2003, days after the sale agreement of 1 December 2003 had been signed, in terms of which the respondent was now</w:t>
      </w:r>
      <w:r w:rsidR="002436E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ex facie</w:t>
      </w:r>
      <w:r>
        <w:rPr>
          <w:rFonts w:ascii="Times New Roman" w:hAnsi="Times New Roman" w:cs="Times New Roman"/>
          <w:sz w:val="24"/>
          <w:szCs w:val="24"/>
        </w:rPr>
        <w:t>, agreeing to lease</w:t>
      </w:r>
      <w:r w:rsidR="00E958DB">
        <w:rPr>
          <w:rFonts w:ascii="Times New Roman" w:hAnsi="Times New Roman" w:cs="Times New Roman"/>
          <w:sz w:val="24"/>
          <w:szCs w:val="24"/>
        </w:rPr>
        <w:t xml:space="preserve"> the same house from the applicant for a rental of $35 700-00 per month</w:t>
      </w:r>
      <w:r w:rsidR="002436EC">
        <w:rPr>
          <w:rFonts w:ascii="Times New Roman" w:hAnsi="Times New Roman" w:cs="Times New Roman"/>
          <w:sz w:val="24"/>
          <w:szCs w:val="24"/>
        </w:rPr>
        <w:t xml:space="preserve"> (Zimbabwean currency)</w:t>
      </w:r>
      <w:r w:rsidR="00E958DB">
        <w:rPr>
          <w:rFonts w:ascii="Times New Roman" w:hAnsi="Times New Roman" w:cs="Times New Roman"/>
          <w:sz w:val="24"/>
          <w:szCs w:val="24"/>
        </w:rPr>
        <w:t>, the same amount captured on the schedule to the agreement of 1 December 2003 as the monthly instalment for the purchase of the house.</w:t>
      </w:r>
    </w:p>
    <w:p w:rsidR="00E958DB" w:rsidRDefault="00E958D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that lease agreement the respondent had an option to purchase the house at the expiration of 60 months which was the duration of the lease agreement. As the lease agreement expired on 15 December 2008, the applicant then reclaimed the house arguing that the respondent had not exercised the option to purchase it. When the respondent resisted </w:t>
      </w:r>
      <w:r>
        <w:rPr>
          <w:rFonts w:ascii="Times New Roman" w:hAnsi="Times New Roman" w:cs="Times New Roman"/>
          <w:sz w:val="24"/>
          <w:szCs w:val="24"/>
        </w:rPr>
        <w:lastRenderedPageBreak/>
        <w:t>th</w:t>
      </w:r>
      <w:r w:rsidR="002436EC">
        <w:rPr>
          <w:rFonts w:ascii="Times New Roman" w:hAnsi="Times New Roman" w:cs="Times New Roman"/>
          <w:sz w:val="24"/>
          <w:szCs w:val="24"/>
        </w:rPr>
        <w:t>o</w:t>
      </w:r>
      <w:r>
        <w:rPr>
          <w:rFonts w:ascii="Times New Roman" w:hAnsi="Times New Roman" w:cs="Times New Roman"/>
          <w:sz w:val="24"/>
          <w:szCs w:val="24"/>
        </w:rPr>
        <w:t>se overtures, the applicant instituted eviction proceedings and upon the filing of an appearance to defend, it brought this application for summary judgment on the basis that its claim is unassailable and that appearance to defend has been entered for purposes of delay.</w:t>
      </w:r>
    </w:p>
    <w:p w:rsidR="00C52115" w:rsidRDefault="00E958DB"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opposed the application arguing that </w:t>
      </w:r>
      <w:r w:rsidR="002436EC">
        <w:rPr>
          <w:rFonts w:ascii="Times New Roman" w:hAnsi="Times New Roman" w:cs="Times New Roman"/>
          <w:sz w:val="24"/>
          <w:szCs w:val="24"/>
        </w:rPr>
        <w:t>he</w:t>
      </w:r>
      <w:r>
        <w:rPr>
          <w:rFonts w:ascii="Times New Roman" w:hAnsi="Times New Roman" w:cs="Times New Roman"/>
          <w:sz w:val="24"/>
          <w:szCs w:val="24"/>
        </w:rPr>
        <w:t xml:space="preserve"> has a good defence to the applicant’s claim as he purchased the house from the applicant as a sitting tenant who was offered the house under the scheme captured in the sale agreement of 1 December 2003 which I have already referred to. The respondent maintains that the lease agreement of15 December 2003 was but a financial vehicle through which payment of the purchase price was to be made via direct payroll deductions from his salary.</w:t>
      </w:r>
    </w:p>
    <w:p w:rsidR="00C52115" w:rsidRDefault="00C5211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advanced that argument further by submitting samples of receipts issued by the applicant to him showing payments he made with the caption “payment of house.” He also submitted a ledger print out which captured the deductions made from his salary as “rent to buy” and “house payment.” They were directed to the applicant’s cost centre for the housing fund.</w:t>
      </w:r>
    </w:p>
    <w:p w:rsidR="00C52115" w:rsidRDefault="00C5211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submitted that having purchased the house, he is entitled to take transfer and that the applicant is therefore not entitled to summary judgment as the issues he raises are </w:t>
      </w:r>
      <w:proofErr w:type="spellStart"/>
      <w:r>
        <w:rPr>
          <w:rFonts w:ascii="Times New Roman" w:hAnsi="Times New Roman" w:cs="Times New Roman"/>
          <w:sz w:val="24"/>
          <w:szCs w:val="24"/>
        </w:rPr>
        <w:t>triable</w:t>
      </w:r>
      <w:proofErr w:type="spellEnd"/>
      <w:r>
        <w:rPr>
          <w:rFonts w:ascii="Times New Roman" w:hAnsi="Times New Roman" w:cs="Times New Roman"/>
          <w:sz w:val="24"/>
          <w:szCs w:val="24"/>
        </w:rPr>
        <w:t>.</w:t>
      </w:r>
    </w:p>
    <w:p w:rsidR="00171D12" w:rsidRDefault="00C5211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courts have, on times without number, maintained that summary judgment procedure is an extra ordinary remedy which is very stringent in effect in the sense</w:t>
      </w:r>
      <w:r w:rsidR="00D042D8">
        <w:rPr>
          <w:rFonts w:ascii="Times New Roman" w:hAnsi="Times New Roman" w:cs="Times New Roman"/>
          <w:sz w:val="24"/>
          <w:szCs w:val="24"/>
        </w:rPr>
        <w:t xml:space="preserve"> that i</w:t>
      </w:r>
      <w:r w:rsidR="002436EC">
        <w:rPr>
          <w:rFonts w:ascii="Times New Roman" w:hAnsi="Times New Roman" w:cs="Times New Roman"/>
          <w:sz w:val="24"/>
          <w:szCs w:val="24"/>
        </w:rPr>
        <w:t>t</w:t>
      </w:r>
      <w:r w:rsidR="00D042D8">
        <w:rPr>
          <w:rFonts w:ascii="Times New Roman" w:hAnsi="Times New Roman" w:cs="Times New Roman"/>
          <w:sz w:val="24"/>
          <w:szCs w:val="24"/>
        </w:rPr>
        <w:t xml:space="preserve"> closes the door to a defendant to defend a claim. It is a remedy which is available to a plaintiff whose case is unanswerable. By its very nature, the claim of such a party must be so unassailable that a defendant intimating a desire to contest it would clearly be wasting the court’s time and frustrating the plaintiff who should then be saved the agony of a trial.</w:t>
      </w:r>
    </w:p>
    <w:p w:rsidR="00D042D8" w:rsidRDefault="00D042D8"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a defendant faced with a summary judgment application can successfull</w:t>
      </w:r>
      <w:r w:rsidR="00AF38E4">
        <w:rPr>
          <w:rFonts w:ascii="Times New Roman" w:hAnsi="Times New Roman" w:cs="Times New Roman"/>
          <w:sz w:val="24"/>
          <w:szCs w:val="24"/>
        </w:rPr>
        <w:t xml:space="preserve">y contest such application if he can establish what was set out by MALABA J (as he then was) in </w:t>
      </w:r>
      <w:r w:rsidR="00AF38E4">
        <w:rPr>
          <w:rFonts w:ascii="Times New Roman" w:hAnsi="Times New Roman" w:cs="Times New Roman"/>
          <w:i/>
          <w:sz w:val="24"/>
          <w:szCs w:val="24"/>
        </w:rPr>
        <w:t xml:space="preserve">Hales </w:t>
      </w:r>
      <w:r w:rsidR="00AF38E4">
        <w:rPr>
          <w:rFonts w:ascii="Times New Roman" w:hAnsi="Times New Roman" w:cs="Times New Roman"/>
          <w:sz w:val="24"/>
          <w:szCs w:val="24"/>
        </w:rPr>
        <w:t xml:space="preserve"> v </w:t>
      </w:r>
      <w:proofErr w:type="spellStart"/>
      <w:r w:rsidR="00AF38E4">
        <w:rPr>
          <w:rFonts w:ascii="Times New Roman" w:hAnsi="Times New Roman" w:cs="Times New Roman"/>
          <w:i/>
          <w:sz w:val="24"/>
          <w:szCs w:val="24"/>
        </w:rPr>
        <w:t>Doverick</w:t>
      </w:r>
      <w:proofErr w:type="spellEnd"/>
      <w:r w:rsidR="00AF38E4">
        <w:rPr>
          <w:rFonts w:ascii="Times New Roman" w:hAnsi="Times New Roman" w:cs="Times New Roman"/>
          <w:i/>
          <w:sz w:val="24"/>
          <w:szCs w:val="24"/>
        </w:rPr>
        <w:t xml:space="preserve"> Investments </w:t>
      </w:r>
      <w:r w:rsidR="00AF38E4" w:rsidRPr="00AF38E4">
        <w:rPr>
          <w:rFonts w:ascii="Times New Roman" w:hAnsi="Times New Roman" w:cs="Times New Roman"/>
          <w:sz w:val="24"/>
          <w:szCs w:val="24"/>
        </w:rPr>
        <w:t>(</w:t>
      </w:r>
      <w:r w:rsidR="00AF38E4">
        <w:rPr>
          <w:rFonts w:ascii="Times New Roman" w:hAnsi="Times New Roman" w:cs="Times New Roman"/>
          <w:i/>
          <w:sz w:val="24"/>
          <w:szCs w:val="24"/>
        </w:rPr>
        <w:t>Pvt</w:t>
      </w:r>
      <w:r w:rsidR="00AF38E4">
        <w:rPr>
          <w:rFonts w:ascii="Times New Roman" w:hAnsi="Times New Roman" w:cs="Times New Roman"/>
          <w:sz w:val="24"/>
          <w:szCs w:val="24"/>
        </w:rPr>
        <w:t xml:space="preserve">) </w:t>
      </w:r>
      <w:r w:rsidR="00AF38E4">
        <w:rPr>
          <w:rFonts w:ascii="Times New Roman" w:hAnsi="Times New Roman" w:cs="Times New Roman"/>
          <w:i/>
          <w:sz w:val="24"/>
          <w:szCs w:val="24"/>
        </w:rPr>
        <w:t>Ltd</w:t>
      </w:r>
      <w:r w:rsidR="00AF38E4">
        <w:rPr>
          <w:rFonts w:ascii="Times New Roman" w:hAnsi="Times New Roman" w:cs="Times New Roman"/>
          <w:sz w:val="24"/>
          <w:szCs w:val="24"/>
        </w:rPr>
        <w:t xml:space="preserve"> 1998 (2) ZLR 235</w:t>
      </w:r>
      <w:r w:rsidR="002436EC">
        <w:rPr>
          <w:rFonts w:ascii="Times New Roman" w:hAnsi="Times New Roman" w:cs="Times New Roman"/>
          <w:sz w:val="24"/>
          <w:szCs w:val="24"/>
        </w:rPr>
        <w:t xml:space="preserve"> (H)</w:t>
      </w:r>
      <w:r w:rsidR="00AF38E4">
        <w:rPr>
          <w:rFonts w:ascii="Times New Roman" w:hAnsi="Times New Roman" w:cs="Times New Roman"/>
          <w:sz w:val="24"/>
          <w:szCs w:val="24"/>
        </w:rPr>
        <w:t xml:space="preserve"> at 238 G and 239 A-B as follows:</w:t>
      </w:r>
    </w:p>
    <w:p w:rsidR="00AF38E4" w:rsidRDefault="00AF38E4" w:rsidP="00260BC5">
      <w:pPr>
        <w:spacing w:after="0" w:line="240" w:lineRule="auto"/>
        <w:jc w:val="both"/>
        <w:rPr>
          <w:rFonts w:ascii="Times New Roman" w:hAnsi="Times New Roman" w:cs="Times New Roman"/>
          <w:sz w:val="24"/>
          <w:szCs w:val="24"/>
        </w:rPr>
      </w:pPr>
    </w:p>
    <w:p w:rsidR="00AF38E4" w:rsidRDefault="00AF38E4"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he must at le</w:t>
      </w:r>
      <w:r w:rsidR="002436EC">
        <w:rPr>
          <w:rFonts w:ascii="Times New Roman" w:hAnsi="Times New Roman" w:cs="Times New Roman"/>
          <w:sz w:val="24"/>
          <w:szCs w:val="24"/>
        </w:rPr>
        <w:t>a</w:t>
      </w:r>
      <w:r>
        <w:rPr>
          <w:rFonts w:ascii="Times New Roman" w:hAnsi="Times New Roman" w:cs="Times New Roman"/>
          <w:sz w:val="24"/>
          <w:szCs w:val="24"/>
        </w:rPr>
        <w:t xml:space="preserve">st disclose his defence and material facts upon which it is based with sufficient clarity and completeness to enable the court to decide whether the affidavit discloses a </w:t>
      </w:r>
      <w:r>
        <w:rPr>
          <w:rFonts w:ascii="Times New Roman" w:hAnsi="Times New Roman" w:cs="Times New Roman"/>
          <w:i/>
          <w:sz w:val="24"/>
          <w:szCs w:val="24"/>
        </w:rPr>
        <w:t>bona fide</w:t>
      </w:r>
      <w:r>
        <w:rPr>
          <w:rFonts w:ascii="Times New Roman" w:hAnsi="Times New Roman" w:cs="Times New Roman"/>
          <w:sz w:val="24"/>
          <w:szCs w:val="24"/>
        </w:rPr>
        <w:t xml:space="preserve"> defence (</w:t>
      </w:r>
      <w:proofErr w:type="spellStart"/>
      <w:r w:rsidRPr="00AF38E4">
        <w:rPr>
          <w:rFonts w:ascii="Times New Roman" w:hAnsi="Times New Roman" w:cs="Times New Roman"/>
          <w:i/>
          <w:sz w:val="24"/>
          <w:szCs w:val="24"/>
        </w:rPr>
        <w:t>Maharaj</w:t>
      </w:r>
      <w:proofErr w:type="spellEnd"/>
      <w:r>
        <w:rPr>
          <w:rFonts w:ascii="Times New Roman" w:hAnsi="Times New Roman" w:cs="Times New Roman"/>
          <w:i/>
          <w:sz w:val="24"/>
          <w:szCs w:val="24"/>
        </w:rPr>
        <w:t xml:space="preserve"> </w:t>
      </w:r>
      <w:r w:rsidRPr="00AF38E4">
        <w:rPr>
          <w:rFonts w:ascii="Times New Roman" w:hAnsi="Times New Roman" w:cs="Times New Roman"/>
          <w:sz w:val="24"/>
          <w:szCs w:val="24"/>
        </w:rPr>
        <w:t>v</w:t>
      </w:r>
      <w:r>
        <w:rPr>
          <w:rFonts w:ascii="Times New Roman" w:hAnsi="Times New Roman" w:cs="Times New Roman"/>
          <w:i/>
          <w:sz w:val="24"/>
          <w:szCs w:val="24"/>
        </w:rPr>
        <w:t xml:space="preserve"> </w:t>
      </w:r>
      <w:r w:rsidRPr="00AF38E4">
        <w:rPr>
          <w:rFonts w:ascii="Times New Roman" w:hAnsi="Times New Roman" w:cs="Times New Roman"/>
          <w:i/>
          <w:sz w:val="24"/>
          <w:szCs w:val="24"/>
        </w:rPr>
        <w:t>Bar</w:t>
      </w:r>
      <w:r w:rsidR="002436EC">
        <w:rPr>
          <w:rFonts w:ascii="Times New Roman" w:hAnsi="Times New Roman" w:cs="Times New Roman"/>
          <w:i/>
          <w:sz w:val="24"/>
          <w:szCs w:val="24"/>
        </w:rPr>
        <w:t>c</w:t>
      </w:r>
      <w:r w:rsidRPr="00AF38E4">
        <w:rPr>
          <w:rFonts w:ascii="Times New Roman" w:hAnsi="Times New Roman" w:cs="Times New Roman"/>
          <w:i/>
          <w:sz w:val="24"/>
          <w:szCs w:val="24"/>
        </w:rPr>
        <w:t>la</w:t>
      </w:r>
      <w:r w:rsidR="002436EC">
        <w:rPr>
          <w:rFonts w:ascii="Times New Roman" w:hAnsi="Times New Roman" w:cs="Times New Roman"/>
          <w:i/>
          <w:sz w:val="24"/>
          <w:szCs w:val="24"/>
        </w:rPr>
        <w:t>y</w:t>
      </w:r>
      <w:r w:rsidRPr="00AF38E4">
        <w:rPr>
          <w:rFonts w:ascii="Times New Roman" w:hAnsi="Times New Roman" w:cs="Times New Roman"/>
          <w:i/>
          <w:sz w:val="24"/>
          <w:szCs w:val="24"/>
        </w:rPr>
        <w:t>s National Bank</w:t>
      </w:r>
      <w:r>
        <w:rPr>
          <w:rFonts w:ascii="Times New Roman" w:hAnsi="Times New Roman" w:cs="Times New Roman"/>
          <w:sz w:val="24"/>
          <w:szCs w:val="24"/>
        </w:rPr>
        <w:t xml:space="preserve"> </w:t>
      </w:r>
      <w:r w:rsidRPr="00AF38E4">
        <w:rPr>
          <w:rFonts w:ascii="Times New Roman" w:hAnsi="Times New Roman" w:cs="Times New Roman"/>
          <w:i/>
          <w:sz w:val="24"/>
          <w:szCs w:val="24"/>
        </w:rPr>
        <w:t>Ltd</w:t>
      </w:r>
      <w:r>
        <w:rPr>
          <w:rFonts w:ascii="Times New Roman" w:hAnsi="Times New Roman" w:cs="Times New Roman"/>
          <w:i/>
          <w:sz w:val="24"/>
          <w:szCs w:val="24"/>
        </w:rPr>
        <w:t xml:space="preserve"> </w:t>
      </w:r>
      <w:r w:rsidRPr="00AF38E4">
        <w:rPr>
          <w:rFonts w:ascii="Times New Roman" w:hAnsi="Times New Roman" w:cs="Times New Roman"/>
          <w:sz w:val="24"/>
          <w:szCs w:val="24"/>
        </w:rPr>
        <w:t>1976</w:t>
      </w:r>
      <w:r>
        <w:rPr>
          <w:rFonts w:ascii="Times New Roman" w:hAnsi="Times New Roman" w:cs="Times New Roman"/>
          <w:sz w:val="24"/>
          <w:szCs w:val="24"/>
        </w:rPr>
        <w:t xml:space="preserve"> (1) SA 418 (A) at 426 D … the statement of material facts (must) be sufficiently full to persuade the court that what the defendant has alleged, if proved at the trial, will constitute a defence to the plaintiff’s claim.”</w:t>
      </w:r>
    </w:p>
    <w:p w:rsidR="00AF38E4" w:rsidRDefault="00AF38E4" w:rsidP="00260BC5">
      <w:pPr>
        <w:spacing w:after="0" w:line="240" w:lineRule="auto"/>
        <w:jc w:val="both"/>
        <w:rPr>
          <w:rFonts w:ascii="Times New Roman" w:hAnsi="Times New Roman" w:cs="Times New Roman"/>
          <w:sz w:val="24"/>
          <w:szCs w:val="24"/>
        </w:rPr>
      </w:pPr>
    </w:p>
    <w:p w:rsidR="00AF38E4" w:rsidRDefault="00AF38E4"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arguing that the applicant’s case is unassailable, Mr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xml:space="preserve"> relied on the case of </w:t>
      </w:r>
      <w:r>
        <w:rPr>
          <w:rFonts w:ascii="Times New Roman" w:hAnsi="Times New Roman" w:cs="Times New Roman"/>
          <w:i/>
          <w:sz w:val="24"/>
          <w:szCs w:val="24"/>
        </w:rPr>
        <w:t>Ashanti Goldfields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S-7-09 (unreported) where CHEDA JA stated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 – 4</w:t>
      </w:r>
      <w:r w:rsidR="00571958">
        <w:rPr>
          <w:rFonts w:ascii="Times New Roman" w:hAnsi="Times New Roman" w:cs="Times New Roman"/>
          <w:sz w:val="24"/>
          <w:szCs w:val="24"/>
        </w:rPr>
        <w:t xml:space="preserve"> </w:t>
      </w:r>
      <w:r>
        <w:rPr>
          <w:rFonts w:ascii="Times New Roman" w:hAnsi="Times New Roman" w:cs="Times New Roman"/>
          <w:sz w:val="24"/>
          <w:szCs w:val="24"/>
        </w:rPr>
        <w:t>about the agreement of 1 December 2003, as follows:</w:t>
      </w:r>
    </w:p>
    <w:p w:rsidR="00AF38E4" w:rsidRDefault="00AF38E4" w:rsidP="00260BC5">
      <w:pPr>
        <w:spacing w:after="0" w:line="240" w:lineRule="auto"/>
        <w:jc w:val="both"/>
        <w:rPr>
          <w:rFonts w:ascii="Times New Roman" w:hAnsi="Times New Roman" w:cs="Times New Roman"/>
          <w:sz w:val="24"/>
          <w:szCs w:val="24"/>
        </w:rPr>
      </w:pPr>
    </w:p>
    <w:p w:rsidR="00AF38E4" w:rsidRDefault="00AF38E4"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difficult to understand how the Memorandum of Understanding can be said to be an Agreement of Sale. What is clear is that the appellant was offering the houses to the sitting tenants who were its employees. There is nothing to show that the respondent took up the offer. The respondent seeks to argue that the Memorandum was an agreement. There is nothing to show that </w:t>
      </w:r>
      <w:r w:rsidR="00571958">
        <w:rPr>
          <w:rFonts w:ascii="Times New Roman" w:hAnsi="Times New Roman" w:cs="Times New Roman"/>
          <w:sz w:val="24"/>
          <w:szCs w:val="24"/>
        </w:rPr>
        <w:t>the respondent took up the offer. The respondent seeks to argue that the Memorandum was an agreement. There is nothing to show that every one of the employees on the list purchased the houses. At best, the document can only be read as showing who occupied which house and the price they could pay if they accepted the offer to purchase.”</w:t>
      </w:r>
    </w:p>
    <w:p w:rsidR="00571958" w:rsidRDefault="00571958" w:rsidP="00260BC5">
      <w:pPr>
        <w:spacing w:after="0" w:line="240" w:lineRule="auto"/>
        <w:jc w:val="both"/>
        <w:rPr>
          <w:rFonts w:ascii="Times New Roman" w:hAnsi="Times New Roman" w:cs="Times New Roman"/>
          <w:sz w:val="24"/>
          <w:szCs w:val="24"/>
        </w:rPr>
      </w:pPr>
    </w:p>
    <w:p w:rsidR="00571958" w:rsidRDefault="00571958"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pronouncements of the Supreme Court are binding on me is self-evident but I have had occasion previously in </w:t>
      </w:r>
      <w:proofErr w:type="spellStart"/>
      <w:r>
        <w:rPr>
          <w:rFonts w:ascii="Times New Roman" w:hAnsi="Times New Roman" w:cs="Times New Roman"/>
          <w:i/>
          <w:sz w:val="24"/>
          <w:szCs w:val="24"/>
        </w:rPr>
        <w:t>Govha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Ashanti Goldfields Zimbabwe Ltd</w:t>
      </w:r>
      <w:r>
        <w:rPr>
          <w:rFonts w:ascii="Times New Roman" w:hAnsi="Times New Roman" w:cs="Times New Roman"/>
          <w:sz w:val="24"/>
          <w:szCs w:val="24"/>
        </w:rPr>
        <w:t xml:space="preserve"> t/a </w:t>
      </w:r>
      <w:r>
        <w:rPr>
          <w:rFonts w:ascii="Times New Roman" w:hAnsi="Times New Roman" w:cs="Times New Roman"/>
          <w:i/>
          <w:sz w:val="24"/>
          <w:szCs w:val="24"/>
        </w:rPr>
        <w:t xml:space="preserve">Freda Rebecca Mine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HH 48-12 to comment on the effect of that judgment and followed the reasoning of MAKARAU JP (as she then was) in </w:t>
      </w:r>
      <w:r>
        <w:rPr>
          <w:rFonts w:ascii="Times New Roman" w:hAnsi="Times New Roman" w:cs="Times New Roman"/>
          <w:i/>
          <w:sz w:val="24"/>
          <w:szCs w:val="24"/>
        </w:rPr>
        <w:t>Antonio</w:t>
      </w:r>
      <w:r>
        <w:rPr>
          <w:rFonts w:ascii="Times New Roman" w:hAnsi="Times New Roman" w:cs="Times New Roman"/>
          <w:sz w:val="24"/>
          <w:szCs w:val="24"/>
        </w:rPr>
        <w:t xml:space="preserve"> v </w:t>
      </w:r>
      <w:r>
        <w:rPr>
          <w:rFonts w:ascii="Times New Roman" w:hAnsi="Times New Roman" w:cs="Times New Roman"/>
          <w:i/>
          <w:sz w:val="24"/>
          <w:szCs w:val="24"/>
        </w:rPr>
        <w:t xml:space="preserve">Ashanti Goldfields Zimbabwe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Mujati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v </w:t>
      </w:r>
      <w:r>
        <w:rPr>
          <w:rFonts w:ascii="Times New Roman" w:hAnsi="Times New Roman" w:cs="Times New Roman"/>
          <w:i/>
          <w:sz w:val="24"/>
          <w:szCs w:val="24"/>
        </w:rPr>
        <w:t xml:space="preserve">Ashanti Goldfields Zimbabwe Ltd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sidRPr="00571958">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i/>
          <w:sz w:val="24"/>
          <w:szCs w:val="24"/>
        </w:rPr>
        <w:t>Ashanti Goldfields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Bonde</w:t>
      </w:r>
      <w:proofErr w:type="spellEnd"/>
      <w:r>
        <w:rPr>
          <w:rFonts w:ascii="Times New Roman" w:hAnsi="Times New Roman" w:cs="Times New Roman"/>
          <w:sz w:val="24"/>
          <w:szCs w:val="24"/>
        </w:rPr>
        <w:t xml:space="preserve"> 2009 (2) ZLR 371 (H) where she stated at 385 F-G that:</w:t>
      </w:r>
    </w:p>
    <w:p w:rsidR="00571958" w:rsidRDefault="00571958" w:rsidP="00260BC5">
      <w:pPr>
        <w:spacing w:after="0" w:line="240" w:lineRule="auto"/>
        <w:ind w:left="720"/>
        <w:jc w:val="both"/>
        <w:rPr>
          <w:rFonts w:ascii="Times New Roman" w:hAnsi="Times New Roman" w:cs="Times New Roman"/>
          <w:sz w:val="24"/>
          <w:szCs w:val="24"/>
        </w:rPr>
      </w:pPr>
    </w:p>
    <w:p w:rsidR="00571958" w:rsidRDefault="00571958"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bound by all decisions of the Supreme Court on points of law. Where however, the facts that were placed before the Supreme Court are different from the facts before me, I believe I am at liberty to interpret these facts in light of the law handed down by the Supreme Court. The doctrine of </w:t>
      </w:r>
      <w:r>
        <w:rPr>
          <w:rFonts w:ascii="Times New Roman" w:hAnsi="Times New Roman" w:cs="Times New Roman"/>
          <w:i/>
          <w:sz w:val="24"/>
          <w:szCs w:val="24"/>
        </w:rPr>
        <w:t xml:space="preserve">stare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applies to points of law and not to factual disputes.”</w:t>
      </w:r>
    </w:p>
    <w:p w:rsidR="00036C8F" w:rsidRDefault="00036C8F" w:rsidP="00260BC5">
      <w:pPr>
        <w:spacing w:after="0" w:line="240" w:lineRule="auto"/>
        <w:jc w:val="both"/>
        <w:rPr>
          <w:rFonts w:ascii="Times New Roman" w:hAnsi="Times New Roman" w:cs="Times New Roman"/>
          <w:sz w:val="24"/>
          <w:szCs w:val="24"/>
        </w:rPr>
      </w:pPr>
    </w:p>
    <w:p w:rsidR="00036C8F" w:rsidRDefault="00036C8F"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Govha</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sidRPr="00036C8F">
        <w:rPr>
          <w:rFonts w:ascii="Times New Roman" w:hAnsi="Times New Roman" w:cs="Times New Roman"/>
          <w:sz w:val="24"/>
          <w:szCs w:val="24"/>
        </w:rPr>
        <w:t>), where facts are</w:t>
      </w:r>
      <w:r>
        <w:rPr>
          <w:rFonts w:ascii="Times New Roman" w:hAnsi="Times New Roman" w:cs="Times New Roman"/>
          <w:sz w:val="24"/>
          <w:szCs w:val="24"/>
        </w:rPr>
        <w:t xml:space="preserve"> on all fours with the present case I assessed the dispute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4 – 5 thus:</w:t>
      </w:r>
    </w:p>
    <w:p w:rsidR="00036C8F" w:rsidRDefault="00036C8F" w:rsidP="00260BC5">
      <w:pPr>
        <w:spacing w:after="0" w:line="240" w:lineRule="auto"/>
        <w:jc w:val="both"/>
        <w:rPr>
          <w:rFonts w:ascii="Times New Roman" w:hAnsi="Times New Roman" w:cs="Times New Roman"/>
          <w:sz w:val="24"/>
          <w:szCs w:val="24"/>
        </w:rPr>
      </w:pPr>
    </w:p>
    <w:p w:rsidR="00036C8F" w:rsidRDefault="00036C8F"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“Here is a company which avails to its employees an opportunity to purchase houses they are leasing from it. It signs an understanding with the employees’ representatives which has, appended to it, a list of beneficiaries which list sets out the value of each housing unit and the monthly instalment to be paid by each beneficiary, the applicant included. It goes on to deduct the equivalent of such instalment from the applicant’s salary clearly stating that it is rent to buy the house and to also show the balance outstanding after such deduction. The same instalment is reflected on a written lease agreement.”</w:t>
      </w:r>
    </w:p>
    <w:p w:rsidR="00036C8F" w:rsidRDefault="00036C8F" w:rsidP="00260BC5">
      <w:pPr>
        <w:spacing w:after="0" w:line="360" w:lineRule="auto"/>
        <w:jc w:val="both"/>
        <w:rPr>
          <w:rFonts w:ascii="Times New Roman" w:hAnsi="Times New Roman" w:cs="Times New Roman"/>
          <w:sz w:val="24"/>
          <w:szCs w:val="24"/>
        </w:rPr>
      </w:pPr>
    </w:p>
    <w:p w:rsidR="00036C8F" w:rsidRDefault="00036C8F"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still stand by that analysis of the facts and I should also add that in minutes of a meeting of the applicant’s board of 16 December 2003, a day after the purported lease </w:t>
      </w:r>
      <w:r>
        <w:rPr>
          <w:rFonts w:ascii="Times New Roman" w:hAnsi="Times New Roman" w:cs="Times New Roman"/>
          <w:sz w:val="24"/>
          <w:szCs w:val="24"/>
        </w:rPr>
        <w:lastRenderedPageBreak/>
        <w:t>agreement</w:t>
      </w:r>
      <w:r w:rsidR="002B5F07">
        <w:rPr>
          <w:rFonts w:ascii="Times New Roman" w:hAnsi="Times New Roman" w:cs="Times New Roman"/>
          <w:sz w:val="24"/>
          <w:szCs w:val="24"/>
        </w:rPr>
        <w:t xml:space="preserve"> was signed between the </w:t>
      </w:r>
      <w:proofErr w:type="gramStart"/>
      <w:r w:rsidR="002B5F07">
        <w:rPr>
          <w:rFonts w:ascii="Times New Roman" w:hAnsi="Times New Roman" w:cs="Times New Roman"/>
          <w:sz w:val="24"/>
          <w:szCs w:val="24"/>
        </w:rPr>
        <w:t>parties,</w:t>
      </w:r>
      <w:proofErr w:type="gramEnd"/>
      <w:r w:rsidR="002B5F07">
        <w:rPr>
          <w:rFonts w:ascii="Times New Roman" w:hAnsi="Times New Roman" w:cs="Times New Roman"/>
          <w:sz w:val="24"/>
          <w:szCs w:val="24"/>
        </w:rPr>
        <w:t xml:space="preserve"> the issue of the sale of residential stands was discussed and recorded in the following:</w:t>
      </w:r>
    </w:p>
    <w:p w:rsidR="002B5F07" w:rsidRDefault="002B5F07" w:rsidP="00260BC5">
      <w:pPr>
        <w:spacing w:after="0" w:line="240" w:lineRule="auto"/>
        <w:jc w:val="both"/>
        <w:rPr>
          <w:rFonts w:ascii="Times New Roman" w:hAnsi="Times New Roman" w:cs="Times New Roman"/>
          <w:sz w:val="24"/>
          <w:szCs w:val="24"/>
        </w:rPr>
      </w:pPr>
    </w:p>
    <w:p w:rsidR="002B5F07" w:rsidRDefault="002B5F07"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“3.0. Sale of Residential Properties</w:t>
      </w:r>
    </w:p>
    <w:p w:rsidR="002B5F07" w:rsidRDefault="002B5F07" w:rsidP="00260BC5">
      <w:pPr>
        <w:spacing w:after="0" w:line="240" w:lineRule="auto"/>
        <w:ind w:left="720"/>
        <w:jc w:val="both"/>
        <w:rPr>
          <w:rFonts w:ascii="Times New Roman" w:hAnsi="Times New Roman" w:cs="Times New Roman"/>
          <w:sz w:val="24"/>
          <w:szCs w:val="24"/>
        </w:rPr>
      </w:pPr>
    </w:p>
    <w:p w:rsidR="002B5F07" w:rsidRDefault="002B5F07" w:rsidP="00260B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was a lot of progress on the sale of residential properties. Management had approved and concluded the sale. The employees were busy filling in the contract forms.”</w:t>
      </w:r>
    </w:p>
    <w:p w:rsidR="002B5F07" w:rsidRDefault="002B5F07" w:rsidP="00260BC5">
      <w:pPr>
        <w:spacing w:after="0" w:line="360" w:lineRule="auto"/>
        <w:jc w:val="both"/>
        <w:rPr>
          <w:rFonts w:ascii="Times New Roman" w:hAnsi="Times New Roman" w:cs="Times New Roman"/>
          <w:sz w:val="24"/>
          <w:szCs w:val="24"/>
        </w:rPr>
      </w:pPr>
    </w:p>
    <w:p w:rsidR="002B5F07" w:rsidRDefault="002B5F07"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contract form that has been produced is the lease agreement of 15 December 2003 and yet the board was discussing the conclusion of sale agreements. I think there is substance in Mr </w:t>
      </w:r>
      <w:proofErr w:type="spellStart"/>
      <w:r>
        <w:rPr>
          <w:rFonts w:ascii="Times New Roman" w:hAnsi="Times New Roman" w:cs="Times New Roman"/>
          <w:i/>
          <w:sz w:val="24"/>
          <w:szCs w:val="24"/>
        </w:rPr>
        <w:t>Manyurereni</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that the so called lease agreement was a vehicle through which the applicant was to deduct the purchase price from the respondent’s salary.</w:t>
      </w:r>
    </w:p>
    <w:p w:rsidR="002B5F07" w:rsidRDefault="002B5F07"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may be wrong in that conclusion but whatever the </w:t>
      </w:r>
      <w:proofErr w:type="gramStart"/>
      <w:r>
        <w:rPr>
          <w:rFonts w:ascii="Times New Roman" w:hAnsi="Times New Roman" w:cs="Times New Roman"/>
          <w:sz w:val="24"/>
          <w:szCs w:val="24"/>
        </w:rPr>
        <w:t>case</w:t>
      </w:r>
      <w:r w:rsidR="009149EA">
        <w:rPr>
          <w:rFonts w:ascii="Times New Roman" w:hAnsi="Times New Roman" w:cs="Times New Roman"/>
          <w:sz w:val="24"/>
          <w:szCs w:val="24"/>
        </w:rPr>
        <w:t>,</w:t>
      </w:r>
      <w:r>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is definitely an arguable case the respondent is entitled to present at the trial. It cannot be said therefore that the applicant’s case is unassailable. Quite to the contrary, he has presented facts which, if proved at the trial, would constitute a defence to the claim for eviction.</w:t>
      </w:r>
    </w:p>
    <w:p w:rsidR="002B5F07" w:rsidRDefault="002B5F07"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that were placed before the Supreme Court in </w:t>
      </w:r>
      <w:r>
        <w:rPr>
          <w:rFonts w:ascii="Times New Roman" w:hAnsi="Times New Roman" w:cs="Times New Roman"/>
          <w:i/>
          <w:sz w:val="24"/>
          <w:szCs w:val="24"/>
        </w:rPr>
        <w:t>Ashanti Goldfields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were significantly different from the present case. In that case the employee had made lump sum payments to the employer and then resigned from employment. Thereafter he sought to compel the employer to transfer the house to him. He had not complied with the requirement for instalments and the court concluded that he had only paid rent arrears.</w:t>
      </w:r>
    </w:p>
    <w:p w:rsidR="002B5F07" w:rsidRDefault="002B5F07"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respondent is entitled to argue his case that the deductions</w:t>
      </w:r>
      <w:r w:rsidR="00066D2D">
        <w:rPr>
          <w:rFonts w:ascii="Times New Roman" w:hAnsi="Times New Roman" w:cs="Times New Roman"/>
          <w:sz w:val="24"/>
          <w:szCs w:val="24"/>
        </w:rPr>
        <w:t xml:space="preserve"> made from his salary went towards payment of the purchase price and that the “lease agreement” was not what the applicant claims it was. There is a factual dispute that can only be resolved by </w:t>
      </w:r>
      <w:r w:rsidR="00066D2D">
        <w:rPr>
          <w:rFonts w:ascii="Times New Roman" w:hAnsi="Times New Roman" w:cs="Times New Roman"/>
          <w:i/>
          <w:sz w:val="24"/>
          <w:szCs w:val="24"/>
        </w:rPr>
        <w:t>viva voce</w:t>
      </w:r>
      <w:r w:rsidR="00066D2D">
        <w:rPr>
          <w:rFonts w:ascii="Times New Roman" w:hAnsi="Times New Roman" w:cs="Times New Roman"/>
          <w:sz w:val="24"/>
          <w:szCs w:val="24"/>
        </w:rPr>
        <w:t xml:space="preserve"> evidence at the trial.</w:t>
      </w:r>
    </w:p>
    <w:p w:rsidR="00066D2D" w:rsidRDefault="00066D2D"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not persuaded that the applicant’s claim is unanswerable. Conversely, I am of the view that the respondent has set out material facts which disclose a </w:t>
      </w:r>
      <w:r>
        <w:rPr>
          <w:rFonts w:ascii="Times New Roman" w:hAnsi="Times New Roman" w:cs="Times New Roman"/>
          <w:i/>
          <w:sz w:val="24"/>
          <w:szCs w:val="24"/>
        </w:rPr>
        <w:t>bona fide</w:t>
      </w:r>
      <w:r>
        <w:rPr>
          <w:rFonts w:ascii="Times New Roman" w:hAnsi="Times New Roman" w:cs="Times New Roman"/>
          <w:sz w:val="24"/>
          <w:szCs w:val="24"/>
        </w:rPr>
        <w:t xml:space="preserve"> defence which requires interrogation</w:t>
      </w:r>
      <w:r w:rsidR="00260BC5">
        <w:rPr>
          <w:rFonts w:ascii="Times New Roman" w:hAnsi="Times New Roman" w:cs="Times New Roman"/>
          <w:sz w:val="24"/>
          <w:szCs w:val="24"/>
        </w:rPr>
        <w:t xml:space="preserve"> in a full trial.</w:t>
      </w:r>
    </w:p>
    <w:p w:rsidR="00260BC5" w:rsidRDefault="00260BC5" w:rsidP="0026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those reasons, the summary judgment application is dismissed with costs.</w:t>
      </w:r>
    </w:p>
    <w:p w:rsidR="00260BC5" w:rsidRDefault="00260BC5" w:rsidP="00260BC5">
      <w:pPr>
        <w:spacing w:after="0" w:line="360" w:lineRule="auto"/>
        <w:jc w:val="both"/>
        <w:rPr>
          <w:rFonts w:ascii="Times New Roman" w:hAnsi="Times New Roman" w:cs="Times New Roman"/>
          <w:sz w:val="24"/>
          <w:szCs w:val="24"/>
        </w:rPr>
      </w:pPr>
    </w:p>
    <w:p w:rsidR="00260BC5" w:rsidRDefault="00260BC5" w:rsidP="00260BC5">
      <w:pPr>
        <w:spacing w:after="0" w:line="360" w:lineRule="auto"/>
        <w:jc w:val="both"/>
        <w:rPr>
          <w:rFonts w:ascii="Times New Roman" w:hAnsi="Times New Roman" w:cs="Times New Roman"/>
          <w:sz w:val="24"/>
          <w:szCs w:val="24"/>
        </w:rPr>
      </w:pPr>
    </w:p>
    <w:p w:rsidR="00260BC5" w:rsidRDefault="00260BC5" w:rsidP="00260BC5">
      <w:pPr>
        <w:spacing w:after="0" w:line="360" w:lineRule="auto"/>
        <w:jc w:val="both"/>
        <w:rPr>
          <w:rFonts w:ascii="Times New Roman" w:hAnsi="Times New Roman" w:cs="Times New Roman"/>
          <w:sz w:val="24"/>
          <w:szCs w:val="24"/>
        </w:rPr>
      </w:pPr>
    </w:p>
    <w:p w:rsidR="00260BC5" w:rsidRDefault="00260BC5" w:rsidP="00260BC5">
      <w:pPr>
        <w:spacing w:after="0" w:line="360" w:lineRule="auto"/>
        <w:jc w:val="both"/>
        <w:rPr>
          <w:rFonts w:ascii="Times New Roman" w:hAnsi="Times New Roman" w:cs="Times New Roman"/>
          <w:sz w:val="24"/>
          <w:szCs w:val="24"/>
        </w:rPr>
      </w:pPr>
    </w:p>
    <w:p w:rsidR="00260BC5" w:rsidRDefault="00260BC5" w:rsidP="00260BC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Magwaliba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applicant’s legal practitioners</w:t>
      </w:r>
    </w:p>
    <w:p w:rsidR="00571958" w:rsidRDefault="00260BC5" w:rsidP="005E573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respondent’s legal practi</w:t>
      </w:r>
      <w:r w:rsidR="005E573E">
        <w:rPr>
          <w:rFonts w:ascii="Times New Roman" w:hAnsi="Times New Roman" w:cs="Times New Roman"/>
          <w:sz w:val="24"/>
          <w:szCs w:val="24"/>
        </w:rPr>
        <w:t>ti</w:t>
      </w:r>
      <w:r>
        <w:rPr>
          <w:rFonts w:ascii="Times New Roman" w:hAnsi="Times New Roman" w:cs="Times New Roman"/>
          <w:sz w:val="24"/>
          <w:szCs w:val="24"/>
        </w:rPr>
        <w:t>oners</w:t>
      </w:r>
    </w:p>
    <w:p w:rsidR="00571958" w:rsidRPr="00AF38E4" w:rsidRDefault="00571958" w:rsidP="00260BC5">
      <w:pPr>
        <w:spacing w:after="0" w:line="240" w:lineRule="auto"/>
        <w:jc w:val="both"/>
        <w:rPr>
          <w:rFonts w:ascii="Times New Roman" w:hAnsi="Times New Roman" w:cs="Times New Roman"/>
          <w:sz w:val="24"/>
          <w:szCs w:val="24"/>
        </w:rPr>
      </w:pPr>
    </w:p>
    <w:p w:rsidR="00171D12" w:rsidRPr="00171D12" w:rsidRDefault="00171D12" w:rsidP="00260BC5">
      <w:pPr>
        <w:spacing w:after="0" w:line="240" w:lineRule="auto"/>
        <w:jc w:val="both"/>
        <w:rPr>
          <w:rFonts w:ascii="Times New Roman" w:hAnsi="Times New Roman" w:cs="Times New Roman"/>
          <w:sz w:val="24"/>
          <w:szCs w:val="24"/>
        </w:rPr>
      </w:pPr>
    </w:p>
    <w:sectPr w:rsidR="00171D12" w:rsidRPr="00171D1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91" w:rsidRDefault="00EE4891" w:rsidP="00260BC5">
      <w:pPr>
        <w:spacing w:after="0" w:line="240" w:lineRule="auto"/>
      </w:pPr>
      <w:r>
        <w:separator/>
      </w:r>
    </w:p>
  </w:endnote>
  <w:endnote w:type="continuationSeparator" w:id="0">
    <w:p w:rsidR="00EE4891" w:rsidRDefault="00EE4891" w:rsidP="0026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91" w:rsidRDefault="00EE4891" w:rsidP="00260BC5">
      <w:pPr>
        <w:spacing w:after="0" w:line="240" w:lineRule="auto"/>
      </w:pPr>
      <w:r>
        <w:separator/>
      </w:r>
    </w:p>
  </w:footnote>
  <w:footnote w:type="continuationSeparator" w:id="0">
    <w:p w:rsidR="00EE4891" w:rsidRDefault="00EE4891" w:rsidP="00260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09088"/>
      <w:docPartObj>
        <w:docPartGallery w:val="Page Numbers (Top of Page)"/>
        <w:docPartUnique/>
      </w:docPartObj>
    </w:sdtPr>
    <w:sdtEndPr>
      <w:rPr>
        <w:noProof/>
      </w:rPr>
    </w:sdtEndPr>
    <w:sdtContent>
      <w:p w:rsidR="00F24850" w:rsidRDefault="00F24850">
        <w:pPr>
          <w:pStyle w:val="Header"/>
          <w:jc w:val="right"/>
          <w:rPr>
            <w:noProof/>
          </w:rPr>
        </w:pPr>
        <w:r>
          <w:fldChar w:fldCharType="begin"/>
        </w:r>
        <w:r>
          <w:instrText xml:space="preserve"> PAGE   \* MERGEFORMAT </w:instrText>
        </w:r>
        <w:r>
          <w:fldChar w:fldCharType="separate"/>
        </w:r>
        <w:r w:rsidR="00E20515">
          <w:rPr>
            <w:noProof/>
          </w:rPr>
          <w:t>1</w:t>
        </w:r>
        <w:r>
          <w:rPr>
            <w:noProof/>
          </w:rPr>
          <w:fldChar w:fldCharType="end"/>
        </w:r>
      </w:p>
      <w:p w:rsidR="00F24850" w:rsidRDefault="00F24850">
        <w:pPr>
          <w:pStyle w:val="Header"/>
          <w:jc w:val="right"/>
          <w:rPr>
            <w:noProof/>
          </w:rPr>
        </w:pPr>
        <w:r>
          <w:rPr>
            <w:noProof/>
          </w:rPr>
          <w:t>HH 347-2012</w:t>
        </w:r>
      </w:p>
      <w:p w:rsidR="00F24850" w:rsidRDefault="00F24850">
        <w:pPr>
          <w:pStyle w:val="Header"/>
          <w:jc w:val="right"/>
        </w:pPr>
        <w:r>
          <w:rPr>
            <w:noProof/>
          </w:rPr>
          <w:t>HC  804/12</w:t>
        </w:r>
      </w:p>
    </w:sdtContent>
  </w:sdt>
  <w:p w:rsidR="00260BC5" w:rsidRDefault="00260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12"/>
    <w:rsid w:val="00036C8F"/>
    <w:rsid w:val="00066D2D"/>
    <w:rsid w:val="000848A1"/>
    <w:rsid w:val="000B056D"/>
    <w:rsid w:val="00102367"/>
    <w:rsid w:val="00171D12"/>
    <w:rsid w:val="002436EC"/>
    <w:rsid w:val="00260BC5"/>
    <w:rsid w:val="002B5F07"/>
    <w:rsid w:val="00571958"/>
    <w:rsid w:val="005E573E"/>
    <w:rsid w:val="009149EA"/>
    <w:rsid w:val="00992DFB"/>
    <w:rsid w:val="009B1FD7"/>
    <w:rsid w:val="00A23535"/>
    <w:rsid w:val="00A5575B"/>
    <w:rsid w:val="00AF38E4"/>
    <w:rsid w:val="00C52115"/>
    <w:rsid w:val="00D042D8"/>
    <w:rsid w:val="00D24CDE"/>
    <w:rsid w:val="00D66B25"/>
    <w:rsid w:val="00DE7E32"/>
    <w:rsid w:val="00E145F0"/>
    <w:rsid w:val="00E20515"/>
    <w:rsid w:val="00E31AC0"/>
    <w:rsid w:val="00E958DB"/>
    <w:rsid w:val="00EE4891"/>
    <w:rsid w:val="00F24850"/>
    <w:rsid w:val="00FA1B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BC5"/>
  </w:style>
  <w:style w:type="paragraph" w:styleId="Footer">
    <w:name w:val="footer"/>
    <w:basedOn w:val="Normal"/>
    <w:link w:val="FooterChar"/>
    <w:uiPriority w:val="99"/>
    <w:unhideWhenUsed/>
    <w:rsid w:val="00260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BC5"/>
  </w:style>
  <w:style w:type="paragraph" w:styleId="BalloonText">
    <w:name w:val="Balloon Text"/>
    <w:basedOn w:val="Normal"/>
    <w:link w:val="BalloonTextChar"/>
    <w:uiPriority w:val="99"/>
    <w:semiHidden/>
    <w:unhideWhenUsed/>
    <w:rsid w:val="005E5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BC5"/>
  </w:style>
  <w:style w:type="paragraph" w:styleId="Footer">
    <w:name w:val="footer"/>
    <w:basedOn w:val="Normal"/>
    <w:link w:val="FooterChar"/>
    <w:uiPriority w:val="99"/>
    <w:unhideWhenUsed/>
    <w:rsid w:val="00260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BC5"/>
  </w:style>
  <w:style w:type="paragraph" w:styleId="BalloonText">
    <w:name w:val="Balloon Text"/>
    <w:basedOn w:val="Normal"/>
    <w:link w:val="BalloonTextChar"/>
    <w:uiPriority w:val="99"/>
    <w:semiHidden/>
    <w:unhideWhenUsed/>
    <w:rsid w:val="005E5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2012-09-13T10:40:00Z</cp:lastPrinted>
  <dcterms:created xsi:type="dcterms:W3CDTF">2012-10-25T10:36:00Z</dcterms:created>
  <dcterms:modified xsi:type="dcterms:W3CDTF">2012-10-25T10:36:00Z</dcterms:modified>
</cp:coreProperties>
</file>