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942" w:rsidRDefault="00877324" w:rsidP="003E15B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ASHANTI GOLDFIELDS ZIMBABWE LIMITED</w:t>
      </w:r>
    </w:p>
    <w:p w:rsidR="00877324" w:rsidRDefault="00877324" w:rsidP="003E1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 FREDA REBECCA MINE</w:t>
      </w:r>
    </w:p>
    <w:p w:rsidR="00877324" w:rsidRDefault="00E067A4" w:rsidP="003E1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77324">
        <w:rPr>
          <w:rFonts w:ascii="Times New Roman" w:hAnsi="Times New Roman" w:cs="Times New Roman"/>
          <w:sz w:val="24"/>
          <w:szCs w:val="24"/>
        </w:rPr>
        <w:t>ersus</w:t>
      </w:r>
    </w:p>
    <w:p w:rsidR="00877324" w:rsidRDefault="00877324" w:rsidP="003E1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TATENDA TAKAVADA</w:t>
      </w:r>
    </w:p>
    <w:p w:rsidR="00877324" w:rsidRDefault="00877324" w:rsidP="003E15BB">
      <w:pPr>
        <w:spacing w:after="0" w:line="240" w:lineRule="auto"/>
        <w:jc w:val="both"/>
        <w:rPr>
          <w:rFonts w:ascii="Times New Roman" w:hAnsi="Times New Roman" w:cs="Times New Roman"/>
          <w:sz w:val="24"/>
          <w:szCs w:val="24"/>
        </w:rPr>
      </w:pPr>
    </w:p>
    <w:p w:rsidR="00877324" w:rsidRDefault="00877324" w:rsidP="003E15BB">
      <w:pPr>
        <w:spacing w:after="0" w:line="240" w:lineRule="auto"/>
        <w:jc w:val="both"/>
        <w:rPr>
          <w:rFonts w:ascii="Times New Roman" w:hAnsi="Times New Roman" w:cs="Times New Roman"/>
          <w:sz w:val="24"/>
          <w:szCs w:val="24"/>
        </w:rPr>
      </w:pPr>
    </w:p>
    <w:p w:rsidR="00877324" w:rsidRDefault="00877324" w:rsidP="003E1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77324" w:rsidRDefault="00877324" w:rsidP="003E1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877324" w:rsidRDefault="00877324" w:rsidP="003E1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February, 2012</w:t>
      </w:r>
    </w:p>
    <w:p w:rsidR="00877324" w:rsidRDefault="00877324" w:rsidP="003E15BB">
      <w:pPr>
        <w:spacing w:after="0" w:line="240" w:lineRule="auto"/>
        <w:jc w:val="both"/>
        <w:rPr>
          <w:rFonts w:ascii="Times New Roman" w:hAnsi="Times New Roman" w:cs="Times New Roman"/>
          <w:sz w:val="24"/>
          <w:szCs w:val="24"/>
        </w:rPr>
      </w:pPr>
    </w:p>
    <w:p w:rsidR="00877324" w:rsidRDefault="00877324" w:rsidP="003E15BB">
      <w:pPr>
        <w:spacing w:after="0" w:line="240" w:lineRule="auto"/>
        <w:jc w:val="both"/>
        <w:rPr>
          <w:rFonts w:ascii="Times New Roman" w:hAnsi="Times New Roman" w:cs="Times New Roman"/>
          <w:sz w:val="24"/>
          <w:szCs w:val="24"/>
        </w:rPr>
      </w:pPr>
    </w:p>
    <w:p w:rsidR="00877324" w:rsidRDefault="00877324" w:rsidP="003E1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Opposed Application</w:t>
      </w:r>
    </w:p>
    <w:p w:rsidR="00877324" w:rsidRDefault="00877324" w:rsidP="003E15BB">
      <w:pPr>
        <w:spacing w:after="0" w:line="240" w:lineRule="auto"/>
        <w:jc w:val="both"/>
        <w:rPr>
          <w:rFonts w:ascii="Times New Roman" w:hAnsi="Times New Roman" w:cs="Times New Roman"/>
          <w:sz w:val="24"/>
          <w:szCs w:val="24"/>
        </w:rPr>
      </w:pPr>
    </w:p>
    <w:p w:rsidR="00877324" w:rsidRDefault="00877324" w:rsidP="003E15BB">
      <w:pPr>
        <w:spacing w:after="0" w:line="240" w:lineRule="auto"/>
        <w:jc w:val="both"/>
        <w:rPr>
          <w:rFonts w:ascii="Times New Roman" w:hAnsi="Times New Roman" w:cs="Times New Roman"/>
          <w:sz w:val="24"/>
          <w:szCs w:val="24"/>
        </w:rPr>
      </w:pPr>
    </w:p>
    <w:p w:rsidR="00877324" w:rsidRDefault="00877324" w:rsidP="003E15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Magwaliba</w:t>
      </w:r>
      <w:r>
        <w:rPr>
          <w:rFonts w:ascii="Times New Roman" w:hAnsi="Times New Roman" w:cs="Times New Roman"/>
          <w:sz w:val="24"/>
          <w:szCs w:val="24"/>
        </w:rPr>
        <w:t>, for the applicant</w:t>
      </w:r>
    </w:p>
    <w:p w:rsidR="00877324" w:rsidRDefault="00877324" w:rsidP="003E1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in person</w:t>
      </w:r>
    </w:p>
    <w:p w:rsidR="00877324" w:rsidRDefault="00877324" w:rsidP="003E15BB">
      <w:pPr>
        <w:spacing w:after="0" w:line="240" w:lineRule="auto"/>
        <w:jc w:val="both"/>
        <w:rPr>
          <w:rFonts w:ascii="Times New Roman" w:hAnsi="Times New Roman" w:cs="Times New Roman"/>
          <w:sz w:val="24"/>
          <w:szCs w:val="24"/>
        </w:rPr>
      </w:pPr>
    </w:p>
    <w:p w:rsidR="00877324" w:rsidRDefault="00877324" w:rsidP="003E15BB">
      <w:pPr>
        <w:spacing w:after="0" w:line="240" w:lineRule="auto"/>
        <w:jc w:val="both"/>
        <w:rPr>
          <w:rFonts w:ascii="Times New Roman" w:hAnsi="Times New Roman" w:cs="Times New Roman"/>
          <w:sz w:val="24"/>
          <w:szCs w:val="24"/>
        </w:rPr>
      </w:pPr>
    </w:p>
    <w:p w:rsidR="00877324" w:rsidRDefault="00877324" w:rsidP="003E15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This is an application for summary judgment whose draft order reads:</w:t>
      </w:r>
    </w:p>
    <w:p w:rsidR="00877324" w:rsidRDefault="00877324" w:rsidP="003E15BB">
      <w:pPr>
        <w:spacing w:after="0" w:line="240" w:lineRule="auto"/>
        <w:jc w:val="both"/>
        <w:rPr>
          <w:rFonts w:ascii="Times New Roman" w:hAnsi="Times New Roman" w:cs="Times New Roman"/>
          <w:sz w:val="24"/>
          <w:szCs w:val="24"/>
        </w:rPr>
      </w:pPr>
    </w:p>
    <w:p w:rsidR="00877324" w:rsidRDefault="00877324" w:rsidP="003E15B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respondent be and are (</w:t>
      </w:r>
      <w:r w:rsidRPr="003A79B5">
        <w:rPr>
          <w:rFonts w:ascii="Times New Roman" w:hAnsi="Times New Roman" w:cs="Times New Roman"/>
          <w:i/>
          <w:sz w:val="24"/>
          <w:szCs w:val="24"/>
        </w:rPr>
        <w:t>sic</w:t>
      </w:r>
      <w:r>
        <w:rPr>
          <w:rFonts w:ascii="Times New Roman" w:hAnsi="Times New Roman" w:cs="Times New Roman"/>
          <w:sz w:val="24"/>
          <w:szCs w:val="24"/>
        </w:rPr>
        <w:t xml:space="preserve">) hereby ordered to vacate the plaintiff’s premises to wit House No. 1117 Haka Way, Chipadze </w:t>
      </w:r>
      <w:r w:rsidR="00F81E86">
        <w:rPr>
          <w:rFonts w:ascii="Times New Roman" w:hAnsi="Times New Roman" w:cs="Times New Roman"/>
          <w:sz w:val="24"/>
          <w:szCs w:val="24"/>
        </w:rPr>
        <w:t>Township</w:t>
      </w:r>
      <w:r>
        <w:rPr>
          <w:rFonts w:ascii="Times New Roman" w:hAnsi="Times New Roman" w:cs="Times New Roman"/>
          <w:sz w:val="24"/>
          <w:szCs w:val="24"/>
        </w:rPr>
        <w:t>, within seven (7) days of this order.</w:t>
      </w:r>
    </w:p>
    <w:p w:rsidR="00877324" w:rsidRDefault="00877324" w:rsidP="003E15B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respondent pays costs of suit.”</w:t>
      </w:r>
    </w:p>
    <w:p w:rsidR="00877324" w:rsidRDefault="00877324" w:rsidP="003E15BB">
      <w:pPr>
        <w:spacing w:after="0" w:line="240" w:lineRule="auto"/>
        <w:jc w:val="both"/>
        <w:rPr>
          <w:rFonts w:ascii="Times New Roman" w:hAnsi="Times New Roman" w:cs="Times New Roman"/>
          <w:sz w:val="24"/>
          <w:szCs w:val="24"/>
        </w:rPr>
      </w:pPr>
    </w:p>
    <w:p w:rsidR="00877324" w:rsidRDefault="00877324"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one of several similar matters in which the applicant is seeking the eviction of its former employees from company houses on the basis that the former employees were mere tenants whose employment has since terminated. The former employees, just like the respondent herein, argue that the applicant sold the houses to them.</w:t>
      </w:r>
    </w:p>
    <w:p w:rsidR="00877324" w:rsidRDefault="00877324"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argues that he has a </w:t>
      </w:r>
      <w:r>
        <w:rPr>
          <w:rFonts w:ascii="Times New Roman" w:hAnsi="Times New Roman" w:cs="Times New Roman"/>
          <w:i/>
          <w:sz w:val="24"/>
          <w:szCs w:val="24"/>
        </w:rPr>
        <w:t>bona fide</w:t>
      </w:r>
      <w:r>
        <w:rPr>
          <w:rFonts w:ascii="Times New Roman" w:hAnsi="Times New Roman" w:cs="Times New Roman"/>
          <w:sz w:val="24"/>
          <w:szCs w:val="24"/>
        </w:rPr>
        <w:t xml:space="preserve"> defence to the applicant’s claim. That defence is explained as follows: </w:t>
      </w:r>
      <w:r w:rsidR="00747900">
        <w:rPr>
          <w:rFonts w:ascii="Times New Roman" w:hAnsi="Times New Roman" w:cs="Times New Roman"/>
          <w:sz w:val="24"/>
          <w:szCs w:val="24"/>
        </w:rPr>
        <w:t xml:space="preserve"> </w:t>
      </w:r>
    </w:p>
    <w:p w:rsidR="00747900" w:rsidRDefault="00747900"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1998, the applicant, as part of its staff retention scheme, proposed to sell its housing units to its employees over a five year period. By then, the life-span of the mine had been projected to be around five years. The scheme would also help the applicant realise better value from the disposal of the houses in that manner as opposed to by selling them upon closure of the mine in an environment akin to a ghost town. As a sequel to the proposal, a lot of deliberations were held on the issue and a housing committee was put in place composed of representatives of the employees and the applicant. The relevant minutes were attached to the opposing papers. Minutes of 8 May, 2003 read:</w:t>
      </w:r>
    </w:p>
    <w:p w:rsidR="00F81E86" w:rsidRDefault="00F81E86" w:rsidP="00F81E86">
      <w:pPr>
        <w:spacing w:after="0" w:line="240" w:lineRule="auto"/>
        <w:ind w:firstLine="720"/>
        <w:jc w:val="both"/>
        <w:rPr>
          <w:rFonts w:ascii="Times New Roman" w:hAnsi="Times New Roman" w:cs="Times New Roman"/>
          <w:sz w:val="24"/>
          <w:szCs w:val="24"/>
        </w:rPr>
      </w:pPr>
    </w:p>
    <w:p w:rsidR="00747900" w:rsidRDefault="00747900" w:rsidP="003E15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Sale of Residential Properties</w:t>
      </w:r>
    </w:p>
    <w:p w:rsidR="00747900" w:rsidRDefault="00747900" w:rsidP="003E15BB">
      <w:pPr>
        <w:spacing w:after="0" w:line="240" w:lineRule="auto"/>
        <w:ind w:firstLine="720"/>
        <w:jc w:val="both"/>
        <w:rPr>
          <w:rFonts w:ascii="Times New Roman" w:hAnsi="Times New Roman" w:cs="Times New Roman"/>
          <w:sz w:val="24"/>
          <w:szCs w:val="24"/>
        </w:rPr>
      </w:pPr>
    </w:p>
    <w:p w:rsidR="00747900" w:rsidRDefault="00747900" w:rsidP="003E15B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The process was still on going and progressing well. The Finance Director, together with the workers’ representative went to consult a lawyer to resolve the outstanding issues. The lawyer came up with what he advised as the best option. Minor changes were made to what the lawyer proposed to suit the employee’s needs. Whether that is acceptable will be determined when forms are taken back to the lawyers. IT WAS AGREED that the issue be pursued closely so that it comes to rest.”</w:t>
      </w:r>
    </w:p>
    <w:p w:rsidR="00747900" w:rsidRDefault="00747900" w:rsidP="003E15BB">
      <w:pPr>
        <w:spacing w:after="0" w:line="240" w:lineRule="auto"/>
        <w:jc w:val="both"/>
        <w:rPr>
          <w:rFonts w:ascii="Times New Roman" w:hAnsi="Times New Roman" w:cs="Times New Roman"/>
          <w:sz w:val="24"/>
          <w:szCs w:val="24"/>
        </w:rPr>
      </w:pPr>
    </w:p>
    <w:p w:rsidR="00747900" w:rsidRDefault="00747900" w:rsidP="003E15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Minutes of 24 August, 2003 read:</w:t>
      </w:r>
    </w:p>
    <w:p w:rsidR="00747900" w:rsidRDefault="00747900" w:rsidP="003E15BB">
      <w:pPr>
        <w:spacing w:after="0" w:line="240" w:lineRule="auto"/>
        <w:ind w:left="720"/>
        <w:jc w:val="both"/>
        <w:rPr>
          <w:rFonts w:ascii="Times New Roman" w:hAnsi="Times New Roman" w:cs="Times New Roman"/>
          <w:sz w:val="24"/>
          <w:szCs w:val="24"/>
        </w:rPr>
      </w:pPr>
    </w:p>
    <w:p w:rsidR="00747900" w:rsidRDefault="00747900" w:rsidP="00F81E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Sale of Residential Properties</w:t>
      </w:r>
    </w:p>
    <w:p w:rsidR="00747900" w:rsidRDefault="00747900" w:rsidP="00F81E86">
      <w:pPr>
        <w:spacing w:after="0" w:line="240" w:lineRule="auto"/>
        <w:ind w:left="1440"/>
        <w:jc w:val="both"/>
        <w:rPr>
          <w:rFonts w:ascii="Times New Roman" w:hAnsi="Times New Roman" w:cs="Times New Roman"/>
          <w:sz w:val="24"/>
          <w:szCs w:val="24"/>
        </w:rPr>
      </w:pPr>
    </w:p>
    <w:p w:rsidR="00747900" w:rsidRDefault="00747900" w:rsidP="00F81E8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There was a lot of progress on the sale of residential properties. A hurdle on the revaluation of the houses was cleared with Mr Kwaku-Akosah-Bempah when he visited the mine during the second quarter. The Finance Director together with the worker’s representative had been to the lawyer with the final draft to which the lawyer had already responded. …”</w:t>
      </w:r>
    </w:p>
    <w:p w:rsidR="00BD1560" w:rsidRDefault="00BD1560" w:rsidP="003E15BB">
      <w:pPr>
        <w:spacing w:after="0" w:line="360" w:lineRule="auto"/>
        <w:jc w:val="both"/>
        <w:rPr>
          <w:rFonts w:ascii="Times New Roman" w:hAnsi="Times New Roman" w:cs="Times New Roman"/>
          <w:sz w:val="24"/>
          <w:szCs w:val="24"/>
        </w:rPr>
      </w:pPr>
    </w:p>
    <w:p w:rsidR="00747900" w:rsidRDefault="00BD1560"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Thereafter, what was termed a Memorandum of Agreement BETWEEN Ashanti Goldfields Management and Employees was signed. It provided:</w:t>
      </w:r>
      <w:r w:rsidR="00747900">
        <w:rPr>
          <w:rFonts w:ascii="Times New Roman" w:hAnsi="Times New Roman" w:cs="Times New Roman"/>
          <w:sz w:val="24"/>
          <w:szCs w:val="24"/>
        </w:rPr>
        <w:t xml:space="preserve"> </w:t>
      </w:r>
    </w:p>
    <w:p w:rsidR="003E15BB" w:rsidRDefault="003E15BB" w:rsidP="003E15BB">
      <w:pPr>
        <w:spacing w:after="0" w:line="240" w:lineRule="auto"/>
        <w:ind w:firstLine="720"/>
        <w:jc w:val="both"/>
        <w:rPr>
          <w:rFonts w:ascii="Times New Roman" w:hAnsi="Times New Roman" w:cs="Times New Roman"/>
          <w:sz w:val="24"/>
          <w:szCs w:val="24"/>
        </w:rPr>
      </w:pPr>
    </w:p>
    <w:p w:rsidR="00BD1560" w:rsidRDefault="00BD1560" w:rsidP="00F81E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“Ashanti Goldfields Zimbabwe agrees to dispose of its housing units situated in Chiwaridzo, Grey Line Flats and Low Density to its employees who are sitting tenants effective 1 December 2003. Find the agreed prices attached.”</w:t>
      </w:r>
    </w:p>
    <w:p w:rsidR="00BD1560" w:rsidRDefault="00BD1560" w:rsidP="003E15BB">
      <w:pPr>
        <w:spacing w:after="0" w:line="240" w:lineRule="auto"/>
        <w:jc w:val="both"/>
        <w:rPr>
          <w:rFonts w:ascii="Times New Roman" w:hAnsi="Times New Roman" w:cs="Times New Roman"/>
          <w:sz w:val="24"/>
          <w:szCs w:val="24"/>
        </w:rPr>
      </w:pPr>
    </w:p>
    <w:p w:rsidR="00BD1560" w:rsidRDefault="00BD1560"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attached </w:t>
      </w:r>
      <w:r w:rsidR="00893F78">
        <w:rPr>
          <w:rFonts w:ascii="Times New Roman" w:hAnsi="Times New Roman" w:cs="Times New Roman"/>
          <w:sz w:val="24"/>
          <w:szCs w:val="24"/>
        </w:rPr>
        <w:t xml:space="preserve">schedule </w:t>
      </w:r>
      <w:r>
        <w:rPr>
          <w:rFonts w:ascii="Times New Roman" w:hAnsi="Times New Roman" w:cs="Times New Roman"/>
          <w:sz w:val="24"/>
          <w:szCs w:val="24"/>
        </w:rPr>
        <w:t>has names of the sitting tenants, house number, new valuation of the house and monthly repayment amount.</w:t>
      </w:r>
    </w:p>
    <w:p w:rsidR="00BD1560" w:rsidRDefault="00BD1560"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12 December 2003, the respondent (and other employees) entered into what is headed Agreement of Lease with the applicant. The material clauses of the “lease” state that the lease period would be for five years, monthly rent of not more than 25% of the </w:t>
      </w:r>
      <w:r w:rsidR="00F81E86">
        <w:rPr>
          <w:rFonts w:ascii="Times New Roman" w:hAnsi="Times New Roman" w:cs="Times New Roman"/>
          <w:sz w:val="24"/>
          <w:szCs w:val="24"/>
        </w:rPr>
        <w:t>lessee’s</w:t>
      </w:r>
      <w:r>
        <w:rPr>
          <w:rFonts w:ascii="Times New Roman" w:hAnsi="Times New Roman" w:cs="Times New Roman"/>
          <w:sz w:val="24"/>
          <w:szCs w:val="24"/>
        </w:rPr>
        <w:t xml:space="preserve"> basic salary which would escalate periodically at a rate and on the basis described in Annexure “A” viz “The value of the property will be revalued each time the employee is awarded the annual salary increment. The outstanding balance as at the effective date of the increment is what is revalued. The revaluation will be calculated as follows:</w:t>
      </w:r>
    </w:p>
    <w:p w:rsidR="00BD1560" w:rsidRDefault="00BD1560" w:rsidP="003E15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 of the salary increment (%) x the outstanding balance (as at that date). The revalued outstanding balance will then be divided by the remaining period to get the monthly payment.”</w:t>
      </w:r>
    </w:p>
    <w:p w:rsidR="00BD1560" w:rsidRDefault="00BD1560"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purported lease agreement was simply a vehicle through which deductions would be made from the respondent’s salary. This explains why the applicant on the respondent’s payslip put a deduction titled “Rent to Buy” and why the applicant accepted a lump</w:t>
      </w:r>
      <w:r w:rsidR="005E6DFD">
        <w:rPr>
          <w:rFonts w:ascii="Times New Roman" w:hAnsi="Times New Roman" w:cs="Times New Roman"/>
          <w:sz w:val="24"/>
          <w:szCs w:val="24"/>
        </w:rPr>
        <w:t xml:space="preserve"> </w:t>
      </w:r>
      <w:r>
        <w:rPr>
          <w:rFonts w:ascii="Times New Roman" w:hAnsi="Times New Roman" w:cs="Times New Roman"/>
          <w:sz w:val="24"/>
          <w:szCs w:val="24"/>
        </w:rPr>
        <w:t xml:space="preserve">sum </w:t>
      </w:r>
      <w:r>
        <w:rPr>
          <w:rFonts w:ascii="Times New Roman" w:hAnsi="Times New Roman" w:cs="Times New Roman"/>
          <w:sz w:val="24"/>
          <w:szCs w:val="24"/>
        </w:rPr>
        <w:lastRenderedPageBreak/>
        <w:t xml:space="preserve">payment in full and final settlement of the </w:t>
      </w:r>
      <w:r w:rsidR="005E6DFD">
        <w:rPr>
          <w:rFonts w:ascii="Times New Roman" w:hAnsi="Times New Roman" w:cs="Times New Roman"/>
          <w:sz w:val="24"/>
          <w:szCs w:val="24"/>
        </w:rPr>
        <w:t>sums payable to it under the agreement of sale before the expiration of the purported lease period.</w:t>
      </w:r>
    </w:p>
    <w:p w:rsidR="005E6DFD" w:rsidRDefault="005E6DFD"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 the minutes of 16 December, 2003 are apposite. The relevant part reads:</w:t>
      </w:r>
    </w:p>
    <w:p w:rsidR="005E6DFD" w:rsidRDefault="005E6DFD" w:rsidP="003E15B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Sale of Residential Properties</w:t>
      </w:r>
    </w:p>
    <w:p w:rsidR="005E6DFD" w:rsidRDefault="005E6DFD" w:rsidP="003E15BB">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There was a lot of progress on the sale of residential properties. Management had approved and concluded the sale. The employees are busy filling in the contract forms”</w:t>
      </w:r>
    </w:p>
    <w:p w:rsidR="005E6DFD" w:rsidRDefault="005E6DFD" w:rsidP="003E15BB">
      <w:pPr>
        <w:spacing w:after="0" w:line="240" w:lineRule="auto"/>
        <w:jc w:val="both"/>
        <w:rPr>
          <w:rFonts w:ascii="Times New Roman" w:hAnsi="Times New Roman" w:cs="Times New Roman"/>
          <w:sz w:val="24"/>
          <w:szCs w:val="24"/>
        </w:rPr>
      </w:pPr>
    </w:p>
    <w:p w:rsidR="005E6DFD" w:rsidRDefault="005E6DFD"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Pertinent to note here is that this was said after 12 December, 2003 purported lease agreement.</w:t>
      </w:r>
    </w:p>
    <w:p w:rsidR="00514CD4" w:rsidRDefault="005E6DFD"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there exists a plethora of case law on the subject of summary judgment, the </w:t>
      </w:r>
      <w:r>
        <w:rPr>
          <w:rFonts w:ascii="Times New Roman" w:hAnsi="Times New Roman" w:cs="Times New Roman"/>
          <w:i/>
          <w:sz w:val="24"/>
          <w:szCs w:val="24"/>
        </w:rPr>
        <w:t>locus classicus</w:t>
      </w:r>
      <w:r>
        <w:rPr>
          <w:rFonts w:ascii="Times New Roman" w:hAnsi="Times New Roman" w:cs="Times New Roman"/>
          <w:sz w:val="24"/>
          <w:szCs w:val="24"/>
        </w:rPr>
        <w:t xml:space="preserve"> is that of </w:t>
      </w:r>
      <w:r>
        <w:rPr>
          <w:rFonts w:ascii="Times New Roman" w:hAnsi="Times New Roman" w:cs="Times New Roman"/>
          <w:i/>
          <w:sz w:val="24"/>
          <w:szCs w:val="24"/>
        </w:rPr>
        <w:t>Maharaj</w:t>
      </w:r>
      <w:r>
        <w:rPr>
          <w:rFonts w:ascii="Times New Roman" w:hAnsi="Times New Roman" w:cs="Times New Roman"/>
          <w:sz w:val="24"/>
          <w:szCs w:val="24"/>
        </w:rPr>
        <w:t xml:space="preserve"> v </w:t>
      </w:r>
      <w:r>
        <w:rPr>
          <w:rFonts w:ascii="Times New Roman" w:hAnsi="Times New Roman" w:cs="Times New Roman"/>
          <w:i/>
          <w:sz w:val="24"/>
          <w:szCs w:val="24"/>
        </w:rPr>
        <w:t>Barclays</w:t>
      </w:r>
      <w:r w:rsidR="00514CD4">
        <w:rPr>
          <w:rFonts w:ascii="Times New Roman" w:hAnsi="Times New Roman" w:cs="Times New Roman"/>
          <w:i/>
          <w:sz w:val="24"/>
          <w:szCs w:val="24"/>
        </w:rPr>
        <w:t xml:space="preserve"> National Bank Limited</w:t>
      </w:r>
      <w:r w:rsidR="00514CD4">
        <w:rPr>
          <w:rFonts w:ascii="Times New Roman" w:hAnsi="Times New Roman" w:cs="Times New Roman"/>
          <w:sz w:val="24"/>
          <w:szCs w:val="24"/>
        </w:rPr>
        <w:t xml:space="preserve"> 1976 (1) SA 418 (AD) at 426 A where CORBETT JA said:</w:t>
      </w:r>
    </w:p>
    <w:p w:rsidR="00732851" w:rsidRDefault="00732851" w:rsidP="003E15BB">
      <w:pPr>
        <w:spacing w:after="0" w:line="240" w:lineRule="auto"/>
        <w:ind w:firstLine="720"/>
        <w:jc w:val="both"/>
        <w:rPr>
          <w:rFonts w:ascii="Times New Roman" w:hAnsi="Times New Roman" w:cs="Times New Roman"/>
          <w:sz w:val="24"/>
          <w:szCs w:val="24"/>
        </w:rPr>
      </w:pPr>
    </w:p>
    <w:p w:rsidR="00514CD4" w:rsidRDefault="00514CD4" w:rsidP="003E15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“Accordingly, one of the ways in which a defendant may successfully oppose a claim for summary judgment is by satisfying the court by affidavit that he has a </w:t>
      </w:r>
      <w:r>
        <w:rPr>
          <w:rFonts w:ascii="Times New Roman" w:hAnsi="Times New Roman" w:cs="Times New Roman"/>
          <w:i/>
          <w:sz w:val="24"/>
          <w:szCs w:val="24"/>
        </w:rPr>
        <w:t xml:space="preserve">bona fide </w:t>
      </w:r>
      <w:r>
        <w:rPr>
          <w:rFonts w:ascii="Times New Roman" w:hAnsi="Times New Roman" w:cs="Times New Roman"/>
          <w:sz w:val="24"/>
          <w:szCs w:val="24"/>
        </w:rPr>
        <w:t>defence to the claim. Where the defence is based upon facts, in the sense that material alleged by the plaintiff in his summons … are disputed or new facts are alleged constituting a defence, the court does not attempt to decide these issues or to determine whether or not there is a balance of probabilities in favour of one party or the other. All that the court enquires into is:</w:t>
      </w:r>
    </w:p>
    <w:p w:rsidR="00514CD4" w:rsidRDefault="00514CD4" w:rsidP="003E15BB">
      <w:pPr>
        <w:spacing w:after="0" w:line="240" w:lineRule="auto"/>
        <w:ind w:left="720"/>
        <w:jc w:val="both"/>
        <w:rPr>
          <w:rFonts w:ascii="Times New Roman" w:hAnsi="Times New Roman" w:cs="Times New Roman"/>
          <w:sz w:val="24"/>
          <w:szCs w:val="24"/>
        </w:rPr>
      </w:pPr>
    </w:p>
    <w:p w:rsidR="00732851" w:rsidRDefault="00732851" w:rsidP="003E15B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the defendant has fully disclosed the nature and grounds of his defence and the material facts upon which it is founded; and</w:t>
      </w:r>
    </w:p>
    <w:p w:rsidR="00732851" w:rsidRDefault="00732851" w:rsidP="003E15B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Whether on the facts so disclosed the defendant appears to have, as to either the whole or part of the claim, a defence which is </w:t>
      </w:r>
      <w:r>
        <w:rPr>
          <w:rFonts w:ascii="Times New Roman" w:hAnsi="Times New Roman" w:cs="Times New Roman"/>
          <w:i/>
          <w:sz w:val="24"/>
          <w:szCs w:val="24"/>
        </w:rPr>
        <w:t>bona fide</w:t>
      </w:r>
      <w:r>
        <w:rPr>
          <w:rFonts w:ascii="Times New Roman" w:hAnsi="Times New Roman" w:cs="Times New Roman"/>
          <w:sz w:val="24"/>
          <w:szCs w:val="24"/>
        </w:rPr>
        <w:t xml:space="preserve"> and good in law.”</w:t>
      </w:r>
    </w:p>
    <w:p w:rsidR="00732851" w:rsidRDefault="00732851" w:rsidP="003E15BB">
      <w:pPr>
        <w:spacing w:after="0" w:line="360" w:lineRule="auto"/>
        <w:jc w:val="both"/>
        <w:rPr>
          <w:rFonts w:ascii="Times New Roman" w:hAnsi="Times New Roman" w:cs="Times New Roman"/>
          <w:sz w:val="24"/>
          <w:szCs w:val="24"/>
        </w:rPr>
      </w:pPr>
    </w:p>
    <w:p w:rsidR="00732851" w:rsidRDefault="00732851"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facts so disclosed in </w:t>
      </w:r>
      <w:r>
        <w:rPr>
          <w:rFonts w:ascii="Times New Roman" w:hAnsi="Times New Roman" w:cs="Times New Roman"/>
          <w:i/>
          <w:sz w:val="24"/>
          <w:szCs w:val="24"/>
        </w:rPr>
        <w:t xml:space="preserve">casu </w:t>
      </w:r>
      <w:r w:rsidRPr="00732851">
        <w:rPr>
          <w:rFonts w:ascii="Times New Roman" w:hAnsi="Times New Roman" w:cs="Times New Roman"/>
          <w:sz w:val="24"/>
          <w:szCs w:val="24"/>
        </w:rPr>
        <w:t>I am persuaded that the respondent’s defence is bona fide and good in law. I also derive</w:t>
      </w:r>
      <w:r>
        <w:rPr>
          <w:rFonts w:ascii="Times New Roman" w:hAnsi="Times New Roman" w:cs="Times New Roman"/>
          <w:sz w:val="24"/>
          <w:szCs w:val="24"/>
        </w:rPr>
        <w:t xml:space="preserve"> solace in reaching this conclusion from the salutary words of GUBBAY JA (as he then was) in </w:t>
      </w:r>
      <w:r>
        <w:rPr>
          <w:rFonts w:ascii="Times New Roman" w:hAnsi="Times New Roman" w:cs="Times New Roman"/>
          <w:i/>
          <w:sz w:val="24"/>
          <w:szCs w:val="24"/>
        </w:rPr>
        <w:t>Jena</w:t>
      </w:r>
      <w:r>
        <w:rPr>
          <w:rFonts w:ascii="Times New Roman" w:hAnsi="Times New Roman" w:cs="Times New Roman"/>
          <w:sz w:val="24"/>
          <w:szCs w:val="24"/>
        </w:rPr>
        <w:t xml:space="preserve"> v </w:t>
      </w:r>
      <w:r>
        <w:rPr>
          <w:rFonts w:ascii="Times New Roman" w:hAnsi="Times New Roman" w:cs="Times New Roman"/>
          <w:i/>
          <w:sz w:val="24"/>
          <w:szCs w:val="24"/>
        </w:rPr>
        <w:t>Nechipote</w:t>
      </w:r>
      <w:r>
        <w:rPr>
          <w:rFonts w:ascii="Times New Roman" w:hAnsi="Times New Roman" w:cs="Times New Roman"/>
          <w:sz w:val="24"/>
          <w:szCs w:val="24"/>
        </w:rPr>
        <w:t xml:space="preserve"> 1986 (1) ZLR 29 (S) at 30 where the LEARNED JUDGE OF APPEAL held:</w:t>
      </w:r>
    </w:p>
    <w:p w:rsidR="00732851" w:rsidRDefault="00732851" w:rsidP="003E15BB">
      <w:pPr>
        <w:spacing w:after="0" w:line="240" w:lineRule="auto"/>
        <w:ind w:firstLine="720"/>
        <w:jc w:val="both"/>
        <w:rPr>
          <w:rFonts w:ascii="Times New Roman" w:hAnsi="Times New Roman" w:cs="Times New Roman"/>
          <w:sz w:val="24"/>
          <w:szCs w:val="24"/>
        </w:rPr>
      </w:pPr>
    </w:p>
    <w:p w:rsidR="00732851" w:rsidRDefault="00732851" w:rsidP="003E15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“All the defendant has to establish in order to succeed in having an application for summary judgment dismissed is that there is a mere possibility of his success; he has a plausible defence; there is a triable issue; or there is a reasonable possibility that an injustice may be done if summary judgment is granted.”</w:t>
      </w:r>
    </w:p>
    <w:p w:rsidR="00732851" w:rsidRDefault="00732851" w:rsidP="003E15BB">
      <w:pPr>
        <w:spacing w:after="0" w:line="240" w:lineRule="auto"/>
        <w:jc w:val="both"/>
        <w:rPr>
          <w:rFonts w:ascii="Times New Roman" w:hAnsi="Times New Roman" w:cs="Times New Roman"/>
          <w:sz w:val="24"/>
          <w:szCs w:val="24"/>
        </w:rPr>
      </w:pPr>
    </w:p>
    <w:p w:rsidR="00732851" w:rsidRDefault="00732851"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respondent’s explanation exp</w:t>
      </w:r>
      <w:r w:rsidR="00893F78">
        <w:rPr>
          <w:rFonts w:ascii="Times New Roman" w:hAnsi="Times New Roman" w:cs="Times New Roman"/>
          <w:sz w:val="24"/>
          <w:szCs w:val="24"/>
        </w:rPr>
        <w:t>oun</w:t>
      </w:r>
      <w:r>
        <w:rPr>
          <w:rFonts w:ascii="Times New Roman" w:hAnsi="Times New Roman" w:cs="Times New Roman"/>
          <w:sz w:val="24"/>
          <w:szCs w:val="24"/>
        </w:rPr>
        <w:t xml:space="preserve">ded </w:t>
      </w:r>
      <w:r w:rsidR="00F81E86">
        <w:rPr>
          <w:rFonts w:ascii="Times New Roman" w:hAnsi="Times New Roman" w:cs="Times New Roman"/>
          <w:sz w:val="24"/>
          <w:szCs w:val="24"/>
        </w:rPr>
        <w:t>above;</w:t>
      </w:r>
      <w:r>
        <w:rPr>
          <w:rFonts w:ascii="Times New Roman" w:hAnsi="Times New Roman" w:cs="Times New Roman"/>
          <w:sz w:val="24"/>
          <w:szCs w:val="24"/>
        </w:rPr>
        <w:t xml:space="preserve"> right through its chronology of events pertaining to the disposal of residential properties does amount to a trial issue. Exists a reasonable possibility of an injustice being done i</w:t>
      </w:r>
      <w:r w:rsidR="00893F78">
        <w:rPr>
          <w:rFonts w:ascii="Times New Roman" w:hAnsi="Times New Roman" w:cs="Times New Roman"/>
          <w:sz w:val="24"/>
          <w:szCs w:val="24"/>
        </w:rPr>
        <w:t>F</w:t>
      </w:r>
      <w:r>
        <w:rPr>
          <w:rFonts w:ascii="Times New Roman" w:hAnsi="Times New Roman" w:cs="Times New Roman"/>
          <w:sz w:val="24"/>
          <w:szCs w:val="24"/>
        </w:rPr>
        <w:t xml:space="preserve"> summary judgment were to be granted. </w:t>
      </w:r>
    </w:p>
    <w:p w:rsidR="003E15BB" w:rsidRDefault="00732851"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constrained to utter the following strictures concerning the applicant’s obduracy. As stated above, there are scores of similar cases involving the</w:t>
      </w:r>
      <w:r w:rsidR="00156075">
        <w:rPr>
          <w:rFonts w:ascii="Times New Roman" w:hAnsi="Times New Roman" w:cs="Times New Roman"/>
          <w:sz w:val="24"/>
          <w:szCs w:val="24"/>
        </w:rPr>
        <w:t xml:space="preserve"> applicant and its former employees. One such is </w:t>
      </w:r>
      <w:r w:rsidR="00156075">
        <w:rPr>
          <w:rFonts w:ascii="Times New Roman" w:hAnsi="Times New Roman" w:cs="Times New Roman"/>
          <w:i/>
          <w:sz w:val="24"/>
          <w:szCs w:val="24"/>
        </w:rPr>
        <w:t xml:space="preserve">Ashanti Goldfields Zimbabwe Limited </w:t>
      </w:r>
      <w:r w:rsidR="00156075">
        <w:rPr>
          <w:rFonts w:ascii="Times New Roman" w:hAnsi="Times New Roman" w:cs="Times New Roman"/>
          <w:sz w:val="24"/>
          <w:szCs w:val="24"/>
        </w:rPr>
        <w:t>t/a</w:t>
      </w:r>
      <w:r w:rsidR="00156075">
        <w:rPr>
          <w:rFonts w:ascii="Times New Roman" w:hAnsi="Times New Roman" w:cs="Times New Roman"/>
          <w:i/>
          <w:sz w:val="24"/>
          <w:szCs w:val="24"/>
        </w:rPr>
        <w:t xml:space="preserve"> Freda Rebecca Mine</w:t>
      </w:r>
      <w:r w:rsidR="00156075">
        <w:rPr>
          <w:rFonts w:ascii="Times New Roman" w:hAnsi="Times New Roman" w:cs="Times New Roman"/>
          <w:sz w:val="24"/>
          <w:szCs w:val="24"/>
        </w:rPr>
        <w:t xml:space="preserve"> v </w:t>
      </w:r>
      <w:r w:rsidR="00156075">
        <w:rPr>
          <w:rFonts w:ascii="Times New Roman" w:hAnsi="Times New Roman" w:cs="Times New Roman"/>
          <w:i/>
          <w:sz w:val="24"/>
          <w:szCs w:val="24"/>
        </w:rPr>
        <w:t>Joachim C Nguwo</w:t>
      </w:r>
      <w:r w:rsidR="00156075">
        <w:rPr>
          <w:rFonts w:ascii="Times New Roman" w:hAnsi="Times New Roman" w:cs="Times New Roman"/>
          <w:sz w:val="24"/>
          <w:szCs w:val="24"/>
        </w:rPr>
        <w:t xml:space="preserve"> HH 58/2012 wherein I dismissed a similar application on the same grounds. The applicant seems to be engaged in a process of judge-hunting because several similar cases are either pending before other judges or have been dealt with </w:t>
      </w:r>
      <w:r w:rsidR="00893F78">
        <w:rPr>
          <w:rFonts w:ascii="Times New Roman" w:hAnsi="Times New Roman" w:cs="Times New Roman"/>
          <w:sz w:val="24"/>
          <w:szCs w:val="24"/>
        </w:rPr>
        <w:t>m</w:t>
      </w:r>
      <w:r w:rsidR="00F81E86">
        <w:rPr>
          <w:rFonts w:ascii="Times New Roman" w:hAnsi="Times New Roman" w:cs="Times New Roman"/>
          <w:sz w:val="24"/>
          <w:szCs w:val="24"/>
        </w:rPr>
        <w:t>e</w:t>
      </w:r>
      <w:r w:rsidR="00893F78">
        <w:rPr>
          <w:rFonts w:ascii="Times New Roman" w:hAnsi="Times New Roman" w:cs="Times New Roman"/>
          <w:sz w:val="24"/>
          <w:szCs w:val="24"/>
        </w:rPr>
        <w:t>e</w:t>
      </w:r>
      <w:r w:rsidR="00F81E86">
        <w:rPr>
          <w:rFonts w:ascii="Times New Roman" w:hAnsi="Times New Roman" w:cs="Times New Roman"/>
          <w:sz w:val="24"/>
          <w:szCs w:val="24"/>
        </w:rPr>
        <w:t>ting</w:t>
      </w:r>
      <w:r w:rsidR="00893F78">
        <w:rPr>
          <w:rFonts w:ascii="Times New Roman" w:hAnsi="Times New Roman" w:cs="Times New Roman"/>
          <w:sz w:val="24"/>
          <w:szCs w:val="24"/>
        </w:rPr>
        <w:t xml:space="preserve"> with</w:t>
      </w:r>
      <w:r w:rsidR="00156075">
        <w:rPr>
          <w:rFonts w:ascii="Times New Roman" w:hAnsi="Times New Roman" w:cs="Times New Roman"/>
          <w:sz w:val="24"/>
          <w:szCs w:val="24"/>
        </w:rPr>
        <w:t xml:space="preserve"> the same fate of dismissal. In 1. </w:t>
      </w:r>
      <w:r w:rsidR="00156075">
        <w:rPr>
          <w:rFonts w:ascii="Times New Roman" w:hAnsi="Times New Roman" w:cs="Times New Roman"/>
          <w:i/>
          <w:sz w:val="24"/>
          <w:szCs w:val="24"/>
        </w:rPr>
        <w:t>Simbarashe Antonio</w:t>
      </w:r>
      <w:r w:rsidR="00156075">
        <w:rPr>
          <w:rFonts w:ascii="Times New Roman" w:hAnsi="Times New Roman" w:cs="Times New Roman"/>
          <w:sz w:val="24"/>
          <w:szCs w:val="24"/>
        </w:rPr>
        <w:t xml:space="preserve"> v </w:t>
      </w:r>
      <w:r w:rsidR="00156075">
        <w:rPr>
          <w:rFonts w:ascii="Times New Roman" w:hAnsi="Times New Roman" w:cs="Times New Roman"/>
          <w:i/>
          <w:sz w:val="24"/>
          <w:szCs w:val="24"/>
        </w:rPr>
        <w:t>Ashanti Goldfields Zimbabwe Limited &amp; Registrar of Dee</w:t>
      </w:r>
      <w:r w:rsidR="00893F78">
        <w:rPr>
          <w:rFonts w:ascii="Times New Roman" w:hAnsi="Times New Roman" w:cs="Times New Roman"/>
          <w:i/>
          <w:sz w:val="24"/>
          <w:szCs w:val="24"/>
        </w:rPr>
        <w:t>d</w:t>
      </w:r>
      <w:r w:rsidR="00156075">
        <w:rPr>
          <w:rFonts w:ascii="Times New Roman" w:hAnsi="Times New Roman" w:cs="Times New Roman"/>
          <w:i/>
          <w:sz w:val="24"/>
          <w:szCs w:val="24"/>
        </w:rPr>
        <w:t>s</w:t>
      </w:r>
      <w:r w:rsidR="00156075" w:rsidRPr="00156075">
        <w:rPr>
          <w:rFonts w:ascii="Times New Roman" w:hAnsi="Times New Roman" w:cs="Times New Roman"/>
          <w:sz w:val="24"/>
          <w:szCs w:val="24"/>
        </w:rPr>
        <w:t>;</w:t>
      </w:r>
      <w:r w:rsidR="00156075">
        <w:rPr>
          <w:rFonts w:ascii="Times New Roman" w:hAnsi="Times New Roman" w:cs="Times New Roman"/>
          <w:i/>
          <w:sz w:val="24"/>
          <w:szCs w:val="24"/>
        </w:rPr>
        <w:t xml:space="preserve"> </w:t>
      </w:r>
      <w:r w:rsidR="00156075">
        <w:rPr>
          <w:rFonts w:ascii="Times New Roman" w:hAnsi="Times New Roman" w:cs="Times New Roman"/>
          <w:sz w:val="24"/>
          <w:szCs w:val="24"/>
        </w:rPr>
        <w:t xml:space="preserve">2. </w:t>
      </w:r>
      <w:r w:rsidR="00156075">
        <w:rPr>
          <w:rFonts w:ascii="Times New Roman" w:hAnsi="Times New Roman" w:cs="Times New Roman"/>
          <w:i/>
          <w:sz w:val="24"/>
          <w:szCs w:val="24"/>
        </w:rPr>
        <w:t>Kingstone Mujati</w:t>
      </w:r>
      <w:r w:rsidR="00156075">
        <w:rPr>
          <w:rFonts w:ascii="Times New Roman" w:hAnsi="Times New Roman" w:cs="Times New Roman"/>
          <w:sz w:val="24"/>
          <w:szCs w:val="24"/>
        </w:rPr>
        <w:t xml:space="preserve"> v </w:t>
      </w:r>
      <w:r w:rsidR="00156075">
        <w:rPr>
          <w:rFonts w:ascii="Times New Roman" w:hAnsi="Times New Roman" w:cs="Times New Roman"/>
          <w:i/>
          <w:sz w:val="24"/>
          <w:szCs w:val="24"/>
        </w:rPr>
        <w:t>Ashanti Goldfields Zimbabwe Limited</w:t>
      </w:r>
      <w:r w:rsidR="00156075">
        <w:rPr>
          <w:rFonts w:ascii="Times New Roman" w:hAnsi="Times New Roman" w:cs="Times New Roman"/>
          <w:sz w:val="24"/>
          <w:szCs w:val="24"/>
        </w:rPr>
        <w:t xml:space="preserve"> t/a </w:t>
      </w:r>
      <w:r w:rsidR="00156075">
        <w:rPr>
          <w:rFonts w:ascii="Times New Roman" w:hAnsi="Times New Roman" w:cs="Times New Roman"/>
          <w:i/>
          <w:sz w:val="24"/>
          <w:szCs w:val="24"/>
        </w:rPr>
        <w:t>Freda Rebecca Mine &amp; Registrar of Dee</w:t>
      </w:r>
      <w:r w:rsidR="00893F78">
        <w:rPr>
          <w:rFonts w:ascii="Times New Roman" w:hAnsi="Times New Roman" w:cs="Times New Roman"/>
          <w:i/>
          <w:sz w:val="24"/>
          <w:szCs w:val="24"/>
        </w:rPr>
        <w:t>d</w:t>
      </w:r>
      <w:r w:rsidR="00156075">
        <w:rPr>
          <w:rFonts w:ascii="Times New Roman" w:hAnsi="Times New Roman" w:cs="Times New Roman"/>
          <w:i/>
          <w:sz w:val="24"/>
          <w:szCs w:val="24"/>
        </w:rPr>
        <w:t>s</w:t>
      </w:r>
      <w:r w:rsidR="00156075" w:rsidRPr="00156075">
        <w:rPr>
          <w:rFonts w:ascii="Times New Roman" w:hAnsi="Times New Roman" w:cs="Times New Roman"/>
          <w:sz w:val="24"/>
          <w:szCs w:val="24"/>
        </w:rPr>
        <w:t>;</w:t>
      </w:r>
      <w:r w:rsidR="00156075">
        <w:rPr>
          <w:rFonts w:ascii="Times New Roman" w:hAnsi="Times New Roman" w:cs="Times New Roman"/>
          <w:sz w:val="24"/>
          <w:szCs w:val="24"/>
        </w:rPr>
        <w:t xml:space="preserve"> and 3. </w:t>
      </w:r>
      <w:r w:rsidR="00156075">
        <w:rPr>
          <w:rFonts w:ascii="Times New Roman" w:hAnsi="Times New Roman" w:cs="Times New Roman"/>
          <w:i/>
          <w:sz w:val="24"/>
          <w:szCs w:val="24"/>
        </w:rPr>
        <w:t>Ashanti Goldfields Zimbabwe Limited</w:t>
      </w:r>
      <w:r w:rsidR="00156075">
        <w:rPr>
          <w:rFonts w:ascii="Times New Roman" w:hAnsi="Times New Roman" w:cs="Times New Roman"/>
          <w:sz w:val="24"/>
          <w:szCs w:val="24"/>
        </w:rPr>
        <w:t xml:space="preserve"> v </w:t>
      </w:r>
      <w:r w:rsidR="00156075">
        <w:rPr>
          <w:rFonts w:ascii="Times New Roman" w:hAnsi="Times New Roman" w:cs="Times New Roman"/>
          <w:i/>
          <w:sz w:val="24"/>
          <w:szCs w:val="24"/>
        </w:rPr>
        <w:t>Kwadzanayi Bonde</w:t>
      </w:r>
      <w:r w:rsidR="00156075">
        <w:rPr>
          <w:rFonts w:ascii="Times New Roman" w:hAnsi="Times New Roman" w:cs="Times New Roman"/>
          <w:sz w:val="24"/>
          <w:szCs w:val="24"/>
        </w:rPr>
        <w:t xml:space="preserve"> HH 139-09 MAKARAU JP (as she then was), following a full trial based on similar claims, distinguished the </w:t>
      </w:r>
      <w:r w:rsidR="00156075">
        <w:rPr>
          <w:rFonts w:ascii="Times New Roman" w:hAnsi="Times New Roman" w:cs="Times New Roman"/>
          <w:i/>
          <w:sz w:val="24"/>
          <w:szCs w:val="24"/>
        </w:rPr>
        <w:t>Ashanti Goldfields Zimbabwe Limited</w:t>
      </w:r>
      <w:r w:rsidR="00156075">
        <w:rPr>
          <w:rFonts w:ascii="Times New Roman" w:hAnsi="Times New Roman" w:cs="Times New Roman"/>
          <w:sz w:val="24"/>
          <w:szCs w:val="24"/>
        </w:rPr>
        <w:t xml:space="preserve"> v </w:t>
      </w:r>
      <w:r w:rsidR="00156075">
        <w:rPr>
          <w:rFonts w:ascii="Times New Roman" w:hAnsi="Times New Roman" w:cs="Times New Roman"/>
          <w:i/>
          <w:sz w:val="24"/>
          <w:szCs w:val="24"/>
        </w:rPr>
        <w:t>Clemence Kovi</w:t>
      </w:r>
      <w:r w:rsidR="00156075">
        <w:rPr>
          <w:rFonts w:ascii="Times New Roman" w:hAnsi="Times New Roman" w:cs="Times New Roman"/>
          <w:sz w:val="24"/>
          <w:szCs w:val="24"/>
        </w:rPr>
        <w:t xml:space="preserve"> SC 7/09 which the applicant seems to rely on in its claims and held that the facts in HH 139-09 established a sale. </w:t>
      </w:r>
      <w:r w:rsidR="00F81E86">
        <w:rPr>
          <w:rFonts w:ascii="Times New Roman" w:hAnsi="Times New Roman" w:cs="Times New Roman"/>
          <w:sz w:val="24"/>
          <w:szCs w:val="24"/>
        </w:rPr>
        <w:t xml:space="preserve">Those facts fall on all fours with the facts in </w:t>
      </w:r>
      <w:r w:rsidR="00F81E86">
        <w:rPr>
          <w:rFonts w:ascii="Times New Roman" w:hAnsi="Times New Roman" w:cs="Times New Roman"/>
          <w:i/>
          <w:sz w:val="24"/>
          <w:szCs w:val="24"/>
        </w:rPr>
        <w:t xml:space="preserve">casu </w:t>
      </w:r>
      <w:r w:rsidR="00F81E86">
        <w:rPr>
          <w:rFonts w:ascii="Times New Roman" w:hAnsi="Times New Roman" w:cs="Times New Roman"/>
          <w:sz w:val="24"/>
          <w:szCs w:val="24"/>
        </w:rPr>
        <w:t xml:space="preserve">as well as those in the </w:t>
      </w:r>
      <w:r w:rsidR="00F81E86">
        <w:rPr>
          <w:rFonts w:ascii="Times New Roman" w:hAnsi="Times New Roman" w:cs="Times New Roman"/>
          <w:i/>
          <w:sz w:val="24"/>
          <w:szCs w:val="24"/>
        </w:rPr>
        <w:t>Nguwo</w:t>
      </w:r>
      <w:r w:rsidR="00F81E86">
        <w:rPr>
          <w:rFonts w:ascii="Times New Roman" w:hAnsi="Times New Roman" w:cs="Times New Roman"/>
          <w:sz w:val="24"/>
          <w:szCs w:val="24"/>
        </w:rPr>
        <w:t xml:space="preserve"> case </w:t>
      </w:r>
      <w:r w:rsidR="00F81E86">
        <w:rPr>
          <w:rFonts w:ascii="Times New Roman" w:hAnsi="Times New Roman" w:cs="Times New Roman"/>
          <w:i/>
          <w:sz w:val="24"/>
          <w:szCs w:val="24"/>
        </w:rPr>
        <w:t>supra</w:t>
      </w:r>
      <w:r w:rsidR="00F81E86">
        <w:rPr>
          <w:rFonts w:ascii="Times New Roman" w:hAnsi="Times New Roman" w:cs="Times New Roman"/>
          <w:sz w:val="24"/>
          <w:szCs w:val="24"/>
        </w:rPr>
        <w:t xml:space="preserve"> in which I dismissed the application for summary judgment and gave the respondent unconditional leave to defend. </w:t>
      </w:r>
      <w:r w:rsidR="00156075">
        <w:rPr>
          <w:rFonts w:ascii="Times New Roman" w:hAnsi="Times New Roman" w:cs="Times New Roman"/>
          <w:sz w:val="24"/>
          <w:szCs w:val="24"/>
        </w:rPr>
        <w:t>Although the judgment in HH 135-09 was appealed against and the appeal is</w:t>
      </w:r>
      <w:r w:rsidR="003E15BB">
        <w:rPr>
          <w:rFonts w:ascii="Times New Roman" w:hAnsi="Times New Roman" w:cs="Times New Roman"/>
          <w:sz w:val="24"/>
          <w:szCs w:val="24"/>
        </w:rPr>
        <w:t xml:space="preserve"> </w:t>
      </w:r>
      <w:r w:rsidR="00156075">
        <w:rPr>
          <w:rFonts w:ascii="Times New Roman" w:hAnsi="Times New Roman" w:cs="Times New Roman"/>
          <w:sz w:val="24"/>
          <w:szCs w:val="24"/>
        </w:rPr>
        <w:t>still pending, it is only prudent and</w:t>
      </w:r>
      <w:r w:rsidR="003E15BB">
        <w:rPr>
          <w:rFonts w:ascii="Times New Roman" w:hAnsi="Times New Roman" w:cs="Times New Roman"/>
          <w:sz w:val="24"/>
          <w:szCs w:val="24"/>
        </w:rPr>
        <w:t xml:space="preserve"> proper that the applicant should await its outcome and stop judge-hunting in order to avoid creating a multiplicity of contradictory judgments involving the same issue thereby causing confusion and injustice.</w:t>
      </w:r>
    </w:p>
    <w:p w:rsidR="003E15BB" w:rsidRDefault="003E15BB" w:rsidP="003E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facts and argument in </w:t>
      </w:r>
      <w:r>
        <w:rPr>
          <w:rFonts w:ascii="Times New Roman" w:hAnsi="Times New Roman" w:cs="Times New Roman"/>
          <w:i/>
          <w:sz w:val="24"/>
          <w:szCs w:val="24"/>
        </w:rPr>
        <w:t>casu</w:t>
      </w:r>
      <w:r>
        <w:rPr>
          <w:rFonts w:ascii="Times New Roman" w:hAnsi="Times New Roman" w:cs="Times New Roman"/>
          <w:sz w:val="24"/>
          <w:szCs w:val="24"/>
        </w:rPr>
        <w:t xml:space="preserve"> fall on all fours with the cases dealt with by MAKARAU JP (as she then was) cited </w:t>
      </w:r>
      <w:r>
        <w:rPr>
          <w:rFonts w:ascii="Times New Roman" w:hAnsi="Times New Roman" w:cs="Times New Roman"/>
          <w:i/>
          <w:sz w:val="24"/>
          <w:szCs w:val="24"/>
        </w:rPr>
        <w:t>supra</w:t>
      </w:r>
      <w:r>
        <w:rPr>
          <w:rFonts w:ascii="Times New Roman" w:hAnsi="Times New Roman" w:cs="Times New Roman"/>
          <w:sz w:val="24"/>
          <w:szCs w:val="24"/>
        </w:rPr>
        <w:t xml:space="preserve">, and the </w:t>
      </w:r>
      <w:r>
        <w:rPr>
          <w:rFonts w:ascii="Times New Roman" w:hAnsi="Times New Roman" w:cs="Times New Roman"/>
          <w:i/>
          <w:sz w:val="24"/>
          <w:szCs w:val="24"/>
        </w:rPr>
        <w:t>Nguwo</w:t>
      </w:r>
      <w:r>
        <w:rPr>
          <w:rFonts w:ascii="Times New Roman" w:hAnsi="Times New Roman" w:cs="Times New Roman"/>
          <w:sz w:val="24"/>
          <w:szCs w:val="24"/>
        </w:rPr>
        <w:t xml:space="preserve"> case I dealt with </w:t>
      </w:r>
      <w:r>
        <w:rPr>
          <w:rFonts w:ascii="Times New Roman" w:hAnsi="Times New Roman" w:cs="Times New Roman"/>
          <w:i/>
          <w:sz w:val="24"/>
          <w:szCs w:val="24"/>
        </w:rPr>
        <w:t>supra</w:t>
      </w:r>
      <w:r>
        <w:rPr>
          <w:rFonts w:ascii="Times New Roman" w:hAnsi="Times New Roman" w:cs="Times New Roman"/>
          <w:sz w:val="24"/>
          <w:szCs w:val="24"/>
        </w:rPr>
        <w:t>, the present application for summary judgment be and is hereby dismissed and the defendant is given unconditional leave to defend the action. The applicant is ordered to pay the costs of this application.</w:t>
      </w:r>
    </w:p>
    <w:p w:rsidR="003E15BB" w:rsidRDefault="003E15BB" w:rsidP="003E15BB">
      <w:pPr>
        <w:spacing w:after="0" w:line="360" w:lineRule="auto"/>
        <w:jc w:val="both"/>
        <w:rPr>
          <w:rFonts w:ascii="Times New Roman" w:hAnsi="Times New Roman" w:cs="Times New Roman"/>
          <w:sz w:val="24"/>
          <w:szCs w:val="24"/>
        </w:rPr>
      </w:pPr>
    </w:p>
    <w:p w:rsidR="003E15BB" w:rsidRDefault="003E15BB" w:rsidP="003E15BB">
      <w:pPr>
        <w:spacing w:after="0" w:line="360" w:lineRule="auto"/>
        <w:jc w:val="both"/>
        <w:rPr>
          <w:rFonts w:ascii="Times New Roman" w:hAnsi="Times New Roman" w:cs="Times New Roman"/>
          <w:sz w:val="24"/>
          <w:szCs w:val="24"/>
        </w:rPr>
      </w:pPr>
    </w:p>
    <w:p w:rsidR="003E15BB" w:rsidRDefault="003E15BB" w:rsidP="003E15BB">
      <w:pPr>
        <w:spacing w:after="0" w:line="360" w:lineRule="auto"/>
        <w:jc w:val="both"/>
        <w:rPr>
          <w:rFonts w:ascii="Times New Roman" w:hAnsi="Times New Roman" w:cs="Times New Roman"/>
          <w:sz w:val="24"/>
          <w:szCs w:val="24"/>
        </w:rPr>
      </w:pPr>
    </w:p>
    <w:p w:rsidR="00877324" w:rsidRPr="00732851" w:rsidRDefault="003E15BB" w:rsidP="00893F7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Magwaliba &amp; Kwirira</w:t>
      </w:r>
      <w:r>
        <w:rPr>
          <w:rFonts w:ascii="Times New Roman" w:hAnsi="Times New Roman" w:cs="Times New Roman"/>
          <w:sz w:val="24"/>
          <w:szCs w:val="24"/>
        </w:rPr>
        <w:t>, applicant’s legal practitioners</w:t>
      </w:r>
      <w:r w:rsidR="00156075">
        <w:rPr>
          <w:rFonts w:ascii="Times New Roman" w:hAnsi="Times New Roman" w:cs="Times New Roman"/>
          <w:sz w:val="24"/>
          <w:szCs w:val="24"/>
        </w:rPr>
        <w:t xml:space="preserve"> </w:t>
      </w:r>
    </w:p>
    <w:p w:rsidR="00877324" w:rsidRPr="00732851" w:rsidRDefault="00877324" w:rsidP="003E15BB">
      <w:pPr>
        <w:spacing w:after="0" w:line="240" w:lineRule="auto"/>
        <w:jc w:val="both"/>
        <w:rPr>
          <w:rFonts w:ascii="Times New Roman" w:hAnsi="Times New Roman" w:cs="Times New Roman"/>
          <w:sz w:val="24"/>
          <w:szCs w:val="24"/>
        </w:rPr>
      </w:pPr>
    </w:p>
    <w:sectPr w:rsidR="00877324" w:rsidRPr="0073285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9B9" w:rsidRDefault="004319B9" w:rsidP="000065E7">
      <w:pPr>
        <w:spacing w:after="0" w:line="240" w:lineRule="auto"/>
      </w:pPr>
      <w:r>
        <w:separator/>
      </w:r>
    </w:p>
  </w:endnote>
  <w:endnote w:type="continuationSeparator" w:id="0">
    <w:p w:rsidR="004319B9" w:rsidRDefault="004319B9" w:rsidP="0000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9B9" w:rsidRDefault="004319B9" w:rsidP="000065E7">
      <w:pPr>
        <w:spacing w:after="0" w:line="240" w:lineRule="auto"/>
      </w:pPr>
      <w:r>
        <w:separator/>
      </w:r>
    </w:p>
  </w:footnote>
  <w:footnote w:type="continuationSeparator" w:id="0">
    <w:p w:rsidR="004319B9" w:rsidRDefault="004319B9" w:rsidP="00006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708100"/>
      <w:docPartObj>
        <w:docPartGallery w:val="Page Numbers (Top of Page)"/>
        <w:docPartUnique/>
      </w:docPartObj>
    </w:sdtPr>
    <w:sdtEndPr>
      <w:rPr>
        <w:noProof/>
      </w:rPr>
    </w:sdtEndPr>
    <w:sdtContent>
      <w:p w:rsidR="000065E7" w:rsidRDefault="000065E7">
        <w:pPr>
          <w:pStyle w:val="Header"/>
          <w:jc w:val="right"/>
          <w:rPr>
            <w:noProof/>
          </w:rPr>
        </w:pPr>
        <w:r>
          <w:fldChar w:fldCharType="begin"/>
        </w:r>
        <w:r>
          <w:instrText xml:space="preserve"> PAGE   \* MERGEFORMAT </w:instrText>
        </w:r>
        <w:r>
          <w:fldChar w:fldCharType="separate"/>
        </w:r>
        <w:r w:rsidR="0053444A">
          <w:rPr>
            <w:noProof/>
          </w:rPr>
          <w:t>1</w:t>
        </w:r>
        <w:r>
          <w:rPr>
            <w:noProof/>
          </w:rPr>
          <w:fldChar w:fldCharType="end"/>
        </w:r>
      </w:p>
      <w:p w:rsidR="000065E7" w:rsidRDefault="000065E7">
        <w:pPr>
          <w:pStyle w:val="Header"/>
          <w:jc w:val="right"/>
          <w:rPr>
            <w:noProof/>
          </w:rPr>
        </w:pPr>
        <w:r>
          <w:rPr>
            <w:noProof/>
          </w:rPr>
          <w:t>HH 103-2012</w:t>
        </w:r>
      </w:p>
      <w:p w:rsidR="000065E7" w:rsidRDefault="000065E7">
        <w:pPr>
          <w:pStyle w:val="Header"/>
          <w:jc w:val="right"/>
        </w:pPr>
        <w:r>
          <w:rPr>
            <w:noProof/>
          </w:rPr>
          <w:t>Hc 3154/08</w:t>
        </w:r>
      </w:p>
    </w:sdtContent>
  </w:sdt>
  <w:p w:rsidR="000065E7" w:rsidRDefault="00006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2E53"/>
    <w:multiLevelType w:val="hybridMultilevel"/>
    <w:tmpl w:val="440CCE2A"/>
    <w:lvl w:ilvl="0" w:tplc="CE2610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24"/>
    <w:rsid w:val="000065E7"/>
    <w:rsid w:val="00156075"/>
    <w:rsid w:val="003A79B5"/>
    <w:rsid w:val="003C2C21"/>
    <w:rsid w:val="003E15BB"/>
    <w:rsid w:val="004319B9"/>
    <w:rsid w:val="00514CD4"/>
    <w:rsid w:val="0053444A"/>
    <w:rsid w:val="005C3942"/>
    <w:rsid w:val="005E6DFD"/>
    <w:rsid w:val="00732851"/>
    <w:rsid w:val="00747900"/>
    <w:rsid w:val="00877324"/>
    <w:rsid w:val="00893F78"/>
    <w:rsid w:val="00BD1560"/>
    <w:rsid w:val="00E067A4"/>
    <w:rsid w:val="00F01ABD"/>
    <w:rsid w:val="00F67942"/>
    <w:rsid w:val="00F81E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851"/>
    <w:pPr>
      <w:ind w:left="720"/>
      <w:contextualSpacing/>
    </w:pPr>
  </w:style>
  <w:style w:type="paragraph" w:styleId="Header">
    <w:name w:val="header"/>
    <w:basedOn w:val="Normal"/>
    <w:link w:val="HeaderChar"/>
    <w:uiPriority w:val="99"/>
    <w:unhideWhenUsed/>
    <w:rsid w:val="00006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5E7"/>
  </w:style>
  <w:style w:type="paragraph" w:styleId="Footer">
    <w:name w:val="footer"/>
    <w:basedOn w:val="Normal"/>
    <w:link w:val="FooterChar"/>
    <w:uiPriority w:val="99"/>
    <w:unhideWhenUsed/>
    <w:rsid w:val="00006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5E7"/>
  </w:style>
  <w:style w:type="paragraph" w:styleId="BalloonText">
    <w:name w:val="Balloon Text"/>
    <w:basedOn w:val="Normal"/>
    <w:link w:val="BalloonTextChar"/>
    <w:uiPriority w:val="99"/>
    <w:semiHidden/>
    <w:unhideWhenUsed/>
    <w:rsid w:val="003A7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9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851"/>
    <w:pPr>
      <w:ind w:left="720"/>
      <w:contextualSpacing/>
    </w:pPr>
  </w:style>
  <w:style w:type="paragraph" w:styleId="Header">
    <w:name w:val="header"/>
    <w:basedOn w:val="Normal"/>
    <w:link w:val="HeaderChar"/>
    <w:uiPriority w:val="99"/>
    <w:unhideWhenUsed/>
    <w:rsid w:val="00006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5E7"/>
  </w:style>
  <w:style w:type="paragraph" w:styleId="Footer">
    <w:name w:val="footer"/>
    <w:basedOn w:val="Normal"/>
    <w:link w:val="FooterChar"/>
    <w:uiPriority w:val="99"/>
    <w:unhideWhenUsed/>
    <w:rsid w:val="00006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5E7"/>
  </w:style>
  <w:style w:type="paragraph" w:styleId="BalloonText">
    <w:name w:val="Balloon Text"/>
    <w:basedOn w:val="Normal"/>
    <w:link w:val="BalloonTextChar"/>
    <w:uiPriority w:val="99"/>
    <w:semiHidden/>
    <w:unhideWhenUsed/>
    <w:rsid w:val="003A7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2012-02-27T06:30:00Z</cp:lastPrinted>
  <dcterms:created xsi:type="dcterms:W3CDTF">2012-04-04T12:44:00Z</dcterms:created>
  <dcterms:modified xsi:type="dcterms:W3CDTF">2012-04-04T12:44:00Z</dcterms:modified>
</cp:coreProperties>
</file>