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882" w:rsidRDefault="003C4756" w:rsidP="000E562E">
      <w:pPr>
        <w:spacing w:after="0" w:line="240" w:lineRule="auto"/>
        <w:jc w:val="both"/>
        <w:rPr>
          <w:rFonts w:ascii="Times New Roman" w:hAnsi="Times New Roman" w:cs="Times New Roman"/>
          <w:sz w:val="24"/>
          <w:szCs w:val="24"/>
        </w:rPr>
      </w:pPr>
      <w:bookmarkStart w:id="0" w:name="_GoBack"/>
      <w:bookmarkEnd w:id="0"/>
      <w:r w:rsidRPr="003C4756">
        <w:rPr>
          <w:rFonts w:ascii="Times New Roman" w:hAnsi="Times New Roman" w:cs="Times New Roman"/>
          <w:sz w:val="24"/>
          <w:szCs w:val="24"/>
        </w:rPr>
        <w:t>ASHANTI GOLDFIELDS ZIMBABWE LIMITED</w:t>
      </w:r>
    </w:p>
    <w:p w:rsidR="003C4756" w:rsidRDefault="003C4756" w:rsidP="000E56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proofErr w:type="gramEnd"/>
      <w:r>
        <w:rPr>
          <w:rFonts w:ascii="Times New Roman" w:hAnsi="Times New Roman" w:cs="Times New Roman"/>
          <w:sz w:val="24"/>
          <w:szCs w:val="24"/>
        </w:rPr>
        <w:t>a FREDA REBECCA MINE</w:t>
      </w:r>
    </w:p>
    <w:p w:rsidR="003C4756" w:rsidRDefault="003C4756" w:rsidP="000E562E">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3C4756" w:rsidRDefault="003C4756" w:rsidP="000E5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JOACHIM C NGUWO</w:t>
      </w: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3C4756" w:rsidRDefault="003C4756" w:rsidP="000E5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MUTEMA J</w:t>
      </w:r>
    </w:p>
    <w:p w:rsidR="003C4756" w:rsidRDefault="003C4756" w:rsidP="000E5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March, 2011</w:t>
      </w: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240" w:lineRule="auto"/>
        <w:jc w:val="both"/>
        <w:rPr>
          <w:rFonts w:ascii="Times New Roman" w:hAnsi="Times New Roman" w:cs="Times New Roman"/>
          <w:sz w:val="24"/>
          <w:szCs w:val="24"/>
        </w:rPr>
      </w:pPr>
    </w:p>
    <w:p w:rsidR="003C4756" w:rsidRPr="000E562E" w:rsidRDefault="003C4756" w:rsidP="000E562E">
      <w:pPr>
        <w:spacing w:after="0" w:line="240" w:lineRule="auto"/>
        <w:jc w:val="both"/>
        <w:rPr>
          <w:rFonts w:ascii="Times New Roman" w:hAnsi="Times New Roman" w:cs="Times New Roman"/>
          <w:b/>
          <w:sz w:val="24"/>
          <w:szCs w:val="24"/>
        </w:rPr>
      </w:pPr>
      <w:r w:rsidRPr="000E562E">
        <w:rPr>
          <w:rFonts w:ascii="Times New Roman" w:hAnsi="Times New Roman" w:cs="Times New Roman"/>
          <w:b/>
          <w:sz w:val="24"/>
          <w:szCs w:val="24"/>
        </w:rPr>
        <w:t>Opposed Application</w:t>
      </w: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Magwaliba</w:t>
      </w:r>
      <w:proofErr w:type="spellEnd"/>
      <w:r>
        <w:rPr>
          <w:rFonts w:ascii="Times New Roman" w:hAnsi="Times New Roman" w:cs="Times New Roman"/>
          <w:sz w:val="24"/>
          <w:szCs w:val="24"/>
        </w:rPr>
        <w:t>, for the applicant</w:t>
      </w:r>
    </w:p>
    <w:p w:rsidR="003C4756" w:rsidRDefault="003C4756" w:rsidP="000E562E">
      <w:pPr>
        <w:spacing w:after="0" w:line="240" w:lineRule="auto"/>
        <w:jc w:val="both"/>
        <w:rPr>
          <w:rFonts w:ascii="Times New Roman" w:hAnsi="Times New Roman" w:cs="Times New Roman"/>
          <w:sz w:val="24"/>
          <w:szCs w:val="24"/>
        </w:rPr>
      </w:pPr>
      <w:r w:rsidRPr="003C4756">
        <w:rPr>
          <w:rFonts w:ascii="Times New Roman" w:hAnsi="Times New Roman" w:cs="Times New Roman"/>
          <w:i/>
          <w:sz w:val="24"/>
          <w:szCs w:val="24"/>
        </w:rPr>
        <w:t xml:space="preserve">G C </w:t>
      </w:r>
      <w:proofErr w:type="spellStart"/>
      <w:r w:rsidRPr="003C4756">
        <w:rPr>
          <w:rFonts w:ascii="Times New Roman" w:hAnsi="Times New Roman" w:cs="Times New Roman"/>
          <w:i/>
          <w:sz w:val="24"/>
          <w:szCs w:val="24"/>
        </w:rPr>
        <w:t>Manyurureni</w:t>
      </w:r>
      <w:proofErr w:type="spellEnd"/>
      <w:r>
        <w:rPr>
          <w:rFonts w:ascii="Times New Roman" w:hAnsi="Times New Roman" w:cs="Times New Roman"/>
          <w:sz w:val="24"/>
          <w:szCs w:val="24"/>
        </w:rPr>
        <w:t>, for the respondent</w:t>
      </w: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MUTEMA J:</w:t>
      </w:r>
      <w:r>
        <w:rPr>
          <w:rFonts w:ascii="Times New Roman" w:hAnsi="Times New Roman" w:cs="Times New Roman"/>
          <w:sz w:val="24"/>
          <w:szCs w:val="24"/>
        </w:rPr>
        <w:tab/>
        <w:t>On 29 March, 2011 I dismissed unconditionally an application for summary judgment by the applicant.</w:t>
      </w:r>
    </w:p>
    <w:p w:rsidR="003C4756" w:rsidRDefault="003C4756"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4 May, 2011 I dismissed a chamber application for leave to appeal to the Supreme Court against the order dismissing the application for summary judgment. The application for the leave to appeal had been made pursuant to s 43(2)(d) of the High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That provision states that:</w:t>
      </w:r>
    </w:p>
    <w:p w:rsidR="000E562E" w:rsidRDefault="000E562E" w:rsidP="000E562E">
      <w:pPr>
        <w:spacing w:after="0" w:line="240" w:lineRule="auto"/>
        <w:ind w:firstLine="720"/>
        <w:jc w:val="both"/>
        <w:rPr>
          <w:rFonts w:ascii="Times New Roman" w:hAnsi="Times New Roman" w:cs="Times New Roman"/>
          <w:sz w:val="24"/>
          <w:szCs w:val="24"/>
        </w:rPr>
      </w:pPr>
    </w:p>
    <w:p w:rsidR="003C4756" w:rsidRDefault="003C4756" w:rsidP="000E562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 appeal shall lie –</w:t>
      </w:r>
    </w:p>
    <w:p w:rsidR="003C4756" w:rsidRDefault="003C4756" w:rsidP="000E562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3C4756" w:rsidRDefault="003C4756" w:rsidP="000E562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3C4756" w:rsidRDefault="003C4756" w:rsidP="000E562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3C4756" w:rsidRDefault="003C4756" w:rsidP="000E562E">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From an interlocutory order or interlocutory judgment made or given by a judge of the High Court, without the leave of that judge or, if that has been refused, without the leave of a judge of the Supreme Court …”</w:t>
      </w:r>
    </w:p>
    <w:p w:rsidR="003C4756" w:rsidRDefault="003C4756" w:rsidP="000E562E">
      <w:pPr>
        <w:spacing w:after="0" w:line="240" w:lineRule="auto"/>
        <w:jc w:val="both"/>
        <w:rPr>
          <w:rFonts w:ascii="Times New Roman" w:hAnsi="Times New Roman" w:cs="Times New Roman"/>
          <w:sz w:val="24"/>
          <w:szCs w:val="24"/>
        </w:rPr>
      </w:pPr>
    </w:p>
    <w:p w:rsidR="003C4756" w:rsidRDefault="003C4756"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dismissed the application for leave on the basis of the provision of s 43 (2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same Act which provides</w:t>
      </w:r>
      <w:r w:rsidR="0029568E">
        <w:rPr>
          <w:rFonts w:ascii="Times New Roman" w:hAnsi="Times New Roman" w:cs="Times New Roman"/>
          <w:sz w:val="24"/>
          <w:szCs w:val="24"/>
        </w:rPr>
        <w:t>:</w:t>
      </w:r>
    </w:p>
    <w:p w:rsidR="00945877" w:rsidRDefault="00945877" w:rsidP="00945877">
      <w:pPr>
        <w:spacing w:after="0" w:line="240" w:lineRule="auto"/>
        <w:ind w:firstLine="720"/>
        <w:jc w:val="both"/>
        <w:rPr>
          <w:rFonts w:ascii="Times New Roman" w:hAnsi="Times New Roman" w:cs="Times New Roman"/>
          <w:sz w:val="24"/>
          <w:szCs w:val="24"/>
        </w:rPr>
      </w:pPr>
    </w:p>
    <w:p w:rsidR="0029568E" w:rsidRDefault="0029568E"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No appeal shall lie –</w:t>
      </w:r>
    </w:p>
    <w:p w:rsidR="0029568E" w:rsidRDefault="0029568E" w:rsidP="000E562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rsidR="0029568E" w:rsidRDefault="0029568E" w:rsidP="000E562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an order of a judge of the High Court in which he refuses an application for summary judgment and gives unconditional leave to defend an action;”</w:t>
      </w:r>
    </w:p>
    <w:p w:rsidR="0029568E" w:rsidRDefault="0029568E" w:rsidP="00945877">
      <w:pPr>
        <w:spacing w:after="0" w:line="240" w:lineRule="auto"/>
        <w:jc w:val="both"/>
        <w:rPr>
          <w:rFonts w:ascii="Times New Roman" w:hAnsi="Times New Roman" w:cs="Times New Roman"/>
          <w:sz w:val="24"/>
          <w:szCs w:val="24"/>
        </w:rPr>
      </w:pPr>
    </w:p>
    <w:p w:rsidR="0029568E" w:rsidRDefault="0029568E"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clear and unambiguous provisions of s 43 (2)(b) of the High Court Act, and the fact that my order was one dismissing an application for summary judgment wherein I gave unconditional leave to the respondent to defend the action, that order is not subject to any appeal and s 43(2)(d) does not apply. Even the Supreme Court cannot grant leave to appeal against such an order.</w:t>
      </w:r>
    </w:p>
    <w:p w:rsidR="0029568E" w:rsidRDefault="0029568E"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provisions in s 43(2</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 of the High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xml:space="preserve">] have been literally interpreted in a number of precedents. In </w:t>
      </w:r>
      <w:r>
        <w:rPr>
          <w:rFonts w:ascii="Times New Roman" w:hAnsi="Times New Roman" w:cs="Times New Roman"/>
          <w:i/>
          <w:sz w:val="24"/>
          <w:szCs w:val="24"/>
        </w:rPr>
        <w:t xml:space="preserve">Haulage </w:t>
      </w:r>
      <w:r>
        <w:rPr>
          <w:rFonts w:ascii="Times New Roman" w:hAnsi="Times New Roman" w:cs="Times New Roman"/>
          <w:sz w:val="24"/>
          <w:szCs w:val="24"/>
        </w:rPr>
        <w:t>(</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Mumurgwi</w:t>
      </w:r>
      <w:proofErr w:type="spellEnd"/>
      <w:r>
        <w:rPr>
          <w:rFonts w:ascii="Times New Roman" w:hAnsi="Times New Roman" w:cs="Times New Roman"/>
          <w:i/>
          <w:sz w:val="24"/>
          <w:szCs w:val="24"/>
        </w:rPr>
        <w:t xml:space="preserve"> Bus Service </w:t>
      </w:r>
      <w:r>
        <w:rPr>
          <w:rFonts w:ascii="Times New Roman" w:hAnsi="Times New Roman" w:cs="Times New Roman"/>
          <w:sz w:val="24"/>
          <w:szCs w:val="24"/>
        </w:rPr>
        <w:t>(</w:t>
      </w:r>
      <w:r w:rsidRPr="0029568E">
        <w:rPr>
          <w:rFonts w:ascii="Times New Roman" w:hAnsi="Times New Roman" w:cs="Times New Roman"/>
          <w:i/>
          <w:sz w:val="24"/>
          <w:szCs w:val="24"/>
        </w:rPr>
        <w:t>Pvt</w:t>
      </w:r>
      <w:r>
        <w:rPr>
          <w:rFonts w:ascii="Times New Roman" w:hAnsi="Times New Roman" w:cs="Times New Roman"/>
          <w:sz w:val="24"/>
          <w:szCs w:val="24"/>
        </w:rPr>
        <w:t xml:space="preserve">) </w:t>
      </w:r>
      <w:r w:rsidRPr="0029568E">
        <w:rPr>
          <w:rFonts w:ascii="Times New Roman" w:hAnsi="Times New Roman" w:cs="Times New Roman"/>
          <w:i/>
          <w:sz w:val="24"/>
          <w:szCs w:val="24"/>
        </w:rPr>
        <w:t>Ltd</w:t>
      </w:r>
      <w:r>
        <w:rPr>
          <w:rFonts w:ascii="Times New Roman" w:hAnsi="Times New Roman" w:cs="Times New Roman"/>
          <w:sz w:val="24"/>
          <w:szCs w:val="24"/>
        </w:rPr>
        <w:t xml:space="preserve"> 1980 (1) SA 729 (ZRA), the court, in interpreting s 31 (1)(b) of the predecessor High Court Act, [</w:t>
      </w:r>
      <w:r>
        <w:rPr>
          <w:rFonts w:ascii="Times New Roman" w:hAnsi="Times New Roman" w:cs="Times New Roman"/>
          <w:i/>
          <w:sz w:val="24"/>
          <w:szCs w:val="24"/>
        </w:rPr>
        <w:t>Cap 14</w:t>
      </w:r>
      <w:r>
        <w:rPr>
          <w:rFonts w:ascii="Times New Roman" w:hAnsi="Times New Roman" w:cs="Times New Roman"/>
          <w:sz w:val="24"/>
          <w:szCs w:val="24"/>
        </w:rPr>
        <w:t>] (ZR) whose provisions fell on all fours with those in our current s 43 (2)(b) of the High Court Act, [</w:t>
      </w:r>
      <w:r>
        <w:rPr>
          <w:rFonts w:ascii="Times New Roman" w:hAnsi="Times New Roman" w:cs="Times New Roman"/>
          <w:i/>
          <w:sz w:val="24"/>
          <w:szCs w:val="24"/>
        </w:rPr>
        <w:t>Cap 7</w:t>
      </w:r>
      <w:r>
        <w:rPr>
          <w:rFonts w:ascii="Times New Roman" w:hAnsi="Times New Roman" w:cs="Times New Roman"/>
          <w:sz w:val="24"/>
          <w:szCs w:val="24"/>
        </w:rPr>
        <w:t>:</w:t>
      </w:r>
      <w:r>
        <w:rPr>
          <w:rFonts w:ascii="Times New Roman" w:hAnsi="Times New Roman" w:cs="Times New Roman"/>
          <w:i/>
          <w:sz w:val="24"/>
          <w:szCs w:val="24"/>
        </w:rPr>
        <w:t>06</w:t>
      </w:r>
      <w:r>
        <w:rPr>
          <w:rFonts w:ascii="Times New Roman" w:hAnsi="Times New Roman" w:cs="Times New Roman"/>
          <w:sz w:val="24"/>
          <w:szCs w:val="24"/>
        </w:rPr>
        <w:t>] held that in providing in s 31 (1)(b) of the High Court Act [</w:t>
      </w:r>
      <w:r>
        <w:rPr>
          <w:rFonts w:ascii="Times New Roman" w:hAnsi="Times New Roman" w:cs="Times New Roman"/>
          <w:i/>
          <w:sz w:val="24"/>
          <w:szCs w:val="24"/>
        </w:rPr>
        <w:t>Cap 14</w:t>
      </w:r>
      <w:r>
        <w:rPr>
          <w:rFonts w:ascii="Times New Roman" w:hAnsi="Times New Roman" w:cs="Times New Roman"/>
          <w:sz w:val="24"/>
          <w:szCs w:val="24"/>
        </w:rPr>
        <w:t>] (ZR)</w:t>
      </w:r>
      <w:r w:rsidR="006B00A3">
        <w:rPr>
          <w:rFonts w:ascii="Times New Roman" w:hAnsi="Times New Roman" w:cs="Times New Roman"/>
          <w:sz w:val="24"/>
          <w:szCs w:val="24"/>
        </w:rPr>
        <w:t xml:space="preserve"> that no appeal shall lie from an order of a judge of the General Division giving ‘unconditional leave to defend an action’</w:t>
      </w:r>
      <w:r>
        <w:rPr>
          <w:rFonts w:ascii="Times New Roman" w:hAnsi="Times New Roman" w:cs="Times New Roman"/>
          <w:sz w:val="24"/>
          <w:szCs w:val="24"/>
        </w:rPr>
        <w:t xml:space="preserve"> </w:t>
      </w:r>
      <w:r w:rsidR="006B00A3">
        <w:rPr>
          <w:rFonts w:ascii="Times New Roman" w:hAnsi="Times New Roman" w:cs="Times New Roman"/>
          <w:sz w:val="24"/>
          <w:szCs w:val="24"/>
        </w:rPr>
        <w:t xml:space="preserve">, the Legislature intended to refer only to the granting of unconditional leave to defend in summary judgment proceedings in terms of what are now </w:t>
      </w:r>
      <w:proofErr w:type="spellStart"/>
      <w:r w:rsidR="006B00A3">
        <w:rPr>
          <w:rFonts w:ascii="Times New Roman" w:hAnsi="Times New Roman" w:cs="Times New Roman"/>
          <w:sz w:val="24"/>
          <w:szCs w:val="24"/>
        </w:rPr>
        <w:t>rr</w:t>
      </w:r>
      <w:proofErr w:type="spellEnd"/>
      <w:r w:rsidR="006B00A3">
        <w:rPr>
          <w:rFonts w:ascii="Times New Roman" w:hAnsi="Times New Roman" w:cs="Times New Roman"/>
          <w:sz w:val="24"/>
          <w:szCs w:val="24"/>
        </w:rPr>
        <w:t xml:space="preserve"> 69 and 70 of the Rules of the High Court (Order 10 of the High Court (General Division) Rules in Rhodesia Government Notice 995 of 1971).</w:t>
      </w:r>
      <w:r w:rsidR="00DF01E1">
        <w:rPr>
          <w:rFonts w:ascii="Times New Roman" w:hAnsi="Times New Roman" w:cs="Times New Roman"/>
          <w:sz w:val="24"/>
          <w:szCs w:val="24"/>
        </w:rPr>
        <w:t xml:space="preserve"> </w:t>
      </w:r>
      <w:proofErr w:type="spellStart"/>
      <w:r w:rsidR="00DF01E1">
        <w:rPr>
          <w:rFonts w:ascii="Times New Roman" w:hAnsi="Times New Roman" w:cs="Times New Roman"/>
          <w:sz w:val="24"/>
          <w:szCs w:val="24"/>
        </w:rPr>
        <w:t>Implicity</w:t>
      </w:r>
      <w:proofErr w:type="spellEnd"/>
      <w:r w:rsidR="00DF01E1">
        <w:rPr>
          <w:rFonts w:ascii="Times New Roman" w:hAnsi="Times New Roman" w:cs="Times New Roman"/>
          <w:sz w:val="24"/>
          <w:szCs w:val="24"/>
        </w:rPr>
        <w:t>, from the provisions of s 31 (1</w:t>
      </w:r>
      <w:proofErr w:type="gramStart"/>
      <w:r w:rsidR="00DF01E1">
        <w:rPr>
          <w:rFonts w:ascii="Times New Roman" w:hAnsi="Times New Roman" w:cs="Times New Roman"/>
          <w:sz w:val="24"/>
          <w:szCs w:val="24"/>
        </w:rPr>
        <w:t>)(</w:t>
      </w:r>
      <w:proofErr w:type="gramEnd"/>
      <w:r w:rsidR="00DF01E1">
        <w:rPr>
          <w:rFonts w:ascii="Times New Roman" w:hAnsi="Times New Roman" w:cs="Times New Roman"/>
          <w:sz w:val="24"/>
          <w:szCs w:val="24"/>
        </w:rPr>
        <w:t>b) of [</w:t>
      </w:r>
      <w:r w:rsidR="00DF01E1">
        <w:rPr>
          <w:rFonts w:ascii="Times New Roman" w:hAnsi="Times New Roman" w:cs="Times New Roman"/>
          <w:i/>
          <w:sz w:val="24"/>
          <w:szCs w:val="24"/>
        </w:rPr>
        <w:t>Cap 14</w:t>
      </w:r>
      <w:r w:rsidR="00DF01E1">
        <w:rPr>
          <w:rFonts w:ascii="Times New Roman" w:hAnsi="Times New Roman" w:cs="Times New Roman"/>
          <w:sz w:val="24"/>
          <w:szCs w:val="24"/>
        </w:rPr>
        <w:t>], where conditional leave to defend is granted in summary judgment proceedings, the right of either party to appeal is restricted to a right of appeal (with leave of the court under s 31(1)(</w:t>
      </w:r>
      <w:r w:rsidR="009E1608">
        <w:rPr>
          <w:rFonts w:ascii="Times New Roman" w:hAnsi="Times New Roman" w:cs="Times New Roman"/>
          <w:sz w:val="24"/>
          <w:szCs w:val="24"/>
        </w:rPr>
        <w:t>b</w:t>
      </w:r>
      <w:r w:rsidR="00DF01E1">
        <w:rPr>
          <w:rFonts w:ascii="Times New Roman" w:hAnsi="Times New Roman" w:cs="Times New Roman"/>
          <w:sz w:val="24"/>
          <w:szCs w:val="24"/>
        </w:rPr>
        <w:t>)) only against the conditions imposed. Pertinent to note here is that the provisions of s 31 (1)(</w:t>
      </w:r>
      <w:r w:rsidR="009B00F4">
        <w:rPr>
          <w:rFonts w:ascii="Times New Roman" w:hAnsi="Times New Roman" w:cs="Times New Roman"/>
          <w:sz w:val="24"/>
          <w:szCs w:val="24"/>
        </w:rPr>
        <w:t>b</w:t>
      </w:r>
      <w:r w:rsidR="00DF01E1">
        <w:rPr>
          <w:rFonts w:ascii="Times New Roman" w:hAnsi="Times New Roman" w:cs="Times New Roman"/>
          <w:sz w:val="24"/>
          <w:szCs w:val="24"/>
        </w:rPr>
        <w:t>) of the then [</w:t>
      </w:r>
      <w:r w:rsidR="00DF01E1">
        <w:rPr>
          <w:rFonts w:ascii="Times New Roman" w:hAnsi="Times New Roman" w:cs="Times New Roman"/>
          <w:i/>
          <w:sz w:val="24"/>
          <w:szCs w:val="24"/>
        </w:rPr>
        <w:t>Cap14</w:t>
      </w:r>
      <w:r w:rsidR="00DF01E1">
        <w:rPr>
          <w:rFonts w:ascii="Times New Roman" w:hAnsi="Times New Roman" w:cs="Times New Roman"/>
          <w:sz w:val="24"/>
          <w:szCs w:val="24"/>
        </w:rPr>
        <w:t xml:space="preserve">] are similar to those of s 43 (2)(b) of the present High Court Act and Rules 69 and 70 of Order 10 of the High Court Rules 1971 are also still the same. See also </w:t>
      </w:r>
      <w:proofErr w:type="spellStart"/>
      <w:r w:rsidR="00DF01E1">
        <w:rPr>
          <w:rFonts w:ascii="Times New Roman" w:hAnsi="Times New Roman" w:cs="Times New Roman"/>
          <w:i/>
          <w:sz w:val="24"/>
          <w:szCs w:val="24"/>
        </w:rPr>
        <w:t>Howff</w:t>
      </w:r>
      <w:proofErr w:type="spellEnd"/>
      <w:r w:rsidR="00DF01E1">
        <w:rPr>
          <w:rFonts w:ascii="Times New Roman" w:hAnsi="Times New Roman" w:cs="Times New Roman"/>
          <w:sz w:val="24"/>
          <w:szCs w:val="24"/>
        </w:rPr>
        <w:t xml:space="preserve"> (</w:t>
      </w:r>
      <w:r w:rsidR="00DF01E1">
        <w:rPr>
          <w:rFonts w:ascii="Times New Roman" w:hAnsi="Times New Roman" w:cs="Times New Roman"/>
          <w:i/>
          <w:sz w:val="24"/>
          <w:szCs w:val="24"/>
        </w:rPr>
        <w:t>Pvt</w:t>
      </w:r>
      <w:r w:rsidR="00DF01E1">
        <w:rPr>
          <w:rFonts w:ascii="Times New Roman" w:hAnsi="Times New Roman" w:cs="Times New Roman"/>
          <w:sz w:val="24"/>
          <w:szCs w:val="24"/>
        </w:rPr>
        <w:t xml:space="preserve">) </w:t>
      </w:r>
      <w:r w:rsidR="00DF01E1">
        <w:rPr>
          <w:rFonts w:ascii="Times New Roman" w:hAnsi="Times New Roman" w:cs="Times New Roman"/>
          <w:i/>
          <w:sz w:val="24"/>
          <w:szCs w:val="24"/>
        </w:rPr>
        <w:t>Ltd</w:t>
      </w:r>
      <w:r w:rsidR="00DF01E1">
        <w:rPr>
          <w:rFonts w:ascii="Times New Roman" w:hAnsi="Times New Roman" w:cs="Times New Roman"/>
          <w:sz w:val="24"/>
          <w:szCs w:val="24"/>
        </w:rPr>
        <w:t xml:space="preserve"> v </w:t>
      </w:r>
      <w:proofErr w:type="spellStart"/>
      <w:r w:rsidR="00DF01E1">
        <w:rPr>
          <w:rFonts w:ascii="Times New Roman" w:hAnsi="Times New Roman" w:cs="Times New Roman"/>
          <w:i/>
          <w:sz w:val="24"/>
          <w:szCs w:val="24"/>
        </w:rPr>
        <w:t>Tromp</w:t>
      </w:r>
      <w:r w:rsidR="00DF01E1">
        <w:rPr>
          <w:rFonts w:ascii="Times New Roman" w:hAnsi="Times New Roman" w:cs="Times New Roman"/>
          <w:sz w:val="24"/>
          <w:szCs w:val="24"/>
        </w:rPr>
        <w:t>’s</w:t>
      </w:r>
      <w:proofErr w:type="spellEnd"/>
      <w:r w:rsidR="00DF01E1">
        <w:rPr>
          <w:rFonts w:ascii="Times New Roman" w:hAnsi="Times New Roman" w:cs="Times New Roman"/>
          <w:sz w:val="24"/>
          <w:szCs w:val="24"/>
        </w:rPr>
        <w:t xml:space="preserve"> </w:t>
      </w:r>
      <w:r w:rsidR="00DF01E1">
        <w:rPr>
          <w:rFonts w:ascii="Times New Roman" w:hAnsi="Times New Roman" w:cs="Times New Roman"/>
          <w:i/>
          <w:sz w:val="24"/>
          <w:szCs w:val="24"/>
        </w:rPr>
        <w:t>Engineering</w:t>
      </w:r>
      <w:r w:rsidR="00DF01E1">
        <w:rPr>
          <w:rFonts w:ascii="Times New Roman" w:hAnsi="Times New Roman" w:cs="Times New Roman"/>
          <w:sz w:val="24"/>
          <w:szCs w:val="24"/>
        </w:rPr>
        <w:t xml:space="preserve"> (</w:t>
      </w:r>
      <w:r w:rsidR="00DF01E1">
        <w:rPr>
          <w:rFonts w:ascii="Times New Roman" w:hAnsi="Times New Roman" w:cs="Times New Roman"/>
          <w:i/>
          <w:sz w:val="24"/>
          <w:szCs w:val="24"/>
        </w:rPr>
        <w:t>Pvt</w:t>
      </w:r>
      <w:r w:rsidR="00DF01E1">
        <w:rPr>
          <w:rFonts w:ascii="Times New Roman" w:hAnsi="Times New Roman" w:cs="Times New Roman"/>
          <w:sz w:val="24"/>
          <w:szCs w:val="24"/>
        </w:rPr>
        <w:t xml:space="preserve">) </w:t>
      </w:r>
      <w:r w:rsidR="00DF01E1">
        <w:rPr>
          <w:rFonts w:ascii="Times New Roman" w:hAnsi="Times New Roman" w:cs="Times New Roman"/>
          <w:i/>
          <w:sz w:val="24"/>
          <w:szCs w:val="24"/>
        </w:rPr>
        <w:t>Ltd</w:t>
      </w:r>
      <w:r w:rsidR="00DF01E1">
        <w:rPr>
          <w:rFonts w:ascii="Times New Roman" w:hAnsi="Times New Roman" w:cs="Times New Roman"/>
          <w:sz w:val="24"/>
          <w:szCs w:val="24"/>
        </w:rPr>
        <w:t xml:space="preserve"> 1977 (2) SA 267 </w:t>
      </w:r>
      <w:r w:rsidR="00C53DDF">
        <w:rPr>
          <w:rFonts w:ascii="Times New Roman" w:hAnsi="Times New Roman" w:cs="Times New Roman"/>
          <w:sz w:val="24"/>
          <w:szCs w:val="24"/>
        </w:rPr>
        <w:t>(R)</w:t>
      </w:r>
      <w:r w:rsidR="00DF01E1">
        <w:rPr>
          <w:rFonts w:ascii="Times New Roman" w:hAnsi="Times New Roman" w:cs="Times New Roman"/>
          <w:sz w:val="24"/>
          <w:szCs w:val="24"/>
        </w:rPr>
        <w:t xml:space="preserve">; </w:t>
      </w:r>
      <w:proofErr w:type="spellStart"/>
      <w:r w:rsidR="00DF01E1">
        <w:rPr>
          <w:rFonts w:ascii="Times New Roman" w:hAnsi="Times New Roman" w:cs="Times New Roman"/>
          <w:i/>
          <w:sz w:val="24"/>
          <w:szCs w:val="24"/>
        </w:rPr>
        <w:t>Rheeder</w:t>
      </w:r>
      <w:proofErr w:type="spellEnd"/>
      <w:r w:rsidR="00DF01E1">
        <w:rPr>
          <w:rFonts w:ascii="Times New Roman" w:hAnsi="Times New Roman" w:cs="Times New Roman"/>
          <w:sz w:val="24"/>
          <w:szCs w:val="24"/>
        </w:rPr>
        <w:t xml:space="preserve"> v </w:t>
      </w:r>
      <w:r w:rsidR="00DF01E1">
        <w:rPr>
          <w:rFonts w:ascii="Times New Roman" w:hAnsi="Times New Roman" w:cs="Times New Roman"/>
          <w:i/>
          <w:sz w:val="24"/>
          <w:szCs w:val="24"/>
        </w:rPr>
        <w:t>Spence</w:t>
      </w:r>
      <w:r w:rsidR="00DF01E1">
        <w:rPr>
          <w:rFonts w:ascii="Times New Roman" w:hAnsi="Times New Roman" w:cs="Times New Roman"/>
          <w:sz w:val="24"/>
          <w:szCs w:val="24"/>
        </w:rPr>
        <w:t xml:space="preserve"> 1971 (1) SA 1041 (R).</w:t>
      </w:r>
    </w:p>
    <w:p w:rsidR="00DF01E1" w:rsidRDefault="00DF01E1"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spi</w:t>
      </w:r>
      <w:r w:rsidR="00C53DDF">
        <w:rPr>
          <w:rFonts w:ascii="Times New Roman" w:hAnsi="Times New Roman" w:cs="Times New Roman"/>
          <w:sz w:val="24"/>
          <w:szCs w:val="24"/>
        </w:rPr>
        <w:t xml:space="preserve">te of the plain language of the relevant legislation and case law cited above to the effect that refusal of an application for summary judgment coupled with unconditional leave to defend an action is not appealable the applicant’s legal practitioner, following my refusal of leave to appeal, has since noted an appeal to the Supreme Court against my order refusing summary judgment. Whence he got the leave to lodge such appeal is alien to the applicable law. He has now requested for written reasons for my order of 29 March, 2011 to </w:t>
      </w:r>
      <w:r w:rsidR="00C53DDF">
        <w:rPr>
          <w:rFonts w:ascii="Times New Roman" w:hAnsi="Times New Roman" w:cs="Times New Roman"/>
          <w:sz w:val="24"/>
          <w:szCs w:val="24"/>
        </w:rPr>
        <w:lastRenderedPageBreak/>
        <w:t>enable him to prosecute his appeal. It is not for me to withhold them in spite of the law saying no such appeal shall lie from such an order. Those reasons are herewith provided.</w:t>
      </w:r>
    </w:p>
    <w:p w:rsidR="00C53DDF" w:rsidRDefault="00C53DDF"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summary judgment application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1 of the draft order is couched thus:</w:t>
      </w:r>
    </w:p>
    <w:p w:rsidR="000E562E" w:rsidRDefault="000E562E" w:rsidP="000E562E">
      <w:pPr>
        <w:spacing w:after="0" w:line="240" w:lineRule="auto"/>
        <w:ind w:firstLine="720"/>
        <w:jc w:val="both"/>
        <w:rPr>
          <w:rFonts w:ascii="Times New Roman" w:hAnsi="Times New Roman" w:cs="Times New Roman"/>
          <w:sz w:val="24"/>
          <w:szCs w:val="24"/>
        </w:rPr>
      </w:pPr>
    </w:p>
    <w:p w:rsidR="00C53DDF" w:rsidRDefault="00C53DDF" w:rsidP="000E562E">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Summary judgment be and is hereby entered in favour of the applicant against the respondent for the ejectment of the respondent and all persons claiming occupation through him from the immovable property known as No. 251 Wary Avenue, </w:t>
      </w:r>
      <w:proofErr w:type="spellStart"/>
      <w:r>
        <w:rPr>
          <w:rFonts w:ascii="Times New Roman" w:hAnsi="Times New Roman" w:cs="Times New Roman"/>
          <w:sz w:val="24"/>
          <w:szCs w:val="24"/>
        </w:rPr>
        <w:t>Bindura</w:t>
      </w:r>
      <w:proofErr w:type="spellEnd"/>
      <w:r>
        <w:rPr>
          <w:rFonts w:ascii="Times New Roman" w:hAnsi="Times New Roman" w:cs="Times New Roman"/>
          <w:sz w:val="24"/>
          <w:szCs w:val="24"/>
        </w:rPr>
        <w:t>.”</w:t>
      </w:r>
    </w:p>
    <w:p w:rsidR="00C53DDF" w:rsidRDefault="00C53DDF" w:rsidP="000E562E">
      <w:pPr>
        <w:spacing w:after="0" w:line="360" w:lineRule="auto"/>
        <w:jc w:val="both"/>
        <w:rPr>
          <w:rFonts w:ascii="Times New Roman" w:hAnsi="Times New Roman" w:cs="Times New Roman"/>
          <w:sz w:val="24"/>
          <w:szCs w:val="24"/>
        </w:rPr>
      </w:pPr>
    </w:p>
    <w:p w:rsidR="00C53DDF" w:rsidRDefault="00C53DDF"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one of scores of similar cases wherein </w:t>
      </w:r>
      <w:r w:rsidR="00577AF7">
        <w:rPr>
          <w:rFonts w:ascii="Times New Roman" w:hAnsi="Times New Roman" w:cs="Times New Roman"/>
          <w:sz w:val="24"/>
          <w:szCs w:val="24"/>
        </w:rPr>
        <w:t>the respondents, just like the present respondent, are ex-employees of the applicant whom the applicant is seeking to evict from the several company houses on the basis that the respondents were tenants and since their employment with the applicant has terminated they must vacate the houses.</w:t>
      </w:r>
    </w:p>
    <w:p w:rsidR="00577AF7" w:rsidRDefault="00577AF7"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 like other respondents, the respondent herein argues that the applicant sold the house to him </w:t>
      </w:r>
      <w:proofErr w:type="spellStart"/>
      <w:proofErr w:type="gramStart"/>
      <w:r>
        <w:rPr>
          <w:rFonts w:ascii="Times New Roman" w:hAnsi="Times New Roman" w:cs="Times New Roman"/>
          <w:sz w:val="24"/>
          <w:szCs w:val="24"/>
        </w:rPr>
        <w:t>an</w:t>
      </w:r>
      <w:proofErr w:type="spellEnd"/>
      <w:proofErr w:type="gramEnd"/>
      <w:r>
        <w:rPr>
          <w:rFonts w:ascii="Times New Roman" w:hAnsi="Times New Roman" w:cs="Times New Roman"/>
          <w:sz w:val="24"/>
          <w:szCs w:val="24"/>
        </w:rPr>
        <w:t xml:space="preserve"> he has since paid off the full purchase price while he was still an employee, hence the applicant cannot legally evict him.</w:t>
      </w:r>
    </w:p>
    <w:p w:rsidR="00577AF7" w:rsidRDefault="00577AF7"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circumstances surrounding the case are somewhat queer. What is common ground is that the applicant anticipated </w:t>
      </w:r>
      <w:r w:rsidR="009E1608">
        <w:rPr>
          <w:rFonts w:ascii="Times New Roman" w:hAnsi="Times New Roman" w:cs="Times New Roman"/>
          <w:sz w:val="24"/>
          <w:szCs w:val="24"/>
        </w:rPr>
        <w:t xml:space="preserve">closure </w:t>
      </w:r>
      <w:r>
        <w:rPr>
          <w:rFonts w:ascii="Times New Roman" w:hAnsi="Times New Roman" w:cs="Times New Roman"/>
          <w:sz w:val="24"/>
          <w:szCs w:val="24"/>
        </w:rPr>
        <w:t>of its mine having foreseen viability difficulties. The management and workers engaged each other with a view to disposing</w:t>
      </w:r>
      <w:r w:rsidR="009E1608">
        <w:rPr>
          <w:rFonts w:ascii="Times New Roman" w:hAnsi="Times New Roman" w:cs="Times New Roman"/>
          <w:sz w:val="24"/>
          <w:szCs w:val="24"/>
        </w:rPr>
        <w:t xml:space="preserve"> of</w:t>
      </w:r>
      <w:r>
        <w:rPr>
          <w:rFonts w:ascii="Times New Roman" w:hAnsi="Times New Roman" w:cs="Times New Roman"/>
          <w:sz w:val="24"/>
          <w:szCs w:val="24"/>
        </w:rPr>
        <w:t xml:space="preserve"> company houses by way of sale to sitting tenants. Some housing committee was established to oversee and conclude that process. Several meetings were held which culminated in management and employees signing a Memorandum of Agreement to the effect that the applicant “agreed to dispose of its housing units situated in </w:t>
      </w:r>
      <w:proofErr w:type="spellStart"/>
      <w:r>
        <w:rPr>
          <w:rFonts w:ascii="Times New Roman" w:hAnsi="Times New Roman" w:cs="Times New Roman"/>
          <w:sz w:val="24"/>
          <w:szCs w:val="24"/>
        </w:rPr>
        <w:t>Chiwaridzo</w:t>
      </w:r>
      <w:proofErr w:type="spellEnd"/>
      <w:r>
        <w:rPr>
          <w:rFonts w:ascii="Times New Roman" w:hAnsi="Times New Roman" w:cs="Times New Roman"/>
          <w:sz w:val="24"/>
          <w:szCs w:val="24"/>
        </w:rPr>
        <w:t xml:space="preserve">, Grey Line Flats and Low Density to its employees who are sitting tenants effective on 1 December, 2003. Find the agreed prices attached.” The schedules attached reflect names of the beneficiaries, house numbers, new valuations and monthly repayments. </w:t>
      </w:r>
    </w:p>
    <w:p w:rsidR="00577AF7" w:rsidRDefault="00B7274A"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Then </w:t>
      </w:r>
      <w:proofErr w:type="gramStart"/>
      <w:r>
        <w:rPr>
          <w:rFonts w:ascii="Times New Roman" w:hAnsi="Times New Roman" w:cs="Times New Roman"/>
          <w:sz w:val="24"/>
          <w:szCs w:val="24"/>
        </w:rPr>
        <w:t>comes</w:t>
      </w:r>
      <w:proofErr w:type="gramEnd"/>
      <w:r>
        <w:rPr>
          <w:rFonts w:ascii="Times New Roman" w:hAnsi="Times New Roman" w:cs="Times New Roman"/>
          <w:sz w:val="24"/>
          <w:szCs w:val="24"/>
        </w:rPr>
        <w:t xml:space="preserve"> the queerness of the entire arrangement. On 12 December, 2003 the applicant concluded what is termed a Memorandum of Agreement of Lease with the various sitting tenants who were to purchase the houses. In the so called lease agreement are clauses, </w:t>
      </w:r>
      <w:r>
        <w:rPr>
          <w:rFonts w:ascii="Times New Roman" w:hAnsi="Times New Roman" w:cs="Times New Roman"/>
          <w:i/>
          <w:sz w:val="24"/>
          <w:szCs w:val="24"/>
        </w:rPr>
        <w:t>inter alia</w:t>
      </w:r>
      <w:r>
        <w:rPr>
          <w:rFonts w:ascii="Times New Roman" w:hAnsi="Times New Roman" w:cs="Times New Roman"/>
          <w:sz w:val="24"/>
          <w:szCs w:val="24"/>
        </w:rPr>
        <w:t xml:space="preserve">, providing for the amount of rent payable per month which was to “escalate periodically at the rate and on the basis described in Annexure “A” hereto.” The Annexure “A” provides, “The value of the property will be </w:t>
      </w:r>
      <w:proofErr w:type="spellStart"/>
      <w:r>
        <w:rPr>
          <w:rFonts w:ascii="Times New Roman" w:hAnsi="Times New Roman" w:cs="Times New Roman"/>
          <w:sz w:val="24"/>
          <w:szCs w:val="24"/>
        </w:rPr>
        <w:t>revalued</w:t>
      </w:r>
      <w:proofErr w:type="spellEnd"/>
      <w:r>
        <w:rPr>
          <w:rFonts w:ascii="Times New Roman" w:hAnsi="Times New Roman" w:cs="Times New Roman"/>
          <w:sz w:val="24"/>
          <w:szCs w:val="24"/>
        </w:rPr>
        <w:t xml:space="preserve"> each time the employee is awarded the annual salary increment. The outstanding balance as at the effective date of the increment is what is </w:t>
      </w:r>
      <w:proofErr w:type="spellStart"/>
      <w:r>
        <w:rPr>
          <w:rFonts w:ascii="Times New Roman" w:hAnsi="Times New Roman" w:cs="Times New Roman"/>
          <w:sz w:val="24"/>
          <w:szCs w:val="24"/>
        </w:rPr>
        <w:t>revalued</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w:t>
      </w:r>
      <w:proofErr w:type="spellStart"/>
      <w:r>
        <w:rPr>
          <w:rFonts w:ascii="Times New Roman" w:hAnsi="Times New Roman" w:cs="Times New Roman"/>
          <w:sz w:val="24"/>
          <w:szCs w:val="24"/>
        </w:rPr>
        <w:t>revalued</w:t>
      </w:r>
      <w:proofErr w:type="spellEnd"/>
      <w:r>
        <w:rPr>
          <w:rFonts w:ascii="Times New Roman" w:hAnsi="Times New Roman" w:cs="Times New Roman"/>
          <w:sz w:val="24"/>
          <w:szCs w:val="24"/>
        </w:rPr>
        <w:t xml:space="preserve"> outstanding balance will then be divided by the </w:t>
      </w:r>
      <w:r>
        <w:rPr>
          <w:rFonts w:ascii="Times New Roman" w:hAnsi="Times New Roman" w:cs="Times New Roman"/>
          <w:sz w:val="24"/>
          <w:szCs w:val="24"/>
        </w:rPr>
        <w:lastRenderedPageBreak/>
        <w:t>remaining period to get the monthly payment.” The “lease” was to endure for five years commencing on 1 January, 2004 and had an option to purchase the property after the five year period. The rentals paid by the lessee in terms of the “lease” were to be taken into account and be deducted from the amount due in respect of the purchase price.</w:t>
      </w:r>
    </w:p>
    <w:p w:rsidR="002E5981" w:rsidRDefault="00B7274A"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respondent’s various payslips over the years reflect two pertinent items,</w:t>
      </w:r>
      <w:r w:rsidR="009E216A">
        <w:rPr>
          <w:rFonts w:ascii="Times New Roman" w:hAnsi="Times New Roman" w:cs="Times New Roman"/>
          <w:sz w:val="24"/>
          <w:szCs w:val="24"/>
        </w:rPr>
        <w:t xml:space="preserve"> </w:t>
      </w:r>
      <w:proofErr w:type="spellStart"/>
      <w:r w:rsidR="002E5981">
        <w:rPr>
          <w:rFonts w:ascii="Times New Roman" w:hAnsi="Times New Roman" w:cs="Times New Roman"/>
          <w:sz w:val="24"/>
          <w:szCs w:val="24"/>
        </w:rPr>
        <w:t>viz</w:t>
      </w:r>
      <w:proofErr w:type="spellEnd"/>
      <w:r w:rsidR="002E5981">
        <w:rPr>
          <w:rFonts w:ascii="Times New Roman" w:hAnsi="Times New Roman" w:cs="Times New Roman"/>
          <w:sz w:val="24"/>
          <w:szCs w:val="24"/>
        </w:rPr>
        <w:t xml:space="preserve"> a deducti</w:t>
      </w:r>
      <w:r w:rsidR="009E1608">
        <w:rPr>
          <w:rFonts w:ascii="Times New Roman" w:hAnsi="Times New Roman" w:cs="Times New Roman"/>
          <w:sz w:val="24"/>
          <w:szCs w:val="24"/>
        </w:rPr>
        <w:t>on</w:t>
      </w:r>
      <w:r w:rsidR="002E5981">
        <w:rPr>
          <w:rFonts w:ascii="Times New Roman" w:hAnsi="Times New Roman" w:cs="Times New Roman"/>
          <w:sz w:val="24"/>
          <w:szCs w:val="24"/>
        </w:rPr>
        <w:t xml:space="preserve"> itemised as “Rent to </w:t>
      </w:r>
      <w:proofErr w:type="gramStart"/>
      <w:r w:rsidR="002E5981">
        <w:rPr>
          <w:rFonts w:ascii="Times New Roman" w:hAnsi="Times New Roman" w:cs="Times New Roman"/>
          <w:sz w:val="24"/>
          <w:szCs w:val="24"/>
        </w:rPr>
        <w:t>Buy</w:t>
      </w:r>
      <w:proofErr w:type="gramEnd"/>
      <w:r w:rsidR="002E5981">
        <w:rPr>
          <w:rFonts w:ascii="Times New Roman" w:hAnsi="Times New Roman" w:cs="Times New Roman"/>
          <w:sz w:val="24"/>
          <w:szCs w:val="24"/>
        </w:rPr>
        <w:t xml:space="preserve">” and another itemised </w:t>
      </w:r>
      <w:r w:rsidR="009E1608">
        <w:rPr>
          <w:rFonts w:ascii="Times New Roman" w:hAnsi="Times New Roman" w:cs="Times New Roman"/>
          <w:sz w:val="24"/>
          <w:szCs w:val="24"/>
        </w:rPr>
        <w:t>“</w:t>
      </w:r>
      <w:r w:rsidR="002E5981">
        <w:rPr>
          <w:rFonts w:ascii="Times New Roman" w:hAnsi="Times New Roman" w:cs="Times New Roman"/>
          <w:sz w:val="24"/>
          <w:szCs w:val="24"/>
        </w:rPr>
        <w:t>Bal. Rent to Buy.”</w:t>
      </w:r>
      <w:r w:rsidR="009E216A">
        <w:rPr>
          <w:rFonts w:ascii="Times New Roman" w:hAnsi="Times New Roman" w:cs="Times New Roman"/>
          <w:sz w:val="24"/>
          <w:szCs w:val="24"/>
        </w:rPr>
        <w:t xml:space="preserve">          </w:t>
      </w:r>
    </w:p>
    <w:p w:rsidR="003827B5" w:rsidRDefault="002E5981"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essentially the foregoing facts upon which the contention revolves. The applicant contends that no sale agreement was concluded but a lease, while the respondent contends that a sale agreement was in fact concluded and that the purported lease was simply a “finance lease whose lifespan</w:t>
      </w:r>
      <w:r w:rsidR="003827B5">
        <w:rPr>
          <w:rFonts w:ascii="Times New Roman" w:hAnsi="Times New Roman" w:cs="Times New Roman"/>
          <w:sz w:val="24"/>
          <w:szCs w:val="24"/>
        </w:rPr>
        <w:t xml:space="preserve"> would go as far as the last instalment towards the purchase of the house by myself” and was never meant to be an operating lease.</w:t>
      </w:r>
    </w:p>
    <w:p w:rsidR="003827B5" w:rsidRDefault="003827B5"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While the applicant relied on the case of </w:t>
      </w:r>
      <w:r>
        <w:rPr>
          <w:rFonts w:ascii="Times New Roman" w:hAnsi="Times New Roman" w:cs="Times New Roman"/>
          <w:i/>
          <w:sz w:val="24"/>
          <w:szCs w:val="24"/>
        </w:rPr>
        <w:t>Ashanti Goldfields Zimbabwe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Clemence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SC 7/09 which held that the arrangement between the parties was not a sale but a lease, respondent argued that facts of the present case are different from those in the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case. He further contended that in a trial cause in:</w:t>
      </w:r>
    </w:p>
    <w:p w:rsidR="000E562E" w:rsidRDefault="000E562E" w:rsidP="000E562E">
      <w:pPr>
        <w:spacing w:after="0" w:line="240" w:lineRule="auto"/>
        <w:ind w:firstLine="720"/>
        <w:jc w:val="both"/>
        <w:rPr>
          <w:rFonts w:ascii="Times New Roman" w:hAnsi="Times New Roman" w:cs="Times New Roman"/>
          <w:sz w:val="24"/>
          <w:szCs w:val="24"/>
        </w:rPr>
      </w:pPr>
    </w:p>
    <w:p w:rsidR="00BB72D0" w:rsidRPr="00BB72D0" w:rsidRDefault="003827B5" w:rsidP="000E562E">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Simbarashe</w:t>
      </w:r>
      <w:proofErr w:type="spellEnd"/>
      <w:r>
        <w:rPr>
          <w:rFonts w:ascii="Times New Roman" w:hAnsi="Times New Roman" w:cs="Times New Roman"/>
          <w:i/>
          <w:sz w:val="24"/>
          <w:szCs w:val="24"/>
        </w:rPr>
        <w:t xml:space="preserve"> Antonio</w:t>
      </w:r>
      <w:r>
        <w:rPr>
          <w:rFonts w:ascii="Times New Roman" w:hAnsi="Times New Roman" w:cs="Times New Roman"/>
          <w:sz w:val="24"/>
          <w:szCs w:val="24"/>
        </w:rPr>
        <w:t xml:space="preserve"> v </w:t>
      </w:r>
      <w:r>
        <w:rPr>
          <w:rFonts w:ascii="Times New Roman" w:hAnsi="Times New Roman" w:cs="Times New Roman"/>
          <w:i/>
          <w:sz w:val="24"/>
          <w:szCs w:val="24"/>
        </w:rPr>
        <w:t>Ashanti Goldfields Zimbabwe Limited</w:t>
      </w:r>
      <w:r w:rsidR="00BB72D0">
        <w:rPr>
          <w:rFonts w:ascii="Times New Roman" w:hAnsi="Times New Roman" w:cs="Times New Roman"/>
          <w:i/>
          <w:sz w:val="24"/>
          <w:szCs w:val="24"/>
        </w:rPr>
        <w:t xml:space="preserve"> &amp; Registrar of Deeds</w:t>
      </w:r>
    </w:p>
    <w:p w:rsidR="00BB72D0" w:rsidRPr="00BB72D0" w:rsidRDefault="00BB72D0" w:rsidP="000E562E">
      <w:pPr>
        <w:pStyle w:val="ListParagraph"/>
        <w:numPr>
          <w:ilvl w:val="0"/>
          <w:numId w:val="3"/>
        </w:num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Kingstone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w:t>
      </w:r>
      <w:r w:rsidR="009E1608">
        <w:rPr>
          <w:rFonts w:ascii="Times New Roman" w:hAnsi="Times New Roman" w:cs="Times New Roman"/>
          <w:i/>
          <w:sz w:val="24"/>
          <w:szCs w:val="24"/>
        </w:rPr>
        <w:t>j</w:t>
      </w:r>
      <w:r>
        <w:rPr>
          <w:rFonts w:ascii="Times New Roman" w:hAnsi="Times New Roman" w:cs="Times New Roman"/>
          <w:i/>
          <w:sz w:val="24"/>
          <w:szCs w:val="24"/>
        </w:rPr>
        <w:t>ati</w:t>
      </w:r>
      <w:proofErr w:type="spellEnd"/>
      <w:r>
        <w:rPr>
          <w:rFonts w:ascii="Times New Roman" w:hAnsi="Times New Roman" w:cs="Times New Roman"/>
          <w:sz w:val="24"/>
          <w:szCs w:val="24"/>
        </w:rPr>
        <w:t xml:space="preserve"> v </w:t>
      </w:r>
      <w:r>
        <w:rPr>
          <w:rFonts w:ascii="Times New Roman" w:hAnsi="Times New Roman" w:cs="Times New Roman"/>
          <w:i/>
          <w:sz w:val="24"/>
          <w:szCs w:val="24"/>
        </w:rPr>
        <w:t xml:space="preserve">Ashanti </w:t>
      </w:r>
      <w:proofErr w:type="spellStart"/>
      <w:r>
        <w:rPr>
          <w:rFonts w:ascii="Times New Roman" w:hAnsi="Times New Roman" w:cs="Times New Roman"/>
          <w:i/>
          <w:sz w:val="24"/>
          <w:szCs w:val="24"/>
        </w:rPr>
        <w:t>Godfields</w:t>
      </w:r>
      <w:proofErr w:type="spellEnd"/>
      <w:r>
        <w:rPr>
          <w:rFonts w:ascii="Times New Roman" w:hAnsi="Times New Roman" w:cs="Times New Roman"/>
          <w:i/>
          <w:sz w:val="24"/>
          <w:szCs w:val="24"/>
        </w:rPr>
        <w:t xml:space="preserve"> Zimbabwe Limited</w:t>
      </w:r>
      <w:r>
        <w:rPr>
          <w:rFonts w:ascii="Times New Roman" w:hAnsi="Times New Roman" w:cs="Times New Roman"/>
          <w:sz w:val="24"/>
          <w:szCs w:val="24"/>
        </w:rPr>
        <w:t xml:space="preserve"> t/a </w:t>
      </w:r>
      <w:r>
        <w:rPr>
          <w:rFonts w:ascii="Times New Roman" w:hAnsi="Times New Roman" w:cs="Times New Roman"/>
          <w:i/>
          <w:sz w:val="24"/>
          <w:szCs w:val="24"/>
        </w:rPr>
        <w:t>Freda Rebecca Mine &amp; Registrar of Deeds</w:t>
      </w:r>
    </w:p>
    <w:p w:rsidR="00BB72D0" w:rsidRDefault="00BB72D0" w:rsidP="000E562E">
      <w:pPr>
        <w:pStyle w:val="ListParagraph"/>
        <w:numPr>
          <w:ilvl w:val="0"/>
          <w:numId w:val="3"/>
        </w:numPr>
        <w:spacing w:after="0" w:line="360" w:lineRule="auto"/>
        <w:ind w:left="0" w:firstLine="360"/>
        <w:jc w:val="both"/>
        <w:rPr>
          <w:rFonts w:ascii="Times New Roman" w:hAnsi="Times New Roman" w:cs="Times New Roman"/>
          <w:sz w:val="24"/>
          <w:szCs w:val="24"/>
        </w:rPr>
      </w:pPr>
      <w:r>
        <w:rPr>
          <w:rFonts w:ascii="Times New Roman" w:hAnsi="Times New Roman" w:cs="Times New Roman"/>
          <w:i/>
          <w:sz w:val="24"/>
          <w:szCs w:val="24"/>
        </w:rPr>
        <w:t>Ashanti Goldfields Zimbabwe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Kwadzanayi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Bonde</w:t>
      </w:r>
      <w:proofErr w:type="spellEnd"/>
      <w:r>
        <w:rPr>
          <w:rFonts w:ascii="Times New Roman" w:hAnsi="Times New Roman" w:cs="Times New Roman"/>
          <w:sz w:val="24"/>
          <w:szCs w:val="24"/>
        </w:rPr>
        <w:t xml:space="preserve"> HH 135/09 the High Court (MAKARAU JP as she then was) distinguished the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case </w:t>
      </w:r>
      <w:r>
        <w:rPr>
          <w:rFonts w:ascii="Times New Roman" w:hAnsi="Times New Roman" w:cs="Times New Roman"/>
          <w:i/>
          <w:sz w:val="24"/>
          <w:szCs w:val="24"/>
        </w:rPr>
        <w:t>supra</w:t>
      </w:r>
      <w:r>
        <w:rPr>
          <w:rFonts w:ascii="Times New Roman" w:hAnsi="Times New Roman" w:cs="Times New Roman"/>
          <w:sz w:val="24"/>
          <w:szCs w:val="24"/>
        </w:rPr>
        <w:t xml:space="preserve"> on the facts similar to one</w:t>
      </w:r>
      <w:r w:rsidR="009E1608">
        <w:rPr>
          <w:rFonts w:ascii="Times New Roman" w:hAnsi="Times New Roman" w:cs="Times New Roman"/>
          <w:sz w:val="24"/>
          <w:szCs w:val="24"/>
        </w:rPr>
        <w:t>s</w:t>
      </w:r>
      <w:r>
        <w:rPr>
          <w:rFonts w:ascii="Times New Roman" w:hAnsi="Times New Roman" w:cs="Times New Roman"/>
          <w:sz w:val="24"/>
          <w:szCs w:val="24"/>
        </w:rPr>
        <w:t xml:space="preserve">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and held that there was a sale. Therein the learned judge at p 10 of the cyclostyled judgment held as follows:</w:t>
      </w:r>
    </w:p>
    <w:p w:rsidR="00BB72D0" w:rsidRDefault="00BB72D0" w:rsidP="000E562E">
      <w:pPr>
        <w:spacing w:after="0" w:line="240" w:lineRule="auto"/>
        <w:ind w:left="360"/>
        <w:jc w:val="both"/>
        <w:rPr>
          <w:rFonts w:ascii="Times New Roman" w:hAnsi="Times New Roman" w:cs="Times New Roman"/>
          <w:sz w:val="24"/>
          <w:szCs w:val="24"/>
        </w:rPr>
      </w:pPr>
    </w:p>
    <w:p w:rsidR="00F7045A" w:rsidRDefault="00BB72D0" w:rsidP="000E562E">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“The plaintiffs allege that it was the first agreement that was entered into with the requisite intention of creating a binding agreement</w:t>
      </w:r>
      <w:r w:rsidR="00F7045A">
        <w:rPr>
          <w:rFonts w:ascii="Times New Roman" w:hAnsi="Times New Roman" w:cs="Times New Roman"/>
          <w:sz w:val="24"/>
          <w:szCs w:val="24"/>
        </w:rPr>
        <w:t xml:space="preserve"> between the parties. The subsequent lease agreements were not as they were meant and understood by both parties to be </w:t>
      </w:r>
      <w:r w:rsidR="009E1608">
        <w:rPr>
          <w:rFonts w:ascii="Times New Roman" w:hAnsi="Times New Roman" w:cs="Times New Roman"/>
          <w:sz w:val="24"/>
          <w:szCs w:val="24"/>
        </w:rPr>
        <w:t>m</w:t>
      </w:r>
      <w:r w:rsidR="00C17B93">
        <w:rPr>
          <w:rFonts w:ascii="Times New Roman" w:hAnsi="Times New Roman" w:cs="Times New Roman"/>
          <w:sz w:val="24"/>
          <w:szCs w:val="24"/>
        </w:rPr>
        <w:t>e</w:t>
      </w:r>
      <w:r w:rsidR="009E1608">
        <w:rPr>
          <w:rFonts w:ascii="Times New Roman" w:hAnsi="Times New Roman" w:cs="Times New Roman"/>
          <w:sz w:val="24"/>
          <w:szCs w:val="24"/>
        </w:rPr>
        <w:t>re</w:t>
      </w:r>
      <w:r w:rsidR="00F7045A">
        <w:rPr>
          <w:rFonts w:ascii="Times New Roman" w:hAnsi="Times New Roman" w:cs="Times New Roman"/>
          <w:sz w:val="24"/>
          <w:szCs w:val="24"/>
        </w:rPr>
        <w:t xml:space="preserve"> vehicles of facilitating the payment of the purchase prices for the housing units. That in my view should end the enquiry.”</w:t>
      </w:r>
    </w:p>
    <w:p w:rsidR="00F7045A" w:rsidRDefault="00F7045A" w:rsidP="000E562E">
      <w:pPr>
        <w:spacing w:after="0" w:line="240" w:lineRule="auto"/>
        <w:jc w:val="both"/>
        <w:rPr>
          <w:rFonts w:ascii="Times New Roman" w:hAnsi="Times New Roman" w:cs="Times New Roman"/>
          <w:sz w:val="24"/>
          <w:szCs w:val="24"/>
        </w:rPr>
      </w:pPr>
    </w:p>
    <w:p w:rsidR="00F7045A" w:rsidRDefault="00F7045A" w:rsidP="000E562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at </w:t>
      </w:r>
      <w:proofErr w:type="spellStart"/>
      <w:r>
        <w:rPr>
          <w:rFonts w:ascii="Times New Roman" w:hAnsi="Times New Roman" w:cs="Times New Roman"/>
          <w:sz w:val="24"/>
          <w:szCs w:val="24"/>
        </w:rPr>
        <w:t>p</w:t>
      </w:r>
      <w:r w:rsidR="009E1608">
        <w:rPr>
          <w:rFonts w:ascii="Times New Roman" w:hAnsi="Times New Roman" w:cs="Times New Roman"/>
          <w:sz w:val="24"/>
          <w:szCs w:val="24"/>
        </w:rPr>
        <w:t>p</w:t>
      </w:r>
      <w:proofErr w:type="spellEnd"/>
      <w:r>
        <w:rPr>
          <w:rFonts w:ascii="Times New Roman" w:hAnsi="Times New Roman" w:cs="Times New Roman"/>
          <w:sz w:val="24"/>
          <w:szCs w:val="24"/>
        </w:rPr>
        <w:t xml:space="preserve"> 13 and 14 she held as follows:</w:t>
      </w:r>
    </w:p>
    <w:p w:rsidR="00F7045A" w:rsidRDefault="00F7045A" w:rsidP="000E562E">
      <w:pPr>
        <w:spacing w:after="0" w:line="240" w:lineRule="auto"/>
        <w:jc w:val="both"/>
        <w:rPr>
          <w:rFonts w:ascii="Times New Roman" w:hAnsi="Times New Roman" w:cs="Times New Roman"/>
          <w:sz w:val="24"/>
          <w:szCs w:val="24"/>
        </w:rPr>
      </w:pPr>
    </w:p>
    <w:p w:rsidR="006B1FCD" w:rsidRDefault="006B1FCD" w:rsidP="000E562E">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“In concluding as I do, I am aware of the Supreme Court judgment in </w:t>
      </w:r>
      <w:r>
        <w:rPr>
          <w:rFonts w:ascii="Times New Roman" w:hAnsi="Times New Roman" w:cs="Times New Roman"/>
          <w:i/>
          <w:sz w:val="24"/>
          <w:szCs w:val="24"/>
        </w:rPr>
        <w:t>Ashanti Goldfields Zimbabwe Limited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Clemence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SC 7/09 in which it was held that the agreement of 1 December, 2003 between the defendant before </w:t>
      </w:r>
      <w:r w:rsidR="009E1608">
        <w:rPr>
          <w:rFonts w:ascii="Times New Roman" w:hAnsi="Times New Roman" w:cs="Times New Roman"/>
          <w:sz w:val="24"/>
          <w:szCs w:val="24"/>
        </w:rPr>
        <w:t>me and a</w:t>
      </w:r>
      <w:r>
        <w:rPr>
          <w:rFonts w:ascii="Times New Roman" w:hAnsi="Times New Roman" w:cs="Times New Roman"/>
          <w:sz w:val="24"/>
          <w:szCs w:val="24"/>
        </w:rPr>
        <w:t xml:space="preserve"> similar</w:t>
      </w:r>
      <w:r w:rsidR="009E1608">
        <w:rPr>
          <w:rFonts w:ascii="Times New Roman" w:hAnsi="Times New Roman" w:cs="Times New Roman"/>
          <w:sz w:val="24"/>
          <w:szCs w:val="24"/>
        </w:rPr>
        <w:t>ly</w:t>
      </w:r>
      <w:r>
        <w:rPr>
          <w:rFonts w:ascii="Times New Roman" w:hAnsi="Times New Roman" w:cs="Times New Roman"/>
          <w:sz w:val="24"/>
          <w:szCs w:val="24"/>
        </w:rPr>
        <w:t xml:space="preserve"> placed employee to the plaintiffs before me was not an agreement of sale. It was held in that case that in the agreement, the defendant agreed to offer for sale the housing units to its employees. While the Supreme Court in the </w:t>
      </w:r>
      <w:proofErr w:type="spellStart"/>
      <w:r>
        <w:rPr>
          <w:rFonts w:ascii="Times New Roman" w:hAnsi="Times New Roman" w:cs="Times New Roman"/>
          <w:i/>
          <w:sz w:val="24"/>
          <w:szCs w:val="24"/>
        </w:rPr>
        <w:t>Kovi</w:t>
      </w:r>
      <w:proofErr w:type="spellEnd"/>
      <w:r>
        <w:rPr>
          <w:rFonts w:ascii="Times New Roman" w:hAnsi="Times New Roman" w:cs="Times New Roman"/>
          <w:sz w:val="24"/>
          <w:szCs w:val="24"/>
        </w:rPr>
        <w:t xml:space="preserve"> matter found no evidence </w:t>
      </w:r>
      <w:r>
        <w:rPr>
          <w:rFonts w:ascii="Times New Roman" w:hAnsi="Times New Roman" w:cs="Times New Roman"/>
          <w:sz w:val="24"/>
          <w:szCs w:val="24"/>
        </w:rPr>
        <w:lastRenderedPageBreak/>
        <w:t xml:space="preserve">that the employee in that matter took up the offer,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I believe I have such evidence. The clear evidence led before me shows that each of the three employees took up the offer made to them and exercised the option by commencing to make periodic payments to the defendant. More importantly in my view such payments were accepted by the defendant’s management of the day as a reduction in the purchase price of the housing units involved.”</w:t>
      </w:r>
    </w:p>
    <w:p w:rsidR="006B1FCD" w:rsidRDefault="006B1FCD" w:rsidP="000E562E">
      <w:pPr>
        <w:spacing w:after="0" w:line="360" w:lineRule="auto"/>
        <w:jc w:val="both"/>
        <w:rPr>
          <w:rFonts w:ascii="Times New Roman" w:hAnsi="Times New Roman" w:cs="Times New Roman"/>
          <w:sz w:val="24"/>
          <w:szCs w:val="24"/>
        </w:rPr>
      </w:pPr>
    </w:p>
    <w:p w:rsidR="006E34E0" w:rsidRDefault="006B1FCD" w:rsidP="000E56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facts and arguments 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fall on all fours with the cases dealt with by MAKARAU JP (</w:t>
      </w:r>
      <w:r w:rsidR="006E34E0">
        <w:rPr>
          <w:rFonts w:ascii="Times New Roman" w:hAnsi="Times New Roman" w:cs="Times New Roman"/>
          <w:sz w:val="24"/>
          <w:szCs w:val="24"/>
        </w:rPr>
        <w:t xml:space="preserve">as she then was) cited above and also that the applicant’s counsel in the instant case represented the same client in the above cited matters, he ought to have realised the futility of launching the application for summary judgment as he must have known that the respondent has a </w:t>
      </w:r>
      <w:proofErr w:type="spellStart"/>
      <w:r w:rsidR="006E34E0">
        <w:rPr>
          <w:rFonts w:ascii="Times New Roman" w:hAnsi="Times New Roman" w:cs="Times New Roman"/>
          <w:sz w:val="24"/>
          <w:szCs w:val="24"/>
        </w:rPr>
        <w:t>triable</w:t>
      </w:r>
      <w:proofErr w:type="spellEnd"/>
      <w:r w:rsidR="006E34E0">
        <w:rPr>
          <w:rFonts w:ascii="Times New Roman" w:hAnsi="Times New Roman" w:cs="Times New Roman"/>
          <w:sz w:val="24"/>
          <w:szCs w:val="24"/>
        </w:rPr>
        <w:t xml:space="preserve"> or arguable defence.</w:t>
      </w:r>
      <w:r w:rsidR="009E1608">
        <w:rPr>
          <w:rFonts w:ascii="Times New Roman" w:hAnsi="Times New Roman" w:cs="Times New Roman"/>
          <w:sz w:val="24"/>
          <w:szCs w:val="24"/>
        </w:rPr>
        <w:t xml:space="preserve"> Over and above that, the parties in that case are still awaiting the outcome of the appeal noted at the Supreme Court. The applicant was accordingly trying a long shot in the dark. </w:t>
      </w:r>
      <w:r w:rsidR="006E34E0">
        <w:rPr>
          <w:rFonts w:ascii="Times New Roman" w:hAnsi="Times New Roman" w:cs="Times New Roman"/>
          <w:sz w:val="24"/>
          <w:szCs w:val="24"/>
        </w:rPr>
        <w:t>The foregoing were the reasons why the application for summary judgment was refused and the respondent given unconditional leave to defend the action.</w:t>
      </w:r>
    </w:p>
    <w:p w:rsidR="006E34E0" w:rsidRDefault="006E34E0" w:rsidP="000E562E">
      <w:pPr>
        <w:spacing w:after="0" w:line="360" w:lineRule="auto"/>
        <w:jc w:val="both"/>
        <w:rPr>
          <w:rFonts w:ascii="Times New Roman" w:hAnsi="Times New Roman" w:cs="Times New Roman"/>
          <w:sz w:val="24"/>
          <w:szCs w:val="24"/>
        </w:rPr>
      </w:pPr>
    </w:p>
    <w:p w:rsidR="006E34E0" w:rsidRDefault="006E34E0" w:rsidP="000E562E">
      <w:pPr>
        <w:spacing w:after="0" w:line="360" w:lineRule="auto"/>
        <w:jc w:val="both"/>
        <w:rPr>
          <w:rFonts w:ascii="Times New Roman" w:hAnsi="Times New Roman" w:cs="Times New Roman"/>
          <w:sz w:val="24"/>
          <w:szCs w:val="24"/>
        </w:rPr>
      </w:pPr>
    </w:p>
    <w:p w:rsidR="006E34E0" w:rsidRDefault="006E34E0" w:rsidP="000E562E">
      <w:pPr>
        <w:spacing w:after="0" w:line="360" w:lineRule="auto"/>
        <w:jc w:val="both"/>
        <w:rPr>
          <w:rFonts w:ascii="Times New Roman" w:hAnsi="Times New Roman" w:cs="Times New Roman"/>
          <w:sz w:val="24"/>
          <w:szCs w:val="24"/>
        </w:rPr>
      </w:pPr>
    </w:p>
    <w:p w:rsidR="006E34E0" w:rsidRDefault="006E34E0" w:rsidP="000E562E">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Magwaliba</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Kwirira</w:t>
      </w:r>
      <w:proofErr w:type="spellEnd"/>
      <w:r>
        <w:rPr>
          <w:rFonts w:ascii="Times New Roman" w:hAnsi="Times New Roman" w:cs="Times New Roman"/>
          <w:sz w:val="24"/>
          <w:szCs w:val="24"/>
        </w:rPr>
        <w:t>, applicant’s legal practitioners</w:t>
      </w:r>
    </w:p>
    <w:p w:rsidR="00F7045A" w:rsidRPr="006B1FCD" w:rsidRDefault="006E34E0" w:rsidP="000E562E">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Manyurureni</w:t>
      </w:r>
      <w:proofErr w:type="spellEnd"/>
      <w:r>
        <w:rPr>
          <w:rFonts w:ascii="Times New Roman" w:hAnsi="Times New Roman" w:cs="Times New Roman"/>
          <w:i/>
          <w:sz w:val="24"/>
          <w:szCs w:val="24"/>
        </w:rPr>
        <w:t xml:space="preserve"> &amp; Company</w:t>
      </w:r>
      <w:r>
        <w:rPr>
          <w:rFonts w:ascii="Times New Roman" w:hAnsi="Times New Roman" w:cs="Times New Roman"/>
          <w:sz w:val="24"/>
          <w:szCs w:val="24"/>
        </w:rPr>
        <w:t>, respondent’s legal practitioners</w:t>
      </w:r>
      <w:r w:rsidR="006B1FCD">
        <w:rPr>
          <w:rFonts w:ascii="Times New Roman" w:hAnsi="Times New Roman" w:cs="Times New Roman"/>
          <w:sz w:val="24"/>
          <w:szCs w:val="24"/>
        </w:rPr>
        <w:t xml:space="preserve"> </w:t>
      </w:r>
    </w:p>
    <w:p w:rsidR="00B7274A" w:rsidRPr="00BB72D0" w:rsidRDefault="00BB72D0" w:rsidP="000E562E">
      <w:pPr>
        <w:spacing w:after="0" w:line="240" w:lineRule="auto"/>
        <w:jc w:val="both"/>
        <w:rPr>
          <w:rFonts w:ascii="Times New Roman" w:hAnsi="Times New Roman" w:cs="Times New Roman"/>
          <w:sz w:val="24"/>
          <w:szCs w:val="24"/>
        </w:rPr>
      </w:pPr>
      <w:r w:rsidRPr="00BB72D0">
        <w:rPr>
          <w:rFonts w:ascii="Times New Roman" w:hAnsi="Times New Roman" w:cs="Times New Roman"/>
          <w:sz w:val="24"/>
          <w:szCs w:val="24"/>
        </w:rPr>
        <w:t xml:space="preserve"> </w:t>
      </w:r>
      <w:r w:rsidR="009E216A" w:rsidRPr="00BB72D0">
        <w:rPr>
          <w:rFonts w:ascii="Times New Roman" w:hAnsi="Times New Roman" w:cs="Times New Roman"/>
          <w:sz w:val="24"/>
          <w:szCs w:val="24"/>
        </w:rPr>
        <w:t xml:space="preserve">                                                                                                                       </w:t>
      </w:r>
      <w:r w:rsidR="00B7274A" w:rsidRPr="00BB72D0">
        <w:rPr>
          <w:rFonts w:ascii="Times New Roman" w:hAnsi="Times New Roman" w:cs="Times New Roman"/>
          <w:sz w:val="24"/>
          <w:szCs w:val="24"/>
        </w:rPr>
        <w:t xml:space="preserve">                                                                           </w:t>
      </w:r>
    </w:p>
    <w:sectPr w:rsidR="00B7274A" w:rsidRPr="00BB72D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83" w:rsidRDefault="00D31483" w:rsidP="000E562E">
      <w:pPr>
        <w:spacing w:after="0" w:line="240" w:lineRule="auto"/>
      </w:pPr>
      <w:r>
        <w:separator/>
      </w:r>
    </w:p>
  </w:endnote>
  <w:endnote w:type="continuationSeparator" w:id="0">
    <w:p w:rsidR="00D31483" w:rsidRDefault="00D31483" w:rsidP="000E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83" w:rsidRDefault="00D31483" w:rsidP="000E562E">
      <w:pPr>
        <w:spacing w:after="0" w:line="240" w:lineRule="auto"/>
      </w:pPr>
      <w:r>
        <w:separator/>
      </w:r>
    </w:p>
  </w:footnote>
  <w:footnote w:type="continuationSeparator" w:id="0">
    <w:p w:rsidR="00D31483" w:rsidRDefault="00D31483" w:rsidP="000E5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464697"/>
      <w:docPartObj>
        <w:docPartGallery w:val="Page Numbers (Top of Page)"/>
        <w:docPartUnique/>
      </w:docPartObj>
    </w:sdtPr>
    <w:sdtEndPr>
      <w:rPr>
        <w:noProof/>
      </w:rPr>
    </w:sdtEndPr>
    <w:sdtContent>
      <w:p w:rsidR="000E562E" w:rsidRDefault="000E562E">
        <w:pPr>
          <w:pStyle w:val="Header"/>
          <w:jc w:val="right"/>
          <w:rPr>
            <w:noProof/>
          </w:rPr>
        </w:pPr>
        <w:r>
          <w:fldChar w:fldCharType="begin"/>
        </w:r>
        <w:r>
          <w:instrText xml:space="preserve"> PAGE   \* MERGEFORMAT </w:instrText>
        </w:r>
        <w:r>
          <w:fldChar w:fldCharType="separate"/>
        </w:r>
        <w:r w:rsidR="007D4CB8">
          <w:rPr>
            <w:noProof/>
          </w:rPr>
          <w:t>1</w:t>
        </w:r>
        <w:r>
          <w:rPr>
            <w:noProof/>
          </w:rPr>
          <w:fldChar w:fldCharType="end"/>
        </w:r>
      </w:p>
      <w:p w:rsidR="000E562E" w:rsidRDefault="000E562E">
        <w:pPr>
          <w:pStyle w:val="Header"/>
          <w:jc w:val="right"/>
          <w:rPr>
            <w:noProof/>
          </w:rPr>
        </w:pPr>
        <w:r>
          <w:rPr>
            <w:noProof/>
          </w:rPr>
          <w:t xml:space="preserve">HH 58-2012  </w:t>
        </w:r>
      </w:p>
      <w:p w:rsidR="000E562E" w:rsidRDefault="000E562E">
        <w:pPr>
          <w:pStyle w:val="Header"/>
          <w:jc w:val="right"/>
        </w:pPr>
        <w:r>
          <w:rPr>
            <w:noProof/>
          </w:rPr>
          <w:t>HC 3029/10</w:t>
        </w:r>
      </w:p>
    </w:sdtContent>
  </w:sdt>
  <w:p w:rsidR="000E562E" w:rsidRDefault="000E56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C7314"/>
    <w:multiLevelType w:val="hybridMultilevel"/>
    <w:tmpl w:val="D038B3B0"/>
    <w:lvl w:ilvl="0" w:tplc="D3282ED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58E10392"/>
    <w:multiLevelType w:val="hybridMultilevel"/>
    <w:tmpl w:val="03C871EA"/>
    <w:lvl w:ilvl="0" w:tplc="E06A01F8">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nsid w:val="5F0D4CC4"/>
    <w:multiLevelType w:val="hybridMultilevel"/>
    <w:tmpl w:val="47C25EA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756"/>
    <w:rsid w:val="000E562E"/>
    <w:rsid w:val="0029568E"/>
    <w:rsid w:val="002C6F15"/>
    <w:rsid w:val="002E5981"/>
    <w:rsid w:val="003827B5"/>
    <w:rsid w:val="003C4756"/>
    <w:rsid w:val="00577AF7"/>
    <w:rsid w:val="00615882"/>
    <w:rsid w:val="006B00A3"/>
    <w:rsid w:val="006B1FCD"/>
    <w:rsid w:val="006E34E0"/>
    <w:rsid w:val="007D4CB8"/>
    <w:rsid w:val="00937BAC"/>
    <w:rsid w:val="00945877"/>
    <w:rsid w:val="009727F8"/>
    <w:rsid w:val="009B00F4"/>
    <w:rsid w:val="009E1608"/>
    <w:rsid w:val="009E216A"/>
    <w:rsid w:val="00AE5BE3"/>
    <w:rsid w:val="00B7274A"/>
    <w:rsid w:val="00BB72D0"/>
    <w:rsid w:val="00C17B93"/>
    <w:rsid w:val="00C53DDF"/>
    <w:rsid w:val="00D31483"/>
    <w:rsid w:val="00DF01E1"/>
    <w:rsid w:val="00F20815"/>
    <w:rsid w:val="00F7045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756"/>
    <w:pPr>
      <w:ind w:left="720"/>
      <w:contextualSpacing/>
    </w:pPr>
  </w:style>
  <w:style w:type="paragraph" w:styleId="Header">
    <w:name w:val="header"/>
    <w:basedOn w:val="Normal"/>
    <w:link w:val="HeaderChar"/>
    <w:uiPriority w:val="99"/>
    <w:unhideWhenUsed/>
    <w:rsid w:val="000E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62E"/>
  </w:style>
  <w:style w:type="paragraph" w:styleId="Footer">
    <w:name w:val="footer"/>
    <w:basedOn w:val="Normal"/>
    <w:link w:val="FooterChar"/>
    <w:uiPriority w:val="99"/>
    <w:unhideWhenUsed/>
    <w:rsid w:val="000E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6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4756"/>
    <w:pPr>
      <w:ind w:left="720"/>
      <w:contextualSpacing/>
    </w:pPr>
  </w:style>
  <w:style w:type="paragraph" w:styleId="Header">
    <w:name w:val="header"/>
    <w:basedOn w:val="Normal"/>
    <w:link w:val="HeaderChar"/>
    <w:uiPriority w:val="99"/>
    <w:unhideWhenUsed/>
    <w:rsid w:val="000E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62E"/>
  </w:style>
  <w:style w:type="paragraph" w:styleId="Footer">
    <w:name w:val="footer"/>
    <w:basedOn w:val="Normal"/>
    <w:link w:val="FooterChar"/>
    <w:uiPriority w:val="99"/>
    <w:unhideWhenUsed/>
    <w:rsid w:val="000E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2012-04-04T12:41:00Z</dcterms:created>
  <dcterms:modified xsi:type="dcterms:W3CDTF">2012-04-04T12:41:00Z</dcterms:modified>
</cp:coreProperties>
</file>