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58C" w:rsidRDefault="00E9058C" w:rsidP="00E9058C">
      <w:pPr>
        <w:spacing w:after="0" w:line="240" w:lineRule="auto"/>
        <w:jc w:val="both"/>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4"/>
          <w:szCs w:val="24"/>
        </w:rPr>
        <w:t>ARROLA TENDAI TAKUNDWA IDEHEN</w:t>
      </w:r>
    </w:p>
    <w:p w:rsidR="00E9058C" w:rsidRDefault="00AE2948" w:rsidP="00E905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E9058C">
        <w:rPr>
          <w:rFonts w:ascii="Times New Roman" w:eastAsia="Calibri" w:hAnsi="Times New Roman" w:cs="Times New Roman"/>
          <w:sz w:val="24"/>
          <w:szCs w:val="24"/>
        </w:rPr>
        <w:t>nd</w:t>
      </w:r>
    </w:p>
    <w:p w:rsidR="00E9058C" w:rsidRDefault="00E9058C" w:rsidP="00E905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OMOSOGINE RUDO IDEHEN</w:t>
      </w:r>
    </w:p>
    <w:p w:rsidR="00E9058C" w:rsidRDefault="00AE2948" w:rsidP="00E905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E9058C">
        <w:rPr>
          <w:rFonts w:ascii="Times New Roman" w:eastAsia="Calibri" w:hAnsi="Times New Roman" w:cs="Times New Roman"/>
          <w:sz w:val="24"/>
          <w:szCs w:val="24"/>
        </w:rPr>
        <w:t>nd</w:t>
      </w:r>
    </w:p>
    <w:p w:rsidR="00E9058C" w:rsidRDefault="00E9058C" w:rsidP="00E905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OSARETIN TANAKA FEMI IDEHEN</w:t>
      </w:r>
    </w:p>
    <w:p w:rsidR="00E9058C" w:rsidRDefault="00AE2948" w:rsidP="00E905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E9058C">
        <w:rPr>
          <w:rFonts w:ascii="Times New Roman" w:eastAsia="Calibri" w:hAnsi="Times New Roman" w:cs="Times New Roman"/>
          <w:sz w:val="24"/>
          <w:szCs w:val="24"/>
        </w:rPr>
        <w:t>nd</w:t>
      </w:r>
    </w:p>
    <w:p w:rsidR="00E9058C" w:rsidRDefault="00E9058C" w:rsidP="00E905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MAVIS SHORAI NZARA </w:t>
      </w:r>
    </w:p>
    <w:p w:rsidR="00E9058C" w:rsidRDefault="00AE2948" w:rsidP="00E905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E9058C" w:rsidRPr="00E9058C">
        <w:rPr>
          <w:rFonts w:ascii="Times New Roman" w:eastAsia="Calibri" w:hAnsi="Times New Roman" w:cs="Times New Roman"/>
          <w:sz w:val="24"/>
          <w:szCs w:val="24"/>
        </w:rPr>
        <w:t>ersus</w:t>
      </w:r>
    </w:p>
    <w:p w:rsidR="00E9058C" w:rsidRDefault="00973DAA" w:rsidP="00E905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CEC</w:t>
      </w:r>
      <w:r w:rsidR="00E9058C">
        <w:rPr>
          <w:rFonts w:ascii="Times New Roman" w:eastAsia="Calibri" w:hAnsi="Times New Roman" w:cs="Times New Roman"/>
          <w:sz w:val="24"/>
          <w:szCs w:val="24"/>
        </w:rPr>
        <w:t>ILIA KASHUMBA</w:t>
      </w:r>
    </w:p>
    <w:p w:rsidR="00E9058C" w:rsidRDefault="00AE2948" w:rsidP="00E905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E9058C">
        <w:rPr>
          <w:rFonts w:ascii="Times New Roman" w:eastAsia="Calibri" w:hAnsi="Times New Roman" w:cs="Times New Roman"/>
          <w:sz w:val="24"/>
          <w:szCs w:val="24"/>
        </w:rPr>
        <w:t xml:space="preserve">nd </w:t>
      </w:r>
    </w:p>
    <w:p w:rsidR="00E9058C" w:rsidRDefault="00E9058C" w:rsidP="00E905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TAFIRENYIKA KAMBARAMI</w:t>
      </w:r>
    </w:p>
    <w:p w:rsidR="00E9058C" w:rsidRPr="00E9058C" w:rsidRDefault="00E9058C" w:rsidP="00E9058C">
      <w:pPr>
        <w:spacing w:after="0" w:line="240" w:lineRule="auto"/>
        <w:jc w:val="both"/>
        <w:rPr>
          <w:rFonts w:ascii="Times New Roman" w:eastAsia="Calibri" w:hAnsi="Times New Roman" w:cs="Times New Roman"/>
          <w:sz w:val="24"/>
          <w:szCs w:val="24"/>
        </w:rPr>
      </w:pPr>
    </w:p>
    <w:p w:rsidR="00E9058C" w:rsidRPr="00E9058C" w:rsidRDefault="00E9058C" w:rsidP="00E9058C">
      <w:pPr>
        <w:spacing w:after="0" w:line="240" w:lineRule="auto"/>
        <w:jc w:val="both"/>
        <w:rPr>
          <w:rFonts w:ascii="Times New Roman" w:eastAsia="Calibri" w:hAnsi="Times New Roman" w:cs="Times New Roman"/>
          <w:sz w:val="24"/>
          <w:szCs w:val="24"/>
        </w:rPr>
      </w:pPr>
    </w:p>
    <w:p w:rsidR="00E9058C" w:rsidRPr="00E9058C" w:rsidRDefault="00E9058C" w:rsidP="00E9058C">
      <w:pPr>
        <w:spacing w:after="0" w:line="240" w:lineRule="auto"/>
        <w:jc w:val="both"/>
        <w:rPr>
          <w:rFonts w:ascii="Times New Roman" w:eastAsia="Calibri" w:hAnsi="Times New Roman" w:cs="Times New Roman"/>
          <w:sz w:val="24"/>
          <w:szCs w:val="24"/>
        </w:rPr>
      </w:pPr>
      <w:r w:rsidRPr="00E9058C">
        <w:rPr>
          <w:rFonts w:ascii="Times New Roman" w:eastAsia="Calibri" w:hAnsi="Times New Roman" w:cs="Times New Roman"/>
          <w:sz w:val="24"/>
          <w:szCs w:val="24"/>
        </w:rPr>
        <w:t>HIGH COURT OF ZIMBABWE</w:t>
      </w:r>
    </w:p>
    <w:p w:rsidR="00E9058C" w:rsidRPr="00E9058C" w:rsidRDefault="00E9058C" w:rsidP="00E905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MUZOFA J</w:t>
      </w:r>
    </w:p>
    <w:p w:rsidR="00E9058C" w:rsidRPr="00E9058C" w:rsidRDefault="00E9058C" w:rsidP="00E9058C">
      <w:pPr>
        <w:spacing w:after="0" w:line="240" w:lineRule="auto"/>
        <w:jc w:val="both"/>
        <w:rPr>
          <w:rFonts w:ascii="Times New Roman" w:eastAsia="Calibri" w:hAnsi="Times New Roman" w:cs="Times New Roman"/>
          <w:sz w:val="24"/>
          <w:szCs w:val="24"/>
        </w:rPr>
      </w:pPr>
      <w:r w:rsidRPr="00E9058C">
        <w:rPr>
          <w:rFonts w:ascii="Times New Roman" w:eastAsia="Calibri" w:hAnsi="Times New Roman" w:cs="Times New Roman"/>
          <w:sz w:val="24"/>
          <w:szCs w:val="24"/>
        </w:rPr>
        <w:t xml:space="preserve">HARARE, </w:t>
      </w:r>
      <w:r>
        <w:rPr>
          <w:rFonts w:ascii="Times New Roman" w:eastAsia="Calibri" w:hAnsi="Times New Roman" w:cs="Times New Roman"/>
          <w:sz w:val="24"/>
          <w:szCs w:val="24"/>
        </w:rPr>
        <w:t xml:space="preserve">01 June &amp; </w:t>
      </w:r>
      <w:r w:rsidR="002812C3">
        <w:rPr>
          <w:rFonts w:ascii="Times New Roman" w:eastAsia="Calibri" w:hAnsi="Times New Roman" w:cs="Times New Roman"/>
          <w:sz w:val="24"/>
          <w:szCs w:val="24"/>
        </w:rPr>
        <w:t>22 September</w:t>
      </w:r>
      <w:r>
        <w:rPr>
          <w:rFonts w:ascii="Times New Roman" w:eastAsia="Calibri" w:hAnsi="Times New Roman" w:cs="Times New Roman"/>
          <w:sz w:val="24"/>
          <w:szCs w:val="24"/>
        </w:rPr>
        <w:t xml:space="preserve"> 2021</w:t>
      </w:r>
    </w:p>
    <w:p w:rsidR="00E9058C" w:rsidRPr="00E9058C" w:rsidRDefault="00E9058C" w:rsidP="00E9058C">
      <w:pPr>
        <w:spacing w:after="0" w:line="240" w:lineRule="auto"/>
        <w:jc w:val="both"/>
        <w:rPr>
          <w:rFonts w:ascii="Times New Roman" w:eastAsia="Calibri" w:hAnsi="Times New Roman" w:cs="Times New Roman"/>
          <w:sz w:val="24"/>
          <w:szCs w:val="24"/>
        </w:rPr>
      </w:pPr>
    </w:p>
    <w:p w:rsidR="00E9058C" w:rsidRPr="00E9058C" w:rsidRDefault="00E9058C" w:rsidP="00E9058C">
      <w:pPr>
        <w:spacing w:after="0" w:line="240" w:lineRule="auto"/>
        <w:jc w:val="both"/>
        <w:rPr>
          <w:rFonts w:ascii="Times New Roman" w:eastAsia="Calibri" w:hAnsi="Times New Roman" w:cs="Times New Roman"/>
          <w:sz w:val="24"/>
          <w:szCs w:val="24"/>
        </w:rPr>
      </w:pPr>
    </w:p>
    <w:p w:rsidR="00E9058C" w:rsidRPr="00E9058C" w:rsidRDefault="00E9058C" w:rsidP="00E9058C">
      <w:pPr>
        <w:spacing w:after="0" w:line="240" w:lineRule="auto"/>
        <w:jc w:val="both"/>
        <w:rPr>
          <w:rFonts w:ascii="Times New Roman" w:eastAsia="Calibri" w:hAnsi="Times New Roman" w:cs="Times New Roman"/>
          <w:b/>
          <w:sz w:val="24"/>
          <w:szCs w:val="24"/>
        </w:rPr>
      </w:pPr>
      <w:r w:rsidRPr="00E9058C">
        <w:rPr>
          <w:rFonts w:ascii="Times New Roman" w:eastAsia="Calibri" w:hAnsi="Times New Roman" w:cs="Times New Roman"/>
          <w:b/>
          <w:sz w:val="24"/>
          <w:szCs w:val="24"/>
        </w:rPr>
        <w:t>Opposed Matter</w:t>
      </w:r>
    </w:p>
    <w:p w:rsidR="00E9058C" w:rsidRPr="00E9058C" w:rsidRDefault="00E9058C" w:rsidP="00E9058C">
      <w:pPr>
        <w:spacing w:after="0" w:line="240" w:lineRule="auto"/>
        <w:jc w:val="both"/>
        <w:rPr>
          <w:rFonts w:ascii="Times New Roman" w:eastAsia="Calibri" w:hAnsi="Times New Roman" w:cs="Times New Roman"/>
          <w:b/>
          <w:sz w:val="24"/>
          <w:szCs w:val="24"/>
        </w:rPr>
      </w:pPr>
    </w:p>
    <w:p w:rsidR="00E9058C" w:rsidRPr="00E9058C" w:rsidRDefault="00E9058C" w:rsidP="00E9058C">
      <w:pPr>
        <w:spacing w:after="0" w:line="240" w:lineRule="auto"/>
        <w:jc w:val="both"/>
        <w:rPr>
          <w:rFonts w:ascii="Times New Roman" w:eastAsia="Calibri" w:hAnsi="Times New Roman" w:cs="Times New Roman"/>
          <w:b/>
          <w:sz w:val="24"/>
          <w:szCs w:val="24"/>
        </w:rPr>
      </w:pPr>
    </w:p>
    <w:p w:rsidR="00E9058C" w:rsidRPr="00E9058C" w:rsidRDefault="00E9058C" w:rsidP="00E9058C">
      <w:pPr>
        <w:spacing w:after="0" w:line="240" w:lineRule="auto"/>
        <w:jc w:val="both"/>
        <w:rPr>
          <w:rFonts w:ascii="Times New Roman" w:eastAsia="Calibri" w:hAnsi="Times New Roman" w:cs="Times New Roman"/>
          <w:sz w:val="24"/>
          <w:szCs w:val="24"/>
        </w:rPr>
      </w:pPr>
      <w:r w:rsidRPr="00E9058C">
        <w:rPr>
          <w:rFonts w:ascii="Times New Roman" w:eastAsia="Calibri" w:hAnsi="Times New Roman" w:cs="Times New Roman"/>
          <w:i/>
          <w:sz w:val="24"/>
          <w:szCs w:val="24"/>
        </w:rPr>
        <w:t>T.</w:t>
      </w:r>
      <w:r w:rsidRPr="00E9058C">
        <w:rPr>
          <w:rFonts w:ascii="Times New Roman" w:eastAsia="Calibri" w:hAnsi="Times New Roman" w:cs="Times New Roman"/>
          <w:sz w:val="24"/>
          <w:szCs w:val="24"/>
        </w:rPr>
        <w:t xml:space="preserve"> </w:t>
      </w:r>
      <w:r w:rsidRPr="007901C7">
        <w:rPr>
          <w:rFonts w:ascii="Times New Roman" w:eastAsia="Calibri" w:hAnsi="Times New Roman" w:cs="Times New Roman"/>
          <w:i/>
          <w:sz w:val="24"/>
          <w:szCs w:val="24"/>
        </w:rPr>
        <w:t>Magwaliba</w:t>
      </w:r>
      <w:r w:rsidRPr="00E9058C">
        <w:rPr>
          <w:rFonts w:ascii="Times New Roman" w:eastAsia="Calibri" w:hAnsi="Times New Roman" w:cs="Times New Roman"/>
          <w:sz w:val="24"/>
          <w:szCs w:val="24"/>
        </w:rPr>
        <w:t>,</w:t>
      </w:r>
      <w:r w:rsidRPr="00E9058C">
        <w:rPr>
          <w:rFonts w:ascii="Times New Roman" w:eastAsia="Calibri" w:hAnsi="Times New Roman" w:cs="Times New Roman"/>
          <w:i/>
          <w:sz w:val="24"/>
          <w:szCs w:val="24"/>
        </w:rPr>
        <w:t xml:space="preserve"> </w:t>
      </w:r>
      <w:r w:rsidRPr="00E9058C">
        <w:rPr>
          <w:rFonts w:ascii="Times New Roman" w:eastAsia="Calibri" w:hAnsi="Times New Roman" w:cs="Times New Roman"/>
          <w:sz w:val="24"/>
          <w:szCs w:val="24"/>
        </w:rPr>
        <w:t>for the plaintiff</w:t>
      </w:r>
      <w:r w:rsidR="007901C7">
        <w:rPr>
          <w:rFonts w:ascii="Times New Roman" w:eastAsia="Calibri" w:hAnsi="Times New Roman" w:cs="Times New Roman"/>
          <w:sz w:val="24"/>
          <w:szCs w:val="24"/>
        </w:rPr>
        <w:t>s</w:t>
      </w:r>
    </w:p>
    <w:p w:rsidR="00E9058C" w:rsidRPr="00E9058C" w:rsidRDefault="00E9058C" w:rsidP="00E905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T.L </w:t>
      </w:r>
      <w:r w:rsidR="007901C7">
        <w:rPr>
          <w:rFonts w:ascii="Times New Roman" w:eastAsia="Calibri" w:hAnsi="Times New Roman" w:cs="Times New Roman"/>
          <w:i/>
          <w:sz w:val="24"/>
          <w:szCs w:val="24"/>
        </w:rPr>
        <w:t xml:space="preserve"> Mapuranga with M Mutiro</w:t>
      </w:r>
      <w:r w:rsidRPr="00E9058C">
        <w:rPr>
          <w:rFonts w:ascii="Times New Roman" w:eastAsia="Calibri" w:hAnsi="Times New Roman" w:cs="Times New Roman"/>
          <w:sz w:val="24"/>
          <w:szCs w:val="24"/>
        </w:rPr>
        <w:t>, for the defendant</w:t>
      </w:r>
      <w:r w:rsidR="007901C7">
        <w:rPr>
          <w:rFonts w:ascii="Times New Roman" w:eastAsia="Calibri" w:hAnsi="Times New Roman" w:cs="Times New Roman"/>
          <w:sz w:val="24"/>
          <w:szCs w:val="24"/>
        </w:rPr>
        <w:t>s</w:t>
      </w:r>
    </w:p>
    <w:p w:rsidR="00E9058C" w:rsidRPr="00E9058C" w:rsidRDefault="00E9058C" w:rsidP="00E9058C">
      <w:pPr>
        <w:spacing w:after="0" w:line="240" w:lineRule="auto"/>
        <w:jc w:val="both"/>
        <w:rPr>
          <w:rFonts w:ascii="Times New Roman" w:eastAsia="Calibri" w:hAnsi="Times New Roman" w:cs="Times New Roman"/>
          <w:sz w:val="24"/>
          <w:szCs w:val="24"/>
        </w:rPr>
      </w:pPr>
    </w:p>
    <w:p w:rsidR="00E9058C" w:rsidRPr="00E9058C" w:rsidRDefault="00E9058C" w:rsidP="00E9058C">
      <w:pPr>
        <w:spacing w:after="0" w:line="240" w:lineRule="auto"/>
        <w:jc w:val="both"/>
        <w:rPr>
          <w:rFonts w:ascii="Times New Roman" w:eastAsia="Calibri" w:hAnsi="Times New Roman" w:cs="Times New Roman"/>
          <w:sz w:val="24"/>
          <w:szCs w:val="24"/>
        </w:rPr>
      </w:pPr>
    </w:p>
    <w:p w:rsidR="00E9058C" w:rsidRPr="00E9058C" w:rsidRDefault="00E9058C" w:rsidP="00E9058C">
      <w:pPr>
        <w:spacing w:after="0" w:line="240" w:lineRule="auto"/>
        <w:jc w:val="both"/>
        <w:rPr>
          <w:rFonts w:ascii="Times New Roman" w:eastAsia="Calibri" w:hAnsi="Times New Roman" w:cs="Times New Roman"/>
          <w:sz w:val="24"/>
          <w:szCs w:val="24"/>
        </w:rPr>
      </w:pPr>
    </w:p>
    <w:p w:rsidR="00E9058C" w:rsidRPr="00E9058C" w:rsidRDefault="00E9058C" w:rsidP="00E9058C">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MUZOFA J</w:t>
      </w:r>
      <w:r w:rsidRPr="00E9058C">
        <w:rPr>
          <w:rFonts w:ascii="Times New Roman" w:eastAsia="Calibri" w:hAnsi="Times New Roman" w:cs="Times New Roman"/>
          <w:sz w:val="24"/>
          <w:szCs w:val="24"/>
        </w:rPr>
        <w:t>: The plaintiff</w:t>
      </w:r>
      <w:r>
        <w:rPr>
          <w:rFonts w:ascii="Times New Roman" w:eastAsia="Calibri" w:hAnsi="Times New Roman" w:cs="Times New Roman"/>
          <w:sz w:val="24"/>
          <w:szCs w:val="24"/>
        </w:rPr>
        <w:t>s</w:t>
      </w:r>
      <w:r w:rsidRPr="00E9058C">
        <w:rPr>
          <w:rFonts w:ascii="Times New Roman" w:eastAsia="Calibri" w:hAnsi="Times New Roman" w:cs="Times New Roman"/>
          <w:sz w:val="24"/>
          <w:szCs w:val="24"/>
        </w:rPr>
        <w:t xml:space="preserve"> issued summons against the defendant</w:t>
      </w:r>
      <w:r>
        <w:rPr>
          <w:rFonts w:ascii="Times New Roman" w:eastAsia="Calibri" w:hAnsi="Times New Roman" w:cs="Times New Roman"/>
          <w:sz w:val="24"/>
          <w:szCs w:val="24"/>
        </w:rPr>
        <w:t>s</w:t>
      </w:r>
      <w:r w:rsidRPr="00E9058C">
        <w:rPr>
          <w:rFonts w:ascii="Times New Roman" w:eastAsia="Calibri" w:hAnsi="Times New Roman" w:cs="Times New Roman"/>
          <w:sz w:val="24"/>
          <w:szCs w:val="24"/>
        </w:rPr>
        <w:t xml:space="preserve"> claiming the sum of US$</w:t>
      </w:r>
      <w:r>
        <w:rPr>
          <w:rFonts w:ascii="Times New Roman" w:eastAsia="Calibri" w:hAnsi="Times New Roman" w:cs="Times New Roman"/>
          <w:sz w:val="24"/>
          <w:szCs w:val="24"/>
        </w:rPr>
        <w:t>402 000</w:t>
      </w:r>
      <w:r w:rsidRPr="00E9058C">
        <w:rPr>
          <w:rFonts w:ascii="Times New Roman" w:eastAsia="Calibri" w:hAnsi="Times New Roman" w:cs="Times New Roman"/>
          <w:sz w:val="24"/>
          <w:szCs w:val="24"/>
        </w:rPr>
        <w:t>-</w:t>
      </w:r>
      <w:r w:rsidR="007901C7" w:rsidRPr="00E9058C">
        <w:rPr>
          <w:rFonts w:ascii="Times New Roman" w:eastAsia="Calibri" w:hAnsi="Times New Roman" w:cs="Times New Roman"/>
          <w:sz w:val="24"/>
          <w:szCs w:val="24"/>
        </w:rPr>
        <w:t xml:space="preserve">00 </w:t>
      </w:r>
      <w:r w:rsidR="007901C7">
        <w:rPr>
          <w:rFonts w:ascii="Times New Roman" w:eastAsia="Calibri" w:hAnsi="Times New Roman" w:cs="Times New Roman"/>
          <w:sz w:val="24"/>
          <w:szCs w:val="24"/>
        </w:rPr>
        <w:t xml:space="preserve">being </w:t>
      </w:r>
      <w:r w:rsidR="00D319C7">
        <w:rPr>
          <w:rFonts w:ascii="Times New Roman" w:eastAsia="Calibri" w:hAnsi="Times New Roman" w:cs="Times New Roman"/>
          <w:sz w:val="24"/>
          <w:szCs w:val="24"/>
        </w:rPr>
        <w:t>‘excess of</w:t>
      </w:r>
      <w:r w:rsidR="00CF7B76">
        <w:rPr>
          <w:rFonts w:ascii="Times New Roman" w:eastAsia="Calibri" w:hAnsi="Times New Roman" w:cs="Times New Roman"/>
          <w:sz w:val="24"/>
          <w:szCs w:val="24"/>
        </w:rPr>
        <w:t xml:space="preserve"> costs </w:t>
      </w:r>
      <w:r w:rsidR="00494F0B">
        <w:rPr>
          <w:rFonts w:ascii="Times New Roman" w:eastAsia="Calibri" w:hAnsi="Times New Roman" w:cs="Times New Roman"/>
          <w:sz w:val="24"/>
          <w:szCs w:val="24"/>
        </w:rPr>
        <w:t>that the</w:t>
      </w:r>
      <w:r w:rsidR="007901C7">
        <w:rPr>
          <w:rFonts w:ascii="Times New Roman" w:eastAsia="Calibri" w:hAnsi="Times New Roman" w:cs="Times New Roman"/>
          <w:sz w:val="24"/>
          <w:szCs w:val="24"/>
        </w:rPr>
        <w:t xml:space="preserve"> plaintiffs will pay fo</w:t>
      </w:r>
      <w:r w:rsidR="00494F0B">
        <w:rPr>
          <w:rFonts w:ascii="Times New Roman" w:eastAsia="Calibri" w:hAnsi="Times New Roman" w:cs="Times New Roman"/>
          <w:sz w:val="24"/>
          <w:szCs w:val="24"/>
        </w:rPr>
        <w:t>r the construction of 3 villas o</w:t>
      </w:r>
      <w:r w:rsidR="007901C7">
        <w:rPr>
          <w:rFonts w:ascii="Times New Roman" w:eastAsia="Calibri" w:hAnsi="Times New Roman" w:cs="Times New Roman"/>
          <w:sz w:val="24"/>
          <w:szCs w:val="24"/>
        </w:rPr>
        <w:t xml:space="preserve">n stand number 553 </w:t>
      </w:r>
      <w:r w:rsidR="00F86851">
        <w:rPr>
          <w:rFonts w:ascii="Times New Roman" w:eastAsia="Calibri" w:hAnsi="Times New Roman" w:cs="Times New Roman"/>
          <w:sz w:val="24"/>
          <w:szCs w:val="24"/>
        </w:rPr>
        <w:t>Quinnington</w:t>
      </w:r>
      <w:r w:rsidR="007901C7">
        <w:rPr>
          <w:rFonts w:ascii="Times New Roman" w:eastAsia="Calibri" w:hAnsi="Times New Roman" w:cs="Times New Roman"/>
          <w:sz w:val="24"/>
          <w:szCs w:val="24"/>
        </w:rPr>
        <w:t xml:space="preserve"> Township </w:t>
      </w:r>
      <w:r w:rsidR="00D319C7">
        <w:rPr>
          <w:rFonts w:ascii="Times New Roman" w:eastAsia="Calibri" w:hAnsi="Times New Roman" w:cs="Times New Roman"/>
          <w:sz w:val="24"/>
          <w:szCs w:val="24"/>
        </w:rPr>
        <w:t>Borrowdale’.</w:t>
      </w:r>
      <w:r w:rsidR="00D319C7" w:rsidRPr="00E9058C">
        <w:rPr>
          <w:rFonts w:ascii="Times New Roman" w:eastAsia="Calibri" w:hAnsi="Times New Roman" w:cs="Times New Roman"/>
          <w:sz w:val="24"/>
          <w:szCs w:val="24"/>
        </w:rPr>
        <w:t xml:space="preserve"> The</w:t>
      </w:r>
      <w:r w:rsidRPr="00E9058C">
        <w:rPr>
          <w:rFonts w:ascii="Times New Roman" w:eastAsia="Calibri" w:hAnsi="Times New Roman" w:cs="Times New Roman"/>
          <w:sz w:val="24"/>
          <w:szCs w:val="24"/>
        </w:rPr>
        <w:t xml:space="preserve"> plaintiff further claimed interest on the above sum calculated at the prescribed rate plus costs of suit.</w:t>
      </w:r>
    </w:p>
    <w:p w:rsidR="00CF7B76" w:rsidRDefault="00CF7B76" w:rsidP="00CF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E2948">
        <w:rPr>
          <w:rFonts w:ascii="Times New Roman" w:hAnsi="Times New Roman" w:cs="Times New Roman"/>
          <w:sz w:val="24"/>
          <w:szCs w:val="24"/>
        </w:rPr>
        <w:t>second</w:t>
      </w:r>
      <w:r>
        <w:rPr>
          <w:rFonts w:ascii="Times New Roman" w:hAnsi="Times New Roman" w:cs="Times New Roman"/>
          <w:sz w:val="24"/>
          <w:szCs w:val="24"/>
        </w:rPr>
        <w:t xml:space="preserve"> defendant gave notice</w:t>
      </w:r>
      <w:r w:rsidR="00334A22">
        <w:rPr>
          <w:rFonts w:ascii="Times New Roman" w:hAnsi="Times New Roman" w:cs="Times New Roman"/>
          <w:sz w:val="24"/>
          <w:szCs w:val="24"/>
        </w:rPr>
        <w:t xml:space="preserve"> in terms of the rules</w:t>
      </w:r>
      <w:r>
        <w:rPr>
          <w:rFonts w:ascii="Times New Roman" w:hAnsi="Times New Roman" w:cs="Times New Roman"/>
          <w:sz w:val="24"/>
          <w:szCs w:val="24"/>
        </w:rPr>
        <w:t xml:space="preserve"> that, unless the summons were withdrawn, it would </w:t>
      </w:r>
      <w:r w:rsidR="00334A22">
        <w:rPr>
          <w:rFonts w:ascii="Times New Roman" w:hAnsi="Times New Roman" w:cs="Times New Roman"/>
          <w:sz w:val="24"/>
          <w:szCs w:val="24"/>
        </w:rPr>
        <w:t>except</w:t>
      </w:r>
      <w:r>
        <w:rPr>
          <w:rFonts w:ascii="Times New Roman" w:hAnsi="Times New Roman" w:cs="Times New Roman"/>
          <w:sz w:val="24"/>
          <w:szCs w:val="24"/>
        </w:rPr>
        <w:t xml:space="preserve"> </w:t>
      </w:r>
      <w:r w:rsidR="00D319C7">
        <w:rPr>
          <w:rFonts w:ascii="Times New Roman" w:hAnsi="Times New Roman" w:cs="Times New Roman"/>
          <w:sz w:val="24"/>
          <w:szCs w:val="24"/>
        </w:rPr>
        <w:t>thereto.</w:t>
      </w:r>
      <w:r w:rsidR="00D319C7" w:rsidRPr="00D319C7">
        <w:rPr>
          <w:rFonts w:ascii="Times New Roman" w:hAnsi="Times New Roman" w:cs="Times New Roman"/>
          <w:sz w:val="24"/>
          <w:szCs w:val="24"/>
        </w:rPr>
        <w:t xml:space="preserve"> </w:t>
      </w:r>
      <w:r w:rsidRPr="00D319C7">
        <w:rPr>
          <w:rFonts w:ascii="Times New Roman" w:hAnsi="Times New Roman" w:cs="Times New Roman"/>
          <w:sz w:val="24"/>
          <w:szCs w:val="24"/>
        </w:rPr>
        <w:t>The summons not having been withdrawn, the</w:t>
      </w:r>
      <w:r w:rsidR="00B35EAF">
        <w:rPr>
          <w:rFonts w:ascii="Times New Roman" w:hAnsi="Times New Roman" w:cs="Times New Roman"/>
          <w:sz w:val="24"/>
          <w:szCs w:val="24"/>
        </w:rPr>
        <w:t xml:space="preserve"> </w:t>
      </w:r>
      <w:r w:rsidR="00AE2948">
        <w:rPr>
          <w:rFonts w:ascii="Times New Roman" w:hAnsi="Times New Roman" w:cs="Times New Roman"/>
          <w:sz w:val="24"/>
          <w:szCs w:val="24"/>
        </w:rPr>
        <w:t>second</w:t>
      </w:r>
      <w:r w:rsidR="00B35EAF">
        <w:rPr>
          <w:rFonts w:ascii="Times New Roman" w:hAnsi="Times New Roman" w:cs="Times New Roman"/>
          <w:sz w:val="24"/>
          <w:szCs w:val="24"/>
        </w:rPr>
        <w:t xml:space="preserve"> </w:t>
      </w:r>
      <w:r w:rsidR="00B35EAF" w:rsidRPr="00D319C7">
        <w:rPr>
          <w:rFonts w:ascii="Times New Roman" w:hAnsi="Times New Roman" w:cs="Times New Roman"/>
          <w:sz w:val="24"/>
          <w:szCs w:val="24"/>
        </w:rPr>
        <w:t>defendant</w:t>
      </w:r>
      <w:r w:rsidRPr="00D319C7">
        <w:rPr>
          <w:rFonts w:ascii="Times New Roman" w:hAnsi="Times New Roman" w:cs="Times New Roman"/>
          <w:sz w:val="24"/>
          <w:szCs w:val="24"/>
        </w:rPr>
        <w:t xml:space="preserve"> duly filed </w:t>
      </w:r>
      <w:r w:rsidR="00B35EAF">
        <w:rPr>
          <w:rFonts w:ascii="Times New Roman" w:hAnsi="Times New Roman" w:cs="Times New Roman"/>
          <w:sz w:val="24"/>
          <w:szCs w:val="24"/>
        </w:rPr>
        <w:t>the</w:t>
      </w:r>
      <w:r w:rsidRPr="00D319C7">
        <w:rPr>
          <w:rFonts w:ascii="Times New Roman" w:hAnsi="Times New Roman" w:cs="Times New Roman"/>
          <w:sz w:val="24"/>
          <w:szCs w:val="24"/>
        </w:rPr>
        <w:t xml:space="preserve"> </w:t>
      </w:r>
      <w:r w:rsidR="00B35EAF" w:rsidRPr="00D319C7">
        <w:rPr>
          <w:rFonts w:ascii="Times New Roman" w:hAnsi="Times New Roman" w:cs="Times New Roman"/>
          <w:sz w:val="24"/>
          <w:szCs w:val="24"/>
        </w:rPr>
        <w:t>exception</w:t>
      </w:r>
      <w:r w:rsidR="00B35EAF">
        <w:rPr>
          <w:rFonts w:ascii="Times New Roman" w:hAnsi="Times New Roman" w:cs="Times New Roman"/>
          <w:sz w:val="24"/>
          <w:szCs w:val="24"/>
        </w:rPr>
        <w:t xml:space="preserve"> simultaneously with a special plea. The </w:t>
      </w:r>
      <w:r w:rsidR="00AE2948">
        <w:rPr>
          <w:rFonts w:ascii="Times New Roman" w:hAnsi="Times New Roman" w:cs="Times New Roman"/>
          <w:sz w:val="24"/>
          <w:szCs w:val="24"/>
        </w:rPr>
        <w:t>second</w:t>
      </w:r>
      <w:r w:rsidR="00B35EAF">
        <w:rPr>
          <w:rFonts w:ascii="Times New Roman" w:hAnsi="Times New Roman" w:cs="Times New Roman"/>
          <w:sz w:val="24"/>
          <w:szCs w:val="24"/>
        </w:rPr>
        <w:t xml:space="preserve"> defendant excepted</w:t>
      </w:r>
      <w:r w:rsidR="00B35EAF" w:rsidRPr="00D319C7">
        <w:rPr>
          <w:rFonts w:ascii="Times New Roman" w:hAnsi="Times New Roman" w:cs="Times New Roman"/>
          <w:sz w:val="24"/>
          <w:szCs w:val="24"/>
        </w:rPr>
        <w:t xml:space="preserve"> </w:t>
      </w:r>
      <w:r w:rsidR="00B35EAF">
        <w:rPr>
          <w:rFonts w:ascii="Times New Roman" w:hAnsi="Times New Roman" w:cs="Times New Roman"/>
          <w:sz w:val="24"/>
          <w:szCs w:val="24"/>
        </w:rPr>
        <w:t>on</w:t>
      </w:r>
      <w:r w:rsidRPr="00D319C7">
        <w:rPr>
          <w:rFonts w:ascii="Times New Roman" w:hAnsi="Times New Roman" w:cs="Times New Roman"/>
          <w:sz w:val="24"/>
          <w:szCs w:val="24"/>
        </w:rPr>
        <w:t xml:space="preserve"> the grounds </w:t>
      </w:r>
      <w:r w:rsidR="00B35EAF" w:rsidRPr="00D319C7">
        <w:rPr>
          <w:rFonts w:ascii="Times New Roman" w:hAnsi="Times New Roman" w:cs="Times New Roman"/>
          <w:sz w:val="24"/>
          <w:szCs w:val="24"/>
        </w:rPr>
        <w:t xml:space="preserve">that </w:t>
      </w:r>
      <w:r w:rsidR="00B35EAF">
        <w:rPr>
          <w:rFonts w:ascii="Times New Roman" w:hAnsi="Times New Roman" w:cs="Times New Roman"/>
          <w:sz w:val="24"/>
          <w:szCs w:val="24"/>
        </w:rPr>
        <w:t>the summons disclosed no cause of action</w:t>
      </w:r>
      <w:r w:rsidR="00494F0B">
        <w:rPr>
          <w:rFonts w:ascii="Times New Roman" w:hAnsi="Times New Roman" w:cs="Times New Roman"/>
          <w:sz w:val="24"/>
          <w:szCs w:val="24"/>
        </w:rPr>
        <w:t xml:space="preserve"> and it</w:t>
      </w:r>
      <w:r w:rsidR="00B35EAF">
        <w:rPr>
          <w:rFonts w:ascii="Times New Roman" w:hAnsi="Times New Roman" w:cs="Times New Roman"/>
          <w:sz w:val="24"/>
          <w:szCs w:val="24"/>
        </w:rPr>
        <w:t xml:space="preserve"> did not set out a concise statement of the nature, extent and grounds of the cause of action. The summons </w:t>
      </w:r>
      <w:r w:rsidR="00B35EAF" w:rsidRPr="00D319C7">
        <w:rPr>
          <w:rFonts w:ascii="Times New Roman" w:hAnsi="Times New Roman" w:cs="Times New Roman"/>
          <w:sz w:val="24"/>
          <w:szCs w:val="24"/>
        </w:rPr>
        <w:t xml:space="preserve">and </w:t>
      </w:r>
      <w:r w:rsidR="00B35EAF">
        <w:rPr>
          <w:rFonts w:ascii="Times New Roman" w:hAnsi="Times New Roman" w:cs="Times New Roman"/>
          <w:sz w:val="24"/>
          <w:szCs w:val="24"/>
        </w:rPr>
        <w:t>the</w:t>
      </w:r>
      <w:r w:rsidR="00D319C7">
        <w:rPr>
          <w:rFonts w:ascii="Times New Roman" w:hAnsi="Times New Roman" w:cs="Times New Roman"/>
          <w:sz w:val="24"/>
          <w:szCs w:val="24"/>
        </w:rPr>
        <w:t xml:space="preserve"> declaration disclosed no </w:t>
      </w:r>
      <w:r w:rsidR="00B35EAF">
        <w:rPr>
          <w:rFonts w:ascii="Times New Roman" w:hAnsi="Times New Roman" w:cs="Times New Roman"/>
          <w:sz w:val="24"/>
          <w:szCs w:val="24"/>
        </w:rPr>
        <w:t xml:space="preserve">causal link between any conduct by the </w:t>
      </w:r>
      <w:r w:rsidR="00AE2948">
        <w:rPr>
          <w:rFonts w:ascii="Times New Roman" w:hAnsi="Times New Roman" w:cs="Times New Roman"/>
          <w:sz w:val="24"/>
          <w:szCs w:val="24"/>
        </w:rPr>
        <w:t>second</w:t>
      </w:r>
      <w:r w:rsidR="00B35EAF">
        <w:rPr>
          <w:rFonts w:ascii="Times New Roman" w:hAnsi="Times New Roman" w:cs="Times New Roman"/>
          <w:sz w:val="24"/>
          <w:szCs w:val="24"/>
        </w:rPr>
        <w:t xml:space="preserve"> defendant and the plaintiff’s failure to erect their villas in 2006 and disclosed no recognisable cause of action at law. The special plea taken is that the claim is </w:t>
      </w:r>
      <w:r w:rsidR="00494F0B">
        <w:rPr>
          <w:rFonts w:ascii="Times New Roman" w:hAnsi="Times New Roman" w:cs="Times New Roman"/>
          <w:sz w:val="24"/>
          <w:szCs w:val="24"/>
        </w:rPr>
        <w:t>prescribed</w:t>
      </w:r>
      <w:r w:rsidR="00B35EAF">
        <w:rPr>
          <w:rFonts w:ascii="Times New Roman" w:hAnsi="Times New Roman" w:cs="Times New Roman"/>
          <w:sz w:val="24"/>
          <w:szCs w:val="24"/>
        </w:rPr>
        <w:t>.</w:t>
      </w:r>
    </w:p>
    <w:p w:rsidR="005F4763" w:rsidRDefault="005F4763" w:rsidP="00CF7B76">
      <w:pPr>
        <w:spacing w:after="0" w:line="360" w:lineRule="auto"/>
        <w:ind w:firstLine="720"/>
        <w:jc w:val="both"/>
        <w:rPr>
          <w:rFonts w:ascii="Times New Roman" w:hAnsi="Times New Roman" w:cs="Times New Roman"/>
          <w:sz w:val="24"/>
          <w:szCs w:val="24"/>
        </w:rPr>
      </w:pPr>
    </w:p>
    <w:p w:rsidR="005F4763" w:rsidRDefault="005F4763" w:rsidP="00CF7B76">
      <w:pPr>
        <w:spacing w:after="0" w:line="360" w:lineRule="auto"/>
        <w:ind w:firstLine="720"/>
        <w:jc w:val="both"/>
        <w:rPr>
          <w:rFonts w:ascii="Times New Roman" w:hAnsi="Times New Roman" w:cs="Times New Roman"/>
          <w:sz w:val="24"/>
          <w:szCs w:val="24"/>
        </w:rPr>
      </w:pPr>
    </w:p>
    <w:p w:rsidR="005F4763" w:rsidRDefault="005F4763" w:rsidP="00CF7B76">
      <w:pPr>
        <w:spacing w:after="0" w:line="360" w:lineRule="auto"/>
        <w:ind w:firstLine="720"/>
        <w:jc w:val="both"/>
        <w:rPr>
          <w:rFonts w:ascii="Times New Roman" w:hAnsi="Times New Roman" w:cs="Times New Roman"/>
          <w:b/>
          <w:sz w:val="24"/>
          <w:szCs w:val="24"/>
        </w:rPr>
      </w:pPr>
    </w:p>
    <w:p w:rsidR="00CF7B76" w:rsidRPr="00434177" w:rsidRDefault="00852446" w:rsidP="00CF7B76">
      <w:pPr>
        <w:spacing w:after="0" w:line="360" w:lineRule="auto"/>
        <w:ind w:firstLine="720"/>
        <w:jc w:val="both"/>
        <w:rPr>
          <w:rFonts w:ascii="Times New Roman" w:hAnsi="Times New Roman" w:cs="Times New Roman"/>
          <w:sz w:val="24"/>
          <w:szCs w:val="24"/>
        </w:rPr>
      </w:pPr>
      <w:r w:rsidRPr="00434177">
        <w:rPr>
          <w:rFonts w:ascii="Times New Roman" w:hAnsi="Times New Roman" w:cs="Times New Roman"/>
          <w:sz w:val="24"/>
          <w:szCs w:val="24"/>
        </w:rPr>
        <w:lastRenderedPageBreak/>
        <w:t>Factual background</w:t>
      </w:r>
    </w:p>
    <w:p w:rsidR="00482454" w:rsidRDefault="009D0671" w:rsidP="00CF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966AA">
        <w:rPr>
          <w:rFonts w:ascii="Times New Roman" w:hAnsi="Times New Roman" w:cs="Times New Roman"/>
          <w:sz w:val="24"/>
          <w:szCs w:val="24"/>
        </w:rPr>
        <w:t>fourth</w:t>
      </w:r>
      <w:r>
        <w:rPr>
          <w:rFonts w:ascii="Times New Roman" w:hAnsi="Times New Roman" w:cs="Times New Roman"/>
          <w:sz w:val="24"/>
          <w:szCs w:val="24"/>
        </w:rPr>
        <w:t xml:space="preserve"> plaintiff</w:t>
      </w:r>
      <w:r w:rsidR="00494F0B">
        <w:rPr>
          <w:rFonts w:ascii="Times New Roman" w:hAnsi="Times New Roman" w:cs="Times New Roman"/>
          <w:sz w:val="24"/>
          <w:szCs w:val="24"/>
        </w:rPr>
        <w:t xml:space="preserve"> who is mother to the </w:t>
      </w:r>
      <w:r w:rsidR="00C966AA">
        <w:rPr>
          <w:rFonts w:ascii="Times New Roman" w:hAnsi="Times New Roman" w:cs="Times New Roman"/>
          <w:sz w:val="24"/>
          <w:szCs w:val="24"/>
        </w:rPr>
        <w:t>first, second</w:t>
      </w:r>
      <w:r w:rsidR="00494F0B">
        <w:rPr>
          <w:rFonts w:ascii="Times New Roman" w:hAnsi="Times New Roman" w:cs="Times New Roman"/>
          <w:sz w:val="24"/>
          <w:szCs w:val="24"/>
        </w:rPr>
        <w:t xml:space="preserve"> and </w:t>
      </w:r>
      <w:r w:rsidR="00C966AA">
        <w:rPr>
          <w:rFonts w:ascii="Times New Roman" w:hAnsi="Times New Roman" w:cs="Times New Roman"/>
          <w:sz w:val="24"/>
          <w:szCs w:val="24"/>
        </w:rPr>
        <w:t>third</w:t>
      </w:r>
      <w:r w:rsidR="00494F0B">
        <w:rPr>
          <w:rFonts w:ascii="Times New Roman" w:hAnsi="Times New Roman" w:cs="Times New Roman"/>
          <w:sz w:val="24"/>
          <w:szCs w:val="24"/>
        </w:rPr>
        <w:t xml:space="preserve"> </w:t>
      </w:r>
      <w:r w:rsidR="00C966AA">
        <w:rPr>
          <w:rFonts w:ascii="Times New Roman" w:hAnsi="Times New Roman" w:cs="Times New Roman"/>
          <w:sz w:val="24"/>
          <w:szCs w:val="24"/>
        </w:rPr>
        <w:t>plaintiffs was</w:t>
      </w:r>
      <w:r>
        <w:rPr>
          <w:rFonts w:ascii="Times New Roman" w:hAnsi="Times New Roman" w:cs="Times New Roman"/>
          <w:sz w:val="24"/>
          <w:szCs w:val="24"/>
        </w:rPr>
        <w:t xml:space="preserve"> a holder of title in properties known as stand numbers 552 and 553 Quinningt</w:t>
      </w:r>
      <w:r w:rsidR="00494F0B">
        <w:rPr>
          <w:rFonts w:ascii="Times New Roman" w:hAnsi="Times New Roman" w:cs="Times New Roman"/>
          <w:sz w:val="24"/>
          <w:szCs w:val="24"/>
        </w:rPr>
        <w:t>on Township Borrowdale Estate, ‘</w:t>
      </w:r>
      <w:r>
        <w:rPr>
          <w:rFonts w:ascii="Times New Roman" w:hAnsi="Times New Roman" w:cs="Times New Roman"/>
          <w:sz w:val="24"/>
          <w:szCs w:val="24"/>
        </w:rPr>
        <w:t xml:space="preserve">the property’. In 1999 she sold the property </w:t>
      </w:r>
      <w:r w:rsidR="00F6451D">
        <w:rPr>
          <w:rFonts w:ascii="Times New Roman" w:hAnsi="Times New Roman" w:cs="Times New Roman"/>
          <w:sz w:val="24"/>
          <w:szCs w:val="24"/>
        </w:rPr>
        <w:t>t</w:t>
      </w:r>
      <w:r>
        <w:rPr>
          <w:rFonts w:ascii="Times New Roman" w:hAnsi="Times New Roman" w:cs="Times New Roman"/>
          <w:sz w:val="24"/>
          <w:szCs w:val="24"/>
        </w:rPr>
        <w:t>o one Dzingai Kashumba ‘Dzingai’</w:t>
      </w:r>
      <w:r w:rsidR="00F86851">
        <w:rPr>
          <w:rFonts w:ascii="Times New Roman" w:hAnsi="Times New Roman" w:cs="Times New Roman"/>
          <w:sz w:val="24"/>
          <w:szCs w:val="24"/>
        </w:rPr>
        <w:t xml:space="preserve"> who is now deceased</w:t>
      </w:r>
      <w:r w:rsidR="00334A22">
        <w:rPr>
          <w:rFonts w:ascii="Times New Roman" w:hAnsi="Times New Roman" w:cs="Times New Roman"/>
          <w:sz w:val="24"/>
          <w:szCs w:val="24"/>
        </w:rPr>
        <w:t>.</w:t>
      </w:r>
      <w:r w:rsidR="00F86851">
        <w:rPr>
          <w:rFonts w:ascii="Times New Roman" w:hAnsi="Times New Roman" w:cs="Times New Roman"/>
          <w:sz w:val="24"/>
          <w:szCs w:val="24"/>
        </w:rPr>
        <w:t xml:space="preserve"> </w:t>
      </w:r>
      <w:r w:rsidR="00334A22">
        <w:rPr>
          <w:rFonts w:ascii="Times New Roman" w:hAnsi="Times New Roman" w:cs="Times New Roman"/>
          <w:sz w:val="24"/>
          <w:szCs w:val="24"/>
        </w:rPr>
        <w:t>In terms of the agreement of sale the purchase price was payable over a period of time. Dzingai</w:t>
      </w:r>
      <w:r w:rsidR="00F86851">
        <w:rPr>
          <w:rFonts w:ascii="Times New Roman" w:hAnsi="Times New Roman" w:cs="Times New Roman"/>
          <w:sz w:val="24"/>
          <w:szCs w:val="24"/>
        </w:rPr>
        <w:t xml:space="preserve"> allegedly breached</w:t>
      </w:r>
      <w:r w:rsidR="00334A22">
        <w:rPr>
          <w:rFonts w:ascii="Times New Roman" w:hAnsi="Times New Roman" w:cs="Times New Roman"/>
          <w:sz w:val="24"/>
          <w:szCs w:val="24"/>
        </w:rPr>
        <w:t xml:space="preserve"> the terms of agreement. The </w:t>
      </w:r>
      <w:r w:rsidR="00C966AA">
        <w:rPr>
          <w:rFonts w:ascii="Times New Roman" w:hAnsi="Times New Roman" w:cs="Times New Roman"/>
          <w:sz w:val="24"/>
          <w:szCs w:val="24"/>
        </w:rPr>
        <w:t>fourth</w:t>
      </w:r>
      <w:r w:rsidR="00334A22">
        <w:rPr>
          <w:rFonts w:ascii="Times New Roman" w:hAnsi="Times New Roman" w:cs="Times New Roman"/>
          <w:sz w:val="24"/>
          <w:szCs w:val="24"/>
        </w:rPr>
        <w:t xml:space="preserve"> plaintiff </w:t>
      </w:r>
      <w:r w:rsidR="00F86851">
        <w:rPr>
          <w:rFonts w:ascii="Times New Roman" w:hAnsi="Times New Roman" w:cs="Times New Roman"/>
          <w:sz w:val="24"/>
          <w:szCs w:val="24"/>
        </w:rPr>
        <w:t xml:space="preserve">then cancelled </w:t>
      </w:r>
      <w:r w:rsidR="00334A22">
        <w:rPr>
          <w:rFonts w:ascii="Times New Roman" w:hAnsi="Times New Roman" w:cs="Times New Roman"/>
          <w:sz w:val="24"/>
          <w:szCs w:val="24"/>
        </w:rPr>
        <w:t xml:space="preserve">the </w:t>
      </w:r>
      <w:r w:rsidR="00482454">
        <w:rPr>
          <w:rFonts w:ascii="Times New Roman" w:hAnsi="Times New Roman" w:cs="Times New Roman"/>
          <w:sz w:val="24"/>
          <w:szCs w:val="24"/>
        </w:rPr>
        <w:t xml:space="preserve">agreement. The late Dzingai did not accept the purported cancellation. He sued the </w:t>
      </w:r>
      <w:r w:rsidR="00C966AA">
        <w:rPr>
          <w:rFonts w:ascii="Times New Roman" w:hAnsi="Times New Roman" w:cs="Times New Roman"/>
          <w:sz w:val="24"/>
          <w:szCs w:val="24"/>
        </w:rPr>
        <w:t>fourth</w:t>
      </w:r>
      <w:r w:rsidR="00482454">
        <w:rPr>
          <w:rFonts w:ascii="Times New Roman" w:hAnsi="Times New Roman" w:cs="Times New Roman"/>
          <w:sz w:val="24"/>
          <w:szCs w:val="24"/>
        </w:rPr>
        <w:t xml:space="preserve"> plaintiff.</w:t>
      </w:r>
      <w:r w:rsidR="003E0AE6">
        <w:rPr>
          <w:rFonts w:ascii="Times New Roman" w:hAnsi="Times New Roman" w:cs="Times New Roman"/>
          <w:sz w:val="24"/>
          <w:szCs w:val="24"/>
        </w:rPr>
        <w:t xml:space="preserve"> Thereafter</w:t>
      </w:r>
      <w:r>
        <w:rPr>
          <w:rFonts w:ascii="Times New Roman" w:hAnsi="Times New Roman" w:cs="Times New Roman"/>
          <w:sz w:val="24"/>
          <w:szCs w:val="24"/>
        </w:rPr>
        <w:t xml:space="preserve"> protracted litigation </w:t>
      </w:r>
      <w:r w:rsidR="00F6451D">
        <w:rPr>
          <w:rFonts w:ascii="Times New Roman" w:hAnsi="Times New Roman" w:cs="Times New Roman"/>
          <w:sz w:val="24"/>
          <w:szCs w:val="24"/>
        </w:rPr>
        <w:t xml:space="preserve">ensued. </w:t>
      </w:r>
    </w:p>
    <w:p w:rsidR="00F86851" w:rsidRDefault="00482454" w:rsidP="00CF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HC 10065/00 the late Dzingai was granted leave to remedy the breach and thereafter title to</w:t>
      </w:r>
      <w:r w:rsidR="00434177">
        <w:rPr>
          <w:rFonts w:ascii="Times New Roman" w:hAnsi="Times New Roman" w:cs="Times New Roman"/>
          <w:sz w:val="24"/>
          <w:szCs w:val="24"/>
        </w:rPr>
        <w:t xml:space="preserve"> pass to him.</w:t>
      </w:r>
      <w:r>
        <w:rPr>
          <w:rFonts w:ascii="Times New Roman" w:hAnsi="Times New Roman" w:cs="Times New Roman"/>
          <w:sz w:val="24"/>
          <w:szCs w:val="24"/>
        </w:rPr>
        <w:t xml:space="preserve"> True to the court order, transfer of title was effected from the </w:t>
      </w:r>
      <w:r w:rsidR="00C966AA">
        <w:rPr>
          <w:rFonts w:ascii="Times New Roman" w:hAnsi="Times New Roman" w:cs="Times New Roman"/>
          <w:sz w:val="24"/>
          <w:szCs w:val="24"/>
        </w:rPr>
        <w:t>fourth</w:t>
      </w:r>
      <w:r>
        <w:rPr>
          <w:rFonts w:ascii="Times New Roman" w:hAnsi="Times New Roman" w:cs="Times New Roman"/>
          <w:sz w:val="24"/>
          <w:szCs w:val="24"/>
        </w:rPr>
        <w:t xml:space="preserve"> plaintiff to the late Dzingai.</w:t>
      </w:r>
      <w:r w:rsidR="009D0671">
        <w:rPr>
          <w:rFonts w:ascii="Times New Roman" w:hAnsi="Times New Roman" w:cs="Times New Roman"/>
          <w:sz w:val="24"/>
          <w:szCs w:val="24"/>
        </w:rPr>
        <w:t xml:space="preserve"> The plaintiffs allege this was fraudulently </w:t>
      </w:r>
      <w:r w:rsidR="00F86851">
        <w:rPr>
          <w:rFonts w:ascii="Times New Roman" w:hAnsi="Times New Roman" w:cs="Times New Roman"/>
          <w:sz w:val="24"/>
          <w:szCs w:val="24"/>
        </w:rPr>
        <w:t>done. When Dzingai died the</w:t>
      </w:r>
      <w:r w:rsidR="00F6451D">
        <w:rPr>
          <w:rFonts w:ascii="Times New Roman" w:hAnsi="Times New Roman" w:cs="Times New Roman"/>
          <w:sz w:val="24"/>
          <w:szCs w:val="24"/>
        </w:rPr>
        <w:t xml:space="preserve"> </w:t>
      </w:r>
      <w:r w:rsidR="00C966AA">
        <w:rPr>
          <w:rFonts w:ascii="Times New Roman" w:hAnsi="Times New Roman" w:cs="Times New Roman"/>
          <w:sz w:val="24"/>
          <w:szCs w:val="24"/>
        </w:rPr>
        <w:t>first</w:t>
      </w:r>
      <w:r w:rsidR="00F6451D">
        <w:rPr>
          <w:rFonts w:ascii="Times New Roman" w:hAnsi="Times New Roman" w:cs="Times New Roman"/>
          <w:sz w:val="24"/>
          <w:szCs w:val="24"/>
        </w:rPr>
        <w:t xml:space="preserve"> defendant wa</w:t>
      </w:r>
      <w:r w:rsidR="00F86851">
        <w:rPr>
          <w:rFonts w:ascii="Times New Roman" w:hAnsi="Times New Roman" w:cs="Times New Roman"/>
          <w:sz w:val="24"/>
          <w:szCs w:val="24"/>
        </w:rPr>
        <w:t>s appointed the execut</w:t>
      </w:r>
      <w:r w:rsidR="00434177">
        <w:rPr>
          <w:rFonts w:ascii="Times New Roman" w:hAnsi="Times New Roman" w:cs="Times New Roman"/>
          <w:sz w:val="24"/>
          <w:szCs w:val="24"/>
        </w:rPr>
        <w:t xml:space="preserve">rix dative </w:t>
      </w:r>
      <w:r w:rsidR="00EB1240">
        <w:rPr>
          <w:rFonts w:ascii="Times New Roman" w:hAnsi="Times New Roman" w:cs="Times New Roman"/>
          <w:sz w:val="24"/>
          <w:szCs w:val="24"/>
        </w:rPr>
        <w:t>the his</w:t>
      </w:r>
      <w:r w:rsidR="00F86851">
        <w:rPr>
          <w:rFonts w:ascii="Times New Roman" w:hAnsi="Times New Roman" w:cs="Times New Roman"/>
          <w:sz w:val="24"/>
          <w:szCs w:val="24"/>
        </w:rPr>
        <w:t xml:space="preserve"> estate</w:t>
      </w:r>
      <w:r w:rsidR="00F6451D">
        <w:rPr>
          <w:rFonts w:ascii="Times New Roman" w:hAnsi="Times New Roman" w:cs="Times New Roman"/>
          <w:sz w:val="24"/>
          <w:szCs w:val="24"/>
        </w:rPr>
        <w:t xml:space="preserve">. The </w:t>
      </w:r>
      <w:r w:rsidR="00F86851">
        <w:rPr>
          <w:rFonts w:ascii="Times New Roman" w:hAnsi="Times New Roman" w:cs="Times New Roman"/>
          <w:sz w:val="24"/>
          <w:szCs w:val="24"/>
        </w:rPr>
        <w:t xml:space="preserve"> </w:t>
      </w:r>
      <w:r w:rsidR="00C966AA">
        <w:rPr>
          <w:rFonts w:ascii="Times New Roman" w:hAnsi="Times New Roman" w:cs="Times New Roman"/>
          <w:sz w:val="24"/>
          <w:szCs w:val="24"/>
        </w:rPr>
        <w:t>first</w:t>
      </w:r>
      <w:r w:rsidR="00F6451D">
        <w:rPr>
          <w:rFonts w:ascii="Times New Roman" w:hAnsi="Times New Roman" w:cs="Times New Roman"/>
          <w:sz w:val="24"/>
          <w:szCs w:val="24"/>
        </w:rPr>
        <w:t xml:space="preserve"> defendant   who was  well aware that the property was subject to litigation  sold stand 552 Quinnington to the </w:t>
      </w:r>
      <w:r w:rsidR="00AE2948">
        <w:rPr>
          <w:rFonts w:ascii="Times New Roman" w:hAnsi="Times New Roman" w:cs="Times New Roman"/>
          <w:sz w:val="24"/>
          <w:szCs w:val="24"/>
        </w:rPr>
        <w:t>second</w:t>
      </w:r>
      <w:r w:rsidR="00F6451D">
        <w:rPr>
          <w:rFonts w:ascii="Times New Roman" w:hAnsi="Times New Roman" w:cs="Times New Roman"/>
          <w:sz w:val="24"/>
          <w:szCs w:val="24"/>
        </w:rPr>
        <w:t xml:space="preserve"> defendant and transferred title to </w:t>
      </w:r>
      <w:r w:rsidR="000C5F90">
        <w:rPr>
          <w:rFonts w:ascii="Times New Roman" w:hAnsi="Times New Roman" w:cs="Times New Roman"/>
          <w:sz w:val="24"/>
          <w:szCs w:val="24"/>
        </w:rPr>
        <w:t xml:space="preserve">him. </w:t>
      </w:r>
      <w:r>
        <w:rPr>
          <w:rFonts w:ascii="Times New Roman" w:hAnsi="Times New Roman" w:cs="Times New Roman"/>
          <w:sz w:val="24"/>
          <w:szCs w:val="24"/>
        </w:rPr>
        <w:t xml:space="preserve">The </w:t>
      </w:r>
      <w:r w:rsidR="00AE2948">
        <w:rPr>
          <w:rFonts w:ascii="Times New Roman" w:hAnsi="Times New Roman" w:cs="Times New Roman"/>
          <w:sz w:val="24"/>
          <w:szCs w:val="24"/>
        </w:rPr>
        <w:t>second</w:t>
      </w:r>
      <w:r>
        <w:rPr>
          <w:rFonts w:ascii="Times New Roman" w:hAnsi="Times New Roman" w:cs="Times New Roman"/>
          <w:sz w:val="24"/>
          <w:szCs w:val="24"/>
        </w:rPr>
        <w:t xml:space="preserve"> defendant made some improvements on the property by building </w:t>
      </w:r>
      <w:r w:rsidR="00434177">
        <w:rPr>
          <w:rFonts w:ascii="Times New Roman" w:hAnsi="Times New Roman" w:cs="Times New Roman"/>
          <w:sz w:val="24"/>
          <w:szCs w:val="24"/>
        </w:rPr>
        <w:t xml:space="preserve">three double storey houses. The </w:t>
      </w:r>
      <w:r w:rsidR="00C966AA">
        <w:rPr>
          <w:rFonts w:ascii="Times New Roman" w:hAnsi="Times New Roman" w:cs="Times New Roman"/>
          <w:sz w:val="24"/>
          <w:szCs w:val="24"/>
        </w:rPr>
        <w:t>first</w:t>
      </w:r>
      <w:r w:rsidR="00AF4152">
        <w:rPr>
          <w:rFonts w:ascii="Times New Roman" w:hAnsi="Times New Roman" w:cs="Times New Roman"/>
          <w:sz w:val="24"/>
          <w:szCs w:val="24"/>
        </w:rPr>
        <w:t xml:space="preserve"> defendant also built</w:t>
      </w:r>
      <w:r w:rsidR="00434177">
        <w:rPr>
          <w:rFonts w:ascii="Times New Roman" w:hAnsi="Times New Roman" w:cs="Times New Roman"/>
          <w:sz w:val="24"/>
          <w:szCs w:val="24"/>
        </w:rPr>
        <w:t xml:space="preserve"> some house</w:t>
      </w:r>
      <w:r w:rsidR="00AF4152">
        <w:rPr>
          <w:rFonts w:ascii="Times New Roman" w:hAnsi="Times New Roman" w:cs="Times New Roman"/>
          <w:sz w:val="24"/>
          <w:szCs w:val="24"/>
        </w:rPr>
        <w:t>s</w:t>
      </w:r>
      <w:r w:rsidR="00434177">
        <w:rPr>
          <w:rFonts w:ascii="Times New Roman" w:hAnsi="Times New Roman" w:cs="Times New Roman"/>
          <w:sz w:val="24"/>
          <w:szCs w:val="24"/>
        </w:rPr>
        <w:t xml:space="preserve"> on stand 553.</w:t>
      </w:r>
    </w:p>
    <w:p w:rsidR="00B62F04" w:rsidRDefault="00434177" w:rsidP="00CF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966AA">
        <w:rPr>
          <w:rFonts w:ascii="Times New Roman" w:hAnsi="Times New Roman" w:cs="Times New Roman"/>
          <w:sz w:val="24"/>
          <w:szCs w:val="24"/>
        </w:rPr>
        <w:t>fourth</w:t>
      </w:r>
      <w:r>
        <w:rPr>
          <w:rFonts w:ascii="Times New Roman" w:hAnsi="Times New Roman" w:cs="Times New Roman"/>
          <w:sz w:val="24"/>
          <w:szCs w:val="24"/>
        </w:rPr>
        <w:t xml:space="preserve"> defendant </w:t>
      </w:r>
      <w:r w:rsidR="00482454">
        <w:rPr>
          <w:rFonts w:ascii="Times New Roman" w:hAnsi="Times New Roman" w:cs="Times New Roman"/>
          <w:sz w:val="24"/>
          <w:szCs w:val="24"/>
        </w:rPr>
        <w:t>file</w:t>
      </w:r>
      <w:r>
        <w:rPr>
          <w:rFonts w:ascii="Times New Roman" w:hAnsi="Times New Roman" w:cs="Times New Roman"/>
          <w:sz w:val="24"/>
          <w:szCs w:val="24"/>
        </w:rPr>
        <w:t>d</w:t>
      </w:r>
      <w:r w:rsidR="00482454">
        <w:rPr>
          <w:rFonts w:ascii="Times New Roman" w:hAnsi="Times New Roman" w:cs="Times New Roman"/>
          <w:sz w:val="24"/>
          <w:szCs w:val="24"/>
        </w:rPr>
        <w:t xml:space="preserve"> an appeal against the judgment of this court granting the late Dzingai leave to remedy the breach. </w:t>
      </w:r>
      <w:r w:rsidR="000C5F90">
        <w:rPr>
          <w:rFonts w:ascii="Times New Roman" w:hAnsi="Times New Roman" w:cs="Times New Roman"/>
          <w:sz w:val="24"/>
          <w:szCs w:val="24"/>
        </w:rPr>
        <w:t xml:space="preserve">The </w:t>
      </w:r>
      <w:r w:rsidR="00482454">
        <w:rPr>
          <w:rFonts w:ascii="Times New Roman" w:hAnsi="Times New Roman" w:cs="Times New Roman"/>
          <w:sz w:val="24"/>
          <w:szCs w:val="24"/>
        </w:rPr>
        <w:t>protracted ownership dispute between the parties was finally settled</w:t>
      </w:r>
      <w:r w:rsidR="000C5F90">
        <w:rPr>
          <w:rFonts w:ascii="Times New Roman" w:hAnsi="Times New Roman" w:cs="Times New Roman"/>
          <w:sz w:val="24"/>
          <w:szCs w:val="24"/>
        </w:rPr>
        <w:t xml:space="preserve"> under SC18/18. The </w:t>
      </w:r>
      <w:r w:rsidR="00F86851">
        <w:rPr>
          <w:rFonts w:ascii="Times New Roman" w:hAnsi="Times New Roman" w:cs="Times New Roman"/>
          <w:sz w:val="24"/>
          <w:szCs w:val="24"/>
        </w:rPr>
        <w:t>Supreme Court confirmed</w:t>
      </w:r>
      <w:r w:rsidR="000C5F90">
        <w:rPr>
          <w:rFonts w:ascii="Times New Roman" w:hAnsi="Times New Roman" w:cs="Times New Roman"/>
          <w:sz w:val="24"/>
          <w:szCs w:val="24"/>
        </w:rPr>
        <w:t xml:space="preserve"> the cancellation of the agreement of sale between the </w:t>
      </w:r>
      <w:r w:rsidR="00C966AA">
        <w:rPr>
          <w:rFonts w:ascii="Times New Roman" w:hAnsi="Times New Roman" w:cs="Times New Roman"/>
          <w:sz w:val="24"/>
          <w:szCs w:val="24"/>
        </w:rPr>
        <w:t>fourth</w:t>
      </w:r>
      <w:r w:rsidR="000C5F90">
        <w:rPr>
          <w:rFonts w:ascii="Times New Roman" w:hAnsi="Times New Roman" w:cs="Times New Roman"/>
          <w:sz w:val="24"/>
          <w:szCs w:val="24"/>
        </w:rPr>
        <w:t xml:space="preserve"> plaintiff and</w:t>
      </w:r>
      <w:r w:rsidR="00F86851">
        <w:rPr>
          <w:rFonts w:ascii="Times New Roman" w:hAnsi="Times New Roman" w:cs="Times New Roman"/>
          <w:sz w:val="24"/>
          <w:szCs w:val="24"/>
        </w:rPr>
        <w:t xml:space="preserve"> the</w:t>
      </w:r>
      <w:r>
        <w:rPr>
          <w:rFonts w:ascii="Times New Roman" w:hAnsi="Times New Roman" w:cs="Times New Roman"/>
          <w:sz w:val="24"/>
          <w:szCs w:val="24"/>
        </w:rPr>
        <w:t xml:space="preserve"> late Dzingai</w:t>
      </w:r>
      <w:r w:rsidR="00494F0B">
        <w:rPr>
          <w:rFonts w:ascii="Times New Roman" w:hAnsi="Times New Roman" w:cs="Times New Roman"/>
          <w:sz w:val="24"/>
          <w:szCs w:val="24"/>
        </w:rPr>
        <w:t>.</w:t>
      </w:r>
      <w:r w:rsidR="00F86851">
        <w:rPr>
          <w:rFonts w:ascii="Times New Roman" w:hAnsi="Times New Roman" w:cs="Times New Roman"/>
          <w:sz w:val="24"/>
          <w:szCs w:val="24"/>
        </w:rPr>
        <w:t xml:space="preserve"> The judgment reversed all the transfers </w:t>
      </w:r>
      <w:r>
        <w:rPr>
          <w:rFonts w:ascii="Times New Roman" w:hAnsi="Times New Roman" w:cs="Times New Roman"/>
          <w:sz w:val="24"/>
          <w:szCs w:val="24"/>
        </w:rPr>
        <w:t>in</w:t>
      </w:r>
      <w:r w:rsidR="00F86851">
        <w:rPr>
          <w:rFonts w:ascii="Times New Roman" w:hAnsi="Times New Roman" w:cs="Times New Roman"/>
          <w:sz w:val="24"/>
          <w:szCs w:val="24"/>
        </w:rPr>
        <w:t xml:space="preserve"> title.</w:t>
      </w:r>
      <w:r w:rsidR="00494F0B">
        <w:rPr>
          <w:rFonts w:ascii="Times New Roman" w:hAnsi="Times New Roman" w:cs="Times New Roman"/>
          <w:sz w:val="24"/>
          <w:szCs w:val="24"/>
        </w:rPr>
        <w:t xml:space="preserve"> Title</w:t>
      </w:r>
      <w:r w:rsidR="000C5F90">
        <w:rPr>
          <w:rFonts w:ascii="Times New Roman" w:hAnsi="Times New Roman" w:cs="Times New Roman"/>
          <w:sz w:val="24"/>
          <w:szCs w:val="24"/>
        </w:rPr>
        <w:t xml:space="preserve"> in the property was restored to the </w:t>
      </w:r>
      <w:r w:rsidR="00C966AA">
        <w:rPr>
          <w:rFonts w:ascii="Times New Roman" w:hAnsi="Times New Roman" w:cs="Times New Roman"/>
          <w:sz w:val="24"/>
          <w:szCs w:val="24"/>
        </w:rPr>
        <w:t>fourth</w:t>
      </w:r>
      <w:r w:rsidR="000C5F90">
        <w:rPr>
          <w:rFonts w:ascii="Times New Roman" w:hAnsi="Times New Roman" w:cs="Times New Roman"/>
          <w:sz w:val="24"/>
          <w:szCs w:val="24"/>
        </w:rPr>
        <w:t xml:space="preserve"> </w:t>
      </w:r>
      <w:r w:rsidR="00B62F04">
        <w:rPr>
          <w:rFonts w:ascii="Times New Roman" w:hAnsi="Times New Roman" w:cs="Times New Roman"/>
          <w:sz w:val="24"/>
          <w:szCs w:val="24"/>
        </w:rPr>
        <w:t xml:space="preserve">plaintiff. As the dispute took its twists and turns, the </w:t>
      </w:r>
      <w:r w:rsidR="002D3945">
        <w:rPr>
          <w:rFonts w:ascii="Times New Roman" w:hAnsi="Times New Roman" w:cs="Times New Roman"/>
          <w:sz w:val="24"/>
          <w:szCs w:val="24"/>
        </w:rPr>
        <w:t>plaintiff donated</w:t>
      </w:r>
      <w:r w:rsidR="00B62F04">
        <w:rPr>
          <w:rFonts w:ascii="Times New Roman" w:hAnsi="Times New Roman" w:cs="Times New Roman"/>
          <w:sz w:val="24"/>
          <w:szCs w:val="24"/>
        </w:rPr>
        <w:t xml:space="preserve"> the property to the </w:t>
      </w:r>
      <w:r w:rsidR="00C966AA">
        <w:rPr>
          <w:rFonts w:ascii="Times New Roman" w:hAnsi="Times New Roman" w:cs="Times New Roman"/>
          <w:sz w:val="24"/>
          <w:szCs w:val="24"/>
        </w:rPr>
        <w:t>first</w:t>
      </w:r>
      <w:r w:rsidR="00B62F04">
        <w:rPr>
          <w:rFonts w:ascii="Times New Roman" w:hAnsi="Times New Roman" w:cs="Times New Roman"/>
          <w:sz w:val="24"/>
          <w:szCs w:val="24"/>
        </w:rPr>
        <w:t xml:space="preserve">, </w:t>
      </w:r>
      <w:r w:rsidR="00AE2948">
        <w:rPr>
          <w:rFonts w:ascii="Times New Roman" w:hAnsi="Times New Roman" w:cs="Times New Roman"/>
          <w:sz w:val="24"/>
          <w:szCs w:val="24"/>
        </w:rPr>
        <w:t>second</w:t>
      </w:r>
      <w:r w:rsidR="00B62F04">
        <w:rPr>
          <w:rFonts w:ascii="Times New Roman" w:hAnsi="Times New Roman" w:cs="Times New Roman"/>
          <w:sz w:val="24"/>
          <w:szCs w:val="24"/>
        </w:rPr>
        <w:t xml:space="preserve"> and </w:t>
      </w:r>
      <w:r w:rsidR="00C966AA">
        <w:rPr>
          <w:rFonts w:ascii="Times New Roman" w:hAnsi="Times New Roman" w:cs="Times New Roman"/>
          <w:sz w:val="24"/>
          <w:szCs w:val="24"/>
        </w:rPr>
        <w:t>third</w:t>
      </w:r>
      <w:r w:rsidR="00B62F04">
        <w:rPr>
          <w:rFonts w:ascii="Times New Roman" w:hAnsi="Times New Roman" w:cs="Times New Roman"/>
          <w:sz w:val="24"/>
          <w:szCs w:val="24"/>
        </w:rPr>
        <w:t xml:space="preserve"> </w:t>
      </w:r>
      <w:r w:rsidR="00087EBE">
        <w:rPr>
          <w:rFonts w:ascii="Times New Roman" w:hAnsi="Times New Roman" w:cs="Times New Roman"/>
          <w:sz w:val="24"/>
          <w:szCs w:val="24"/>
        </w:rPr>
        <w:t xml:space="preserve">plaintiffs. This is how </w:t>
      </w:r>
      <w:r w:rsidR="00C966AA">
        <w:rPr>
          <w:rFonts w:ascii="Times New Roman" w:hAnsi="Times New Roman" w:cs="Times New Roman"/>
          <w:sz w:val="24"/>
          <w:szCs w:val="24"/>
        </w:rPr>
        <w:t>first</w:t>
      </w:r>
      <w:r w:rsidR="002D3945">
        <w:rPr>
          <w:rFonts w:ascii="Times New Roman" w:hAnsi="Times New Roman" w:cs="Times New Roman"/>
          <w:sz w:val="24"/>
          <w:szCs w:val="24"/>
        </w:rPr>
        <w:t xml:space="preserve">, </w:t>
      </w:r>
      <w:r w:rsidR="00AE2948">
        <w:rPr>
          <w:rFonts w:ascii="Times New Roman" w:hAnsi="Times New Roman" w:cs="Times New Roman"/>
          <w:sz w:val="24"/>
          <w:szCs w:val="24"/>
        </w:rPr>
        <w:t>second</w:t>
      </w:r>
      <w:r w:rsidR="002D3945">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C966AA">
        <w:rPr>
          <w:rFonts w:ascii="Times New Roman" w:hAnsi="Times New Roman" w:cs="Times New Roman"/>
          <w:sz w:val="24"/>
          <w:szCs w:val="24"/>
        </w:rPr>
        <w:t>third</w:t>
      </w:r>
      <w:r>
        <w:rPr>
          <w:rFonts w:ascii="Times New Roman" w:hAnsi="Times New Roman" w:cs="Times New Roman"/>
          <w:sz w:val="24"/>
          <w:szCs w:val="24"/>
        </w:rPr>
        <w:t xml:space="preserve"> </w:t>
      </w:r>
      <w:r w:rsidR="002D3945">
        <w:rPr>
          <w:rFonts w:ascii="Times New Roman" w:hAnsi="Times New Roman" w:cs="Times New Roman"/>
          <w:sz w:val="24"/>
          <w:szCs w:val="24"/>
        </w:rPr>
        <w:t>plaintiffs became</w:t>
      </w:r>
      <w:r w:rsidR="00087EBE">
        <w:rPr>
          <w:rFonts w:ascii="Times New Roman" w:hAnsi="Times New Roman" w:cs="Times New Roman"/>
          <w:sz w:val="24"/>
          <w:szCs w:val="24"/>
        </w:rPr>
        <w:t xml:space="preserve"> owners of the property.</w:t>
      </w:r>
    </w:p>
    <w:p w:rsidR="00B11572" w:rsidRDefault="00B62F04" w:rsidP="00CF7B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shall address the exception</w:t>
      </w:r>
      <w:r w:rsidR="003E0AE6">
        <w:rPr>
          <w:rFonts w:ascii="Times New Roman" w:hAnsi="Times New Roman" w:cs="Times New Roman"/>
          <w:sz w:val="24"/>
          <w:szCs w:val="24"/>
        </w:rPr>
        <w:t xml:space="preserve"> first as it relates to the cause of </w:t>
      </w:r>
      <w:r>
        <w:rPr>
          <w:rFonts w:ascii="Times New Roman" w:hAnsi="Times New Roman" w:cs="Times New Roman"/>
          <w:sz w:val="24"/>
          <w:szCs w:val="24"/>
        </w:rPr>
        <w:t>action. This is because, if there is no cause of action the court cannot even consider the special plea on prescription. So the determination on the exception will guide the course of the judgment.</w:t>
      </w:r>
    </w:p>
    <w:p w:rsidR="002D3945" w:rsidRDefault="00087EBE" w:rsidP="00113E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this stage</w:t>
      </w:r>
      <w:r w:rsidR="00AF4152">
        <w:rPr>
          <w:rFonts w:ascii="Times New Roman" w:hAnsi="Times New Roman" w:cs="Times New Roman"/>
          <w:sz w:val="24"/>
          <w:szCs w:val="24"/>
        </w:rPr>
        <w:t xml:space="preserve"> l may explain the delay in writing </w:t>
      </w:r>
      <w:r>
        <w:rPr>
          <w:rFonts w:ascii="Times New Roman" w:hAnsi="Times New Roman" w:cs="Times New Roman"/>
          <w:sz w:val="24"/>
          <w:szCs w:val="24"/>
        </w:rPr>
        <w:t>the judgment. The court was of th</w:t>
      </w:r>
      <w:r w:rsidR="00B11572">
        <w:rPr>
          <w:rFonts w:ascii="Times New Roman" w:hAnsi="Times New Roman" w:cs="Times New Roman"/>
          <w:sz w:val="24"/>
          <w:szCs w:val="24"/>
        </w:rPr>
        <w:t>e view that the parties must</w:t>
      </w:r>
      <w:r>
        <w:rPr>
          <w:rFonts w:ascii="Times New Roman" w:hAnsi="Times New Roman" w:cs="Times New Roman"/>
          <w:sz w:val="24"/>
          <w:szCs w:val="24"/>
        </w:rPr>
        <w:t xml:space="preserve"> led evidence in respect of the special plea on prescription. During the proceedings I drew the attention of the legal practitioners to this point and they insisted that it was unnecessary to lead evidence. When I was preparing the judgment I was convinced that it was necessary to </w:t>
      </w:r>
      <w:r w:rsidR="00B11572">
        <w:rPr>
          <w:rFonts w:ascii="Times New Roman" w:hAnsi="Times New Roman" w:cs="Times New Roman"/>
          <w:sz w:val="24"/>
          <w:szCs w:val="24"/>
        </w:rPr>
        <w:t xml:space="preserve">hear </w:t>
      </w:r>
      <w:r w:rsidR="00B47301">
        <w:rPr>
          <w:rFonts w:ascii="Times New Roman" w:hAnsi="Times New Roman" w:cs="Times New Roman"/>
          <w:sz w:val="24"/>
          <w:szCs w:val="24"/>
        </w:rPr>
        <w:t>evidence. I</w:t>
      </w:r>
      <w:r>
        <w:rPr>
          <w:rFonts w:ascii="Times New Roman" w:hAnsi="Times New Roman" w:cs="Times New Roman"/>
          <w:sz w:val="24"/>
          <w:szCs w:val="24"/>
        </w:rPr>
        <w:t xml:space="preserve"> held the case in abeyance until the lockdown was eased and I </w:t>
      </w:r>
      <w:r w:rsidR="00B11572">
        <w:rPr>
          <w:rFonts w:ascii="Times New Roman" w:hAnsi="Times New Roman" w:cs="Times New Roman"/>
          <w:sz w:val="24"/>
          <w:szCs w:val="24"/>
        </w:rPr>
        <w:t xml:space="preserve">invited the legal practitioners. I drew their attention to the need for evidence without necessarily alluding to the required evidence .I even directed the legal practitioners to the </w:t>
      </w:r>
      <w:r w:rsidR="002D3945" w:rsidRPr="00C966AA">
        <w:rPr>
          <w:rFonts w:ascii="Times New Roman" w:hAnsi="Times New Roman" w:cs="Times New Roman"/>
          <w:i/>
          <w:sz w:val="24"/>
          <w:szCs w:val="24"/>
        </w:rPr>
        <w:lastRenderedPageBreak/>
        <w:t>Brooker</w:t>
      </w:r>
      <w:r w:rsidR="002D3945">
        <w:rPr>
          <w:rFonts w:ascii="Times New Roman" w:hAnsi="Times New Roman" w:cs="Times New Roman"/>
          <w:sz w:val="24"/>
          <w:szCs w:val="24"/>
        </w:rPr>
        <w:t xml:space="preserve"> v </w:t>
      </w:r>
      <w:r w:rsidR="002D3945" w:rsidRPr="00C966AA">
        <w:rPr>
          <w:rFonts w:ascii="Times New Roman" w:hAnsi="Times New Roman" w:cs="Times New Roman"/>
          <w:i/>
          <w:sz w:val="24"/>
          <w:szCs w:val="24"/>
        </w:rPr>
        <w:t>M</w:t>
      </w:r>
      <w:r w:rsidR="00B11572" w:rsidRPr="00C966AA">
        <w:rPr>
          <w:rFonts w:ascii="Times New Roman" w:hAnsi="Times New Roman" w:cs="Times New Roman"/>
          <w:i/>
          <w:sz w:val="24"/>
          <w:szCs w:val="24"/>
        </w:rPr>
        <w:t>udha</w:t>
      </w:r>
      <w:r w:rsidR="002D3945" w:rsidRPr="00C966AA">
        <w:rPr>
          <w:rFonts w:ascii="Times New Roman" w:hAnsi="Times New Roman" w:cs="Times New Roman"/>
          <w:i/>
          <w:sz w:val="24"/>
          <w:szCs w:val="24"/>
        </w:rPr>
        <w:t>nd</w:t>
      </w:r>
      <w:r w:rsidR="00B11572" w:rsidRPr="00C966AA">
        <w:rPr>
          <w:rFonts w:ascii="Times New Roman" w:hAnsi="Times New Roman" w:cs="Times New Roman"/>
          <w:i/>
          <w:sz w:val="24"/>
          <w:szCs w:val="24"/>
        </w:rPr>
        <w:t>a</w:t>
      </w:r>
      <w:r w:rsidR="002D3945" w:rsidRPr="00C966AA">
        <w:rPr>
          <w:rFonts w:ascii="Times New Roman" w:hAnsi="Times New Roman" w:cs="Times New Roman"/>
          <w:i/>
          <w:sz w:val="24"/>
          <w:szCs w:val="24"/>
        </w:rPr>
        <w:t xml:space="preserve"> &amp; Anor</w:t>
      </w:r>
      <w:r w:rsidR="002D3945">
        <w:rPr>
          <w:rStyle w:val="FootnoteReference"/>
          <w:rFonts w:ascii="Times New Roman" w:hAnsi="Times New Roman"/>
          <w:sz w:val="24"/>
          <w:szCs w:val="24"/>
        </w:rPr>
        <w:footnoteReference w:id="1"/>
      </w:r>
      <w:r w:rsidR="002D3945">
        <w:rPr>
          <w:rFonts w:ascii="Times New Roman" w:hAnsi="Times New Roman" w:cs="Times New Roman"/>
          <w:sz w:val="24"/>
          <w:szCs w:val="24"/>
        </w:rPr>
        <w:t xml:space="preserve">  case where </w:t>
      </w:r>
      <w:r w:rsidR="002D3945" w:rsidRPr="00C966AA">
        <w:rPr>
          <w:rFonts w:ascii="Times New Roman" w:hAnsi="Times New Roman" w:cs="Times New Roman"/>
          <w:smallCaps/>
          <w:sz w:val="24"/>
          <w:szCs w:val="24"/>
        </w:rPr>
        <w:t>Gowora</w:t>
      </w:r>
      <w:r w:rsidR="00B11572" w:rsidRPr="00C966AA">
        <w:rPr>
          <w:rFonts w:ascii="Times New Roman" w:hAnsi="Times New Roman" w:cs="Times New Roman"/>
          <w:smallCaps/>
          <w:sz w:val="24"/>
          <w:szCs w:val="24"/>
        </w:rPr>
        <w:t xml:space="preserve"> JA</w:t>
      </w:r>
      <w:r w:rsidR="00B11572">
        <w:rPr>
          <w:rFonts w:ascii="Times New Roman" w:hAnsi="Times New Roman" w:cs="Times New Roman"/>
          <w:sz w:val="24"/>
          <w:szCs w:val="24"/>
        </w:rPr>
        <w:t xml:space="preserve"> </w:t>
      </w:r>
      <w:r w:rsidR="002D3945">
        <w:rPr>
          <w:rFonts w:ascii="Times New Roman" w:hAnsi="Times New Roman" w:cs="Times New Roman"/>
          <w:sz w:val="24"/>
          <w:szCs w:val="24"/>
        </w:rPr>
        <w:t xml:space="preserve"> (as she </w:t>
      </w:r>
      <w:r w:rsidR="00895EDC">
        <w:rPr>
          <w:rFonts w:ascii="Times New Roman" w:hAnsi="Times New Roman" w:cs="Times New Roman"/>
          <w:sz w:val="24"/>
          <w:szCs w:val="24"/>
        </w:rPr>
        <w:t xml:space="preserve">then </w:t>
      </w:r>
      <w:r w:rsidR="002D3945">
        <w:rPr>
          <w:rFonts w:ascii="Times New Roman" w:hAnsi="Times New Roman" w:cs="Times New Roman"/>
          <w:sz w:val="24"/>
          <w:szCs w:val="24"/>
        </w:rPr>
        <w:t xml:space="preserve">was ) </w:t>
      </w:r>
      <w:r w:rsidR="00AF4152">
        <w:rPr>
          <w:rFonts w:ascii="Times New Roman" w:hAnsi="Times New Roman" w:cs="Times New Roman"/>
          <w:sz w:val="24"/>
          <w:szCs w:val="24"/>
        </w:rPr>
        <w:t>clearly set the approach to be taken in such cases. On the authority of that case where prescription is disputed the court must hear evidence in order to properly determine on the issue.</w:t>
      </w:r>
      <w:r>
        <w:rPr>
          <w:rFonts w:ascii="Times New Roman" w:hAnsi="Times New Roman" w:cs="Times New Roman"/>
          <w:sz w:val="24"/>
          <w:szCs w:val="24"/>
        </w:rPr>
        <w:t xml:space="preserve"> The legal practitioners were adamant that there was no need for evidence since the </w:t>
      </w:r>
      <w:r w:rsidR="00AE2948">
        <w:rPr>
          <w:rFonts w:ascii="Times New Roman" w:hAnsi="Times New Roman" w:cs="Times New Roman"/>
          <w:sz w:val="24"/>
          <w:szCs w:val="24"/>
        </w:rPr>
        <w:t>second</w:t>
      </w:r>
      <w:r w:rsidR="00B11572">
        <w:rPr>
          <w:rFonts w:ascii="Times New Roman" w:hAnsi="Times New Roman" w:cs="Times New Roman"/>
          <w:sz w:val="24"/>
          <w:szCs w:val="24"/>
        </w:rPr>
        <w:t xml:space="preserve"> defendant’s</w:t>
      </w:r>
      <w:r>
        <w:rPr>
          <w:rFonts w:ascii="Times New Roman" w:hAnsi="Times New Roman" w:cs="Times New Roman"/>
          <w:sz w:val="24"/>
          <w:szCs w:val="24"/>
        </w:rPr>
        <w:t xml:space="preserve"> plea is premised on the dates as alleged by the </w:t>
      </w:r>
      <w:r w:rsidR="00B11572">
        <w:rPr>
          <w:rFonts w:ascii="Times New Roman" w:hAnsi="Times New Roman" w:cs="Times New Roman"/>
          <w:sz w:val="24"/>
          <w:szCs w:val="24"/>
        </w:rPr>
        <w:t xml:space="preserve">plaintiffs. </w:t>
      </w:r>
    </w:p>
    <w:p w:rsidR="005F4763" w:rsidRDefault="002D3945" w:rsidP="00852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in this case evidence is necessary as parties are not agreed on when the cause of action arose. The dec</w:t>
      </w:r>
      <w:r w:rsidR="00AF4152">
        <w:rPr>
          <w:rFonts w:ascii="Times New Roman" w:hAnsi="Times New Roman" w:cs="Times New Roman"/>
          <w:sz w:val="24"/>
          <w:szCs w:val="24"/>
        </w:rPr>
        <w:t>laration sets out various dates when the cause of action possibly arose.</w:t>
      </w:r>
      <w:r>
        <w:rPr>
          <w:rFonts w:ascii="Times New Roman" w:hAnsi="Times New Roman" w:cs="Times New Roman"/>
          <w:sz w:val="24"/>
          <w:szCs w:val="24"/>
        </w:rPr>
        <w:t xml:space="preserve"> In their replication the plaintiffs deny that the claim has </w:t>
      </w:r>
      <w:r w:rsidR="00C06518">
        <w:rPr>
          <w:rFonts w:ascii="Times New Roman" w:hAnsi="Times New Roman" w:cs="Times New Roman"/>
          <w:sz w:val="24"/>
          <w:szCs w:val="24"/>
        </w:rPr>
        <w:t>prescribed. They aver that during the Covid 19 induced lockdown, Practice Directions were issued curtailing the business of the court effectively extending the period of prescription. In view of this assertion evidence would be necessary from the plaintiffs as to the relevant Practice Direction. The</w:t>
      </w:r>
      <w:r w:rsidR="00B11572">
        <w:rPr>
          <w:rFonts w:ascii="Times New Roman" w:hAnsi="Times New Roman" w:cs="Times New Roman"/>
          <w:sz w:val="24"/>
          <w:szCs w:val="24"/>
        </w:rPr>
        <w:t xml:space="preserve"> need for evidence </w:t>
      </w:r>
      <w:r w:rsidR="00C06518">
        <w:rPr>
          <w:rFonts w:ascii="Times New Roman" w:hAnsi="Times New Roman" w:cs="Times New Roman"/>
          <w:sz w:val="24"/>
          <w:szCs w:val="24"/>
        </w:rPr>
        <w:t>is</w:t>
      </w:r>
      <w:r w:rsidR="00B11572">
        <w:rPr>
          <w:rFonts w:ascii="Times New Roman" w:hAnsi="Times New Roman" w:cs="Times New Roman"/>
          <w:sz w:val="24"/>
          <w:szCs w:val="24"/>
        </w:rPr>
        <w:t xml:space="preserve"> inescapable.</w:t>
      </w:r>
      <w:r w:rsidR="00087EBE">
        <w:rPr>
          <w:rFonts w:ascii="Times New Roman" w:hAnsi="Times New Roman" w:cs="Times New Roman"/>
          <w:sz w:val="24"/>
          <w:szCs w:val="24"/>
        </w:rPr>
        <w:t xml:space="preserve">  I could have simply</w:t>
      </w:r>
      <w:r w:rsidR="00B11572">
        <w:rPr>
          <w:rFonts w:ascii="Times New Roman" w:hAnsi="Times New Roman" w:cs="Times New Roman"/>
          <w:sz w:val="24"/>
          <w:szCs w:val="24"/>
        </w:rPr>
        <w:t xml:space="preserve"> issued an order for evidence to be led. However I decided not to issue the order in view of my findings that make the evidence unnecessary.</w:t>
      </w:r>
    </w:p>
    <w:p w:rsidR="00113EE1" w:rsidRDefault="00852446" w:rsidP="00113E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exception</w:t>
      </w:r>
    </w:p>
    <w:p w:rsidR="000B7976" w:rsidRDefault="00113EE1" w:rsidP="00163A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w:t>
      </w:r>
      <w:r w:rsidR="00B62F04">
        <w:rPr>
          <w:rFonts w:ascii="Times New Roman" w:hAnsi="Times New Roman" w:cs="Times New Roman"/>
          <w:sz w:val="24"/>
          <w:szCs w:val="24"/>
        </w:rPr>
        <w:t>ir</w:t>
      </w:r>
      <w:r>
        <w:rPr>
          <w:rFonts w:ascii="Times New Roman" w:hAnsi="Times New Roman" w:cs="Times New Roman"/>
          <w:sz w:val="24"/>
          <w:szCs w:val="24"/>
        </w:rPr>
        <w:t xml:space="preserve"> heads of argument </w:t>
      </w:r>
      <w:r w:rsidR="00DA27A6">
        <w:rPr>
          <w:rFonts w:ascii="Times New Roman" w:hAnsi="Times New Roman" w:cs="Times New Roman"/>
          <w:sz w:val="24"/>
          <w:szCs w:val="24"/>
        </w:rPr>
        <w:t>the plaintiff raised issue on the</w:t>
      </w:r>
      <w:r w:rsidR="00191BCF">
        <w:rPr>
          <w:rFonts w:ascii="Times New Roman" w:hAnsi="Times New Roman" w:cs="Times New Roman"/>
          <w:sz w:val="24"/>
          <w:szCs w:val="24"/>
        </w:rPr>
        <w:t xml:space="preserve"> filing of the defendant’s heads of argument and </w:t>
      </w:r>
      <w:r w:rsidR="004148A6">
        <w:rPr>
          <w:rFonts w:ascii="Times New Roman" w:hAnsi="Times New Roman" w:cs="Times New Roman"/>
          <w:sz w:val="24"/>
          <w:szCs w:val="24"/>
        </w:rPr>
        <w:t>the setting</w:t>
      </w:r>
      <w:r w:rsidR="00DA27A6">
        <w:rPr>
          <w:rFonts w:ascii="Times New Roman" w:hAnsi="Times New Roman" w:cs="Times New Roman"/>
          <w:sz w:val="24"/>
          <w:szCs w:val="24"/>
        </w:rPr>
        <w:t xml:space="preserve"> down of the special plea and the </w:t>
      </w:r>
      <w:r w:rsidR="00FC7C11">
        <w:rPr>
          <w:rFonts w:ascii="Times New Roman" w:hAnsi="Times New Roman" w:cs="Times New Roman"/>
          <w:sz w:val="24"/>
          <w:szCs w:val="24"/>
        </w:rPr>
        <w:t>exception. The</w:t>
      </w:r>
      <w:r w:rsidR="004148A6">
        <w:rPr>
          <w:rFonts w:ascii="Times New Roman" w:hAnsi="Times New Roman" w:cs="Times New Roman"/>
          <w:sz w:val="24"/>
          <w:szCs w:val="24"/>
        </w:rPr>
        <w:t xml:space="preserve"> point made is that the </w:t>
      </w:r>
      <w:r w:rsidR="00AE2948">
        <w:rPr>
          <w:rFonts w:ascii="Times New Roman" w:hAnsi="Times New Roman" w:cs="Times New Roman"/>
          <w:sz w:val="24"/>
          <w:szCs w:val="24"/>
        </w:rPr>
        <w:t>second</w:t>
      </w:r>
      <w:r w:rsidR="004148A6">
        <w:rPr>
          <w:rFonts w:ascii="Times New Roman" w:hAnsi="Times New Roman" w:cs="Times New Roman"/>
          <w:sz w:val="24"/>
          <w:szCs w:val="24"/>
        </w:rPr>
        <w:t xml:space="preserve"> defendant’s heads of argument were filed before the plai</w:t>
      </w:r>
      <w:r w:rsidR="00FC7C11">
        <w:rPr>
          <w:rFonts w:ascii="Times New Roman" w:hAnsi="Times New Roman" w:cs="Times New Roman"/>
          <w:sz w:val="24"/>
          <w:szCs w:val="24"/>
        </w:rPr>
        <w:t xml:space="preserve">ntiff’s </w:t>
      </w:r>
      <w:r w:rsidR="00FC7C11" w:rsidRPr="00FC7C11">
        <w:rPr>
          <w:rFonts w:ascii="Times New Roman" w:hAnsi="Times New Roman" w:cs="Times New Roman"/>
          <w:i/>
          <w:sz w:val="24"/>
          <w:szCs w:val="24"/>
        </w:rPr>
        <w:t>dies indiciae</w:t>
      </w:r>
      <w:r w:rsidR="00FC7C11">
        <w:rPr>
          <w:rFonts w:ascii="Times New Roman" w:hAnsi="Times New Roman" w:cs="Times New Roman"/>
          <w:sz w:val="24"/>
          <w:szCs w:val="24"/>
        </w:rPr>
        <w:t xml:space="preserve"> to file the replication had not expired. The point taken is correct. In respect of the set </w:t>
      </w:r>
      <w:r w:rsidR="00E8477E">
        <w:rPr>
          <w:rFonts w:ascii="Times New Roman" w:hAnsi="Times New Roman" w:cs="Times New Roman"/>
          <w:sz w:val="24"/>
          <w:szCs w:val="24"/>
        </w:rPr>
        <w:t>down,</w:t>
      </w:r>
      <w:r w:rsidR="00FC7C11">
        <w:rPr>
          <w:rFonts w:ascii="Times New Roman" w:hAnsi="Times New Roman" w:cs="Times New Roman"/>
          <w:sz w:val="24"/>
          <w:szCs w:val="24"/>
        </w:rPr>
        <w:t xml:space="preserve"> the plaintiff </w:t>
      </w:r>
      <w:r w:rsidR="00E8477E">
        <w:rPr>
          <w:rFonts w:ascii="Times New Roman" w:hAnsi="Times New Roman" w:cs="Times New Roman"/>
          <w:sz w:val="24"/>
          <w:szCs w:val="24"/>
        </w:rPr>
        <w:t>allege that</w:t>
      </w:r>
      <w:r w:rsidR="00FC7C11">
        <w:rPr>
          <w:rFonts w:ascii="Times New Roman" w:hAnsi="Times New Roman" w:cs="Times New Roman"/>
          <w:sz w:val="24"/>
          <w:szCs w:val="24"/>
        </w:rPr>
        <w:t xml:space="preserve"> </w:t>
      </w:r>
      <w:r w:rsidR="00E8477E">
        <w:rPr>
          <w:rFonts w:ascii="Times New Roman" w:hAnsi="Times New Roman" w:cs="Times New Roman"/>
          <w:sz w:val="24"/>
          <w:szCs w:val="24"/>
        </w:rPr>
        <w:t xml:space="preserve">the </w:t>
      </w:r>
      <w:r w:rsidR="00AE2948">
        <w:rPr>
          <w:rFonts w:ascii="Times New Roman" w:hAnsi="Times New Roman" w:cs="Times New Roman"/>
          <w:sz w:val="24"/>
          <w:szCs w:val="24"/>
        </w:rPr>
        <w:t>second</w:t>
      </w:r>
      <w:r w:rsidR="00FC7C11">
        <w:rPr>
          <w:rFonts w:ascii="Times New Roman" w:hAnsi="Times New Roman" w:cs="Times New Roman"/>
          <w:sz w:val="24"/>
          <w:szCs w:val="24"/>
        </w:rPr>
        <w:t xml:space="preserve"> defendant prematurely </w:t>
      </w:r>
      <w:r w:rsidR="00E8477E">
        <w:rPr>
          <w:rFonts w:ascii="Times New Roman" w:hAnsi="Times New Roman" w:cs="Times New Roman"/>
          <w:sz w:val="24"/>
          <w:szCs w:val="24"/>
        </w:rPr>
        <w:t>set the</w:t>
      </w:r>
      <w:r w:rsidR="00FC7C11">
        <w:rPr>
          <w:rFonts w:ascii="Times New Roman" w:hAnsi="Times New Roman" w:cs="Times New Roman"/>
          <w:sz w:val="24"/>
          <w:szCs w:val="24"/>
        </w:rPr>
        <w:t xml:space="preserve"> </w:t>
      </w:r>
      <w:r w:rsidR="00E8477E">
        <w:rPr>
          <w:rFonts w:ascii="Times New Roman" w:hAnsi="Times New Roman" w:cs="Times New Roman"/>
          <w:sz w:val="24"/>
          <w:szCs w:val="24"/>
        </w:rPr>
        <w:t>matter for</w:t>
      </w:r>
      <w:r w:rsidR="00C966AA">
        <w:rPr>
          <w:rFonts w:ascii="Times New Roman" w:hAnsi="Times New Roman" w:cs="Times New Roman"/>
          <w:sz w:val="24"/>
          <w:szCs w:val="24"/>
        </w:rPr>
        <w:t xml:space="preserve"> hearing. </w:t>
      </w:r>
      <w:r w:rsidR="00DF0326">
        <w:rPr>
          <w:rFonts w:ascii="Times New Roman" w:hAnsi="Times New Roman" w:cs="Times New Roman"/>
          <w:sz w:val="24"/>
          <w:szCs w:val="24"/>
        </w:rPr>
        <w:t xml:space="preserve">The plaintiff relied on the case of </w:t>
      </w:r>
      <w:r w:rsidR="00DF0326" w:rsidRPr="00DF0326">
        <w:rPr>
          <w:rFonts w:ascii="Times New Roman" w:hAnsi="Times New Roman" w:cs="Times New Roman"/>
          <w:i/>
          <w:sz w:val="24"/>
          <w:szCs w:val="24"/>
        </w:rPr>
        <w:t xml:space="preserve">Ngani </w:t>
      </w:r>
      <w:r w:rsidR="00DF0326" w:rsidRPr="00787FCC">
        <w:rPr>
          <w:rFonts w:ascii="Times New Roman" w:hAnsi="Times New Roman" w:cs="Times New Roman"/>
          <w:sz w:val="24"/>
          <w:szCs w:val="24"/>
        </w:rPr>
        <w:t>v</w:t>
      </w:r>
      <w:r w:rsidR="00DF0326" w:rsidRPr="00DF0326">
        <w:rPr>
          <w:rFonts w:ascii="Times New Roman" w:hAnsi="Times New Roman" w:cs="Times New Roman"/>
          <w:i/>
          <w:sz w:val="24"/>
          <w:szCs w:val="24"/>
        </w:rPr>
        <w:t xml:space="preserve"> Mbanje &amp; Another</w:t>
      </w:r>
      <w:r w:rsidR="00DF0326">
        <w:rPr>
          <w:rStyle w:val="FootnoteReference"/>
          <w:rFonts w:ascii="Times New Roman" w:hAnsi="Times New Roman"/>
          <w:sz w:val="24"/>
          <w:szCs w:val="24"/>
        </w:rPr>
        <w:footnoteReference w:id="2"/>
      </w:r>
      <w:r w:rsidR="00DF0326">
        <w:rPr>
          <w:rFonts w:ascii="Times New Roman" w:hAnsi="Times New Roman" w:cs="Times New Roman"/>
          <w:sz w:val="24"/>
          <w:szCs w:val="24"/>
        </w:rPr>
        <w:t xml:space="preserve"> for the point </w:t>
      </w:r>
      <w:r w:rsidR="00E8477E">
        <w:rPr>
          <w:rFonts w:ascii="Times New Roman" w:hAnsi="Times New Roman" w:cs="Times New Roman"/>
          <w:sz w:val="24"/>
          <w:szCs w:val="24"/>
        </w:rPr>
        <w:t>made. The</w:t>
      </w:r>
      <w:r w:rsidR="00DF0326">
        <w:rPr>
          <w:rFonts w:ascii="Times New Roman" w:hAnsi="Times New Roman" w:cs="Times New Roman"/>
          <w:sz w:val="24"/>
          <w:szCs w:val="24"/>
        </w:rPr>
        <w:t xml:space="preserve"> case referred to does not deal with the ru</w:t>
      </w:r>
      <w:r w:rsidR="00E8477E">
        <w:rPr>
          <w:rFonts w:ascii="Times New Roman" w:hAnsi="Times New Roman" w:cs="Times New Roman"/>
          <w:sz w:val="24"/>
          <w:szCs w:val="24"/>
        </w:rPr>
        <w:t>le in question, the</w:t>
      </w:r>
      <w:r w:rsidR="00DF0326">
        <w:rPr>
          <w:rFonts w:ascii="Times New Roman" w:hAnsi="Times New Roman" w:cs="Times New Roman"/>
          <w:sz w:val="24"/>
          <w:szCs w:val="24"/>
        </w:rPr>
        <w:t xml:space="preserve"> court dealt with a situation where summons were issued when the cause of action had not risen. In my view the procedural irregularities raised</w:t>
      </w:r>
      <w:r w:rsidR="00895EDC">
        <w:rPr>
          <w:rFonts w:ascii="Times New Roman" w:hAnsi="Times New Roman" w:cs="Times New Roman"/>
          <w:sz w:val="24"/>
          <w:szCs w:val="24"/>
        </w:rPr>
        <w:t xml:space="preserve"> were not prejudicial to the plaintiff’s case</w:t>
      </w:r>
      <w:r w:rsidR="00DF0326">
        <w:rPr>
          <w:rFonts w:ascii="Times New Roman" w:hAnsi="Times New Roman" w:cs="Times New Roman"/>
          <w:sz w:val="24"/>
          <w:szCs w:val="24"/>
        </w:rPr>
        <w:t xml:space="preserve"> and none was alleged .</w:t>
      </w:r>
      <w:r w:rsidR="00E8477E">
        <w:rPr>
          <w:rFonts w:ascii="Times New Roman" w:hAnsi="Times New Roman" w:cs="Times New Roman"/>
          <w:sz w:val="24"/>
          <w:szCs w:val="24"/>
        </w:rPr>
        <w:t>I am prepared to condone the non-compliance in the interest of justice in terms of r7 (a) of the Rules, 2021.</w:t>
      </w:r>
      <w:r w:rsidR="00FD5529">
        <w:rPr>
          <w:rFonts w:ascii="Times New Roman" w:hAnsi="Times New Roman" w:cs="Times New Roman"/>
          <w:sz w:val="24"/>
          <w:szCs w:val="24"/>
        </w:rPr>
        <w:t xml:space="preserve"> </w:t>
      </w:r>
      <w:r w:rsidR="009A4619">
        <w:rPr>
          <w:rFonts w:ascii="Times New Roman" w:hAnsi="Times New Roman" w:cs="Times New Roman"/>
          <w:sz w:val="24"/>
          <w:szCs w:val="24"/>
        </w:rPr>
        <w:t xml:space="preserve"> </w:t>
      </w:r>
    </w:p>
    <w:p w:rsidR="005D070A" w:rsidRDefault="00D838A2" w:rsidP="00B904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Two issues arise for determination firstly whether the summons disclose a cause of action. Secondly whether the summons a</w:t>
      </w:r>
      <w:r w:rsidR="00B9048A">
        <w:rPr>
          <w:rFonts w:ascii="Times New Roman" w:hAnsi="Times New Roman" w:cs="Times New Roman"/>
          <w:sz w:val="24"/>
          <w:szCs w:val="24"/>
        </w:rPr>
        <w:t xml:space="preserve">s read together with the declaration disclose a cause of action. </w:t>
      </w:r>
      <w:r w:rsidR="005D070A">
        <w:rPr>
          <w:rFonts w:ascii="Times New Roman" w:hAnsi="Times New Roman" w:cs="Times New Roman"/>
          <w:sz w:val="24"/>
          <w:szCs w:val="24"/>
        </w:rPr>
        <w:t>In respect of the summons the point taken is that the summons does not set out the cause of action .It simply states the relief sought.</w:t>
      </w:r>
    </w:p>
    <w:p w:rsidR="00EA145C" w:rsidRDefault="00B9048A" w:rsidP="00B904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issues </w:t>
      </w:r>
      <w:r w:rsidR="005D070A">
        <w:rPr>
          <w:rFonts w:ascii="Times New Roman" w:hAnsi="Times New Roman" w:cs="Times New Roman"/>
          <w:sz w:val="24"/>
          <w:szCs w:val="24"/>
        </w:rPr>
        <w:t xml:space="preserve">taken in respect of the declaration </w:t>
      </w:r>
      <w:r>
        <w:rPr>
          <w:rFonts w:ascii="Times New Roman" w:hAnsi="Times New Roman" w:cs="Times New Roman"/>
          <w:sz w:val="24"/>
          <w:szCs w:val="24"/>
        </w:rPr>
        <w:t>are inelegantly set out, they are inundated with repeti</w:t>
      </w:r>
      <w:r w:rsidR="00B95203">
        <w:rPr>
          <w:rFonts w:ascii="Times New Roman" w:hAnsi="Times New Roman" w:cs="Times New Roman"/>
          <w:sz w:val="24"/>
          <w:szCs w:val="24"/>
        </w:rPr>
        <w:t>ti</w:t>
      </w:r>
      <w:r>
        <w:rPr>
          <w:rFonts w:ascii="Times New Roman" w:hAnsi="Times New Roman" w:cs="Times New Roman"/>
          <w:sz w:val="24"/>
          <w:szCs w:val="24"/>
        </w:rPr>
        <w:t xml:space="preserve">ons and at times lacking in clarity. I summarise what l could make of the </w:t>
      </w:r>
      <w:r w:rsidR="00B95203">
        <w:rPr>
          <w:rFonts w:ascii="Times New Roman" w:hAnsi="Times New Roman" w:cs="Times New Roman"/>
          <w:sz w:val="24"/>
          <w:szCs w:val="24"/>
        </w:rPr>
        <w:t>objections</w:t>
      </w:r>
      <w:r w:rsidR="005D070A">
        <w:rPr>
          <w:rFonts w:ascii="Times New Roman" w:hAnsi="Times New Roman" w:cs="Times New Roman"/>
          <w:sz w:val="24"/>
          <w:szCs w:val="24"/>
        </w:rPr>
        <w:t xml:space="preserve"> </w:t>
      </w:r>
      <w:r>
        <w:rPr>
          <w:rFonts w:ascii="Times New Roman" w:hAnsi="Times New Roman" w:cs="Times New Roman"/>
          <w:sz w:val="24"/>
          <w:szCs w:val="24"/>
        </w:rPr>
        <w:t>as follows,</w:t>
      </w:r>
      <w:r w:rsidR="00EA145C">
        <w:rPr>
          <w:rFonts w:ascii="Times New Roman" w:hAnsi="Times New Roman" w:cs="Times New Roman"/>
          <w:sz w:val="24"/>
          <w:szCs w:val="24"/>
        </w:rPr>
        <w:t xml:space="preserve"> </w:t>
      </w:r>
    </w:p>
    <w:p w:rsidR="00EA145C" w:rsidRDefault="00EA145C" w:rsidP="00EA145C">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does not disclose a recognisable cause of action against the </w:t>
      </w:r>
      <w:r w:rsidR="00AE2948">
        <w:rPr>
          <w:rFonts w:ascii="Times New Roman" w:hAnsi="Times New Roman" w:cs="Times New Roman"/>
          <w:sz w:val="24"/>
          <w:szCs w:val="24"/>
        </w:rPr>
        <w:t>second</w:t>
      </w:r>
      <w:r>
        <w:rPr>
          <w:rFonts w:ascii="Times New Roman" w:hAnsi="Times New Roman" w:cs="Times New Roman"/>
          <w:sz w:val="24"/>
          <w:szCs w:val="24"/>
        </w:rPr>
        <w:t xml:space="preserve"> defendant a </w:t>
      </w:r>
      <w:r w:rsidRPr="00EA145C">
        <w:rPr>
          <w:rFonts w:ascii="Times New Roman" w:hAnsi="Times New Roman" w:cs="Times New Roman"/>
          <w:i/>
          <w:sz w:val="24"/>
          <w:szCs w:val="24"/>
        </w:rPr>
        <w:t>bona fide</w:t>
      </w:r>
      <w:r>
        <w:rPr>
          <w:rFonts w:ascii="Times New Roman" w:hAnsi="Times New Roman" w:cs="Times New Roman"/>
          <w:sz w:val="24"/>
          <w:szCs w:val="24"/>
        </w:rPr>
        <w:t xml:space="preserve"> </w:t>
      </w:r>
      <w:r w:rsidR="0045627F">
        <w:rPr>
          <w:rFonts w:ascii="Times New Roman" w:hAnsi="Times New Roman" w:cs="Times New Roman"/>
          <w:sz w:val="24"/>
          <w:szCs w:val="24"/>
        </w:rPr>
        <w:t>possessor.</w:t>
      </w:r>
    </w:p>
    <w:p w:rsidR="00EA145C" w:rsidRDefault="00EA145C" w:rsidP="00EA145C">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does not disclose a cause of action based on the </w:t>
      </w:r>
      <w:r w:rsidR="00F81631" w:rsidRPr="00F81631">
        <w:rPr>
          <w:rFonts w:ascii="Times New Roman" w:hAnsi="Times New Roman" w:cs="Times New Roman"/>
          <w:i/>
          <w:sz w:val="24"/>
          <w:szCs w:val="24"/>
        </w:rPr>
        <w:t>actio</w:t>
      </w:r>
      <w:r w:rsidRPr="00F81631">
        <w:rPr>
          <w:rFonts w:ascii="Times New Roman" w:hAnsi="Times New Roman" w:cs="Times New Roman"/>
          <w:i/>
          <w:sz w:val="24"/>
          <w:szCs w:val="24"/>
        </w:rPr>
        <w:t xml:space="preserve"> </w:t>
      </w:r>
      <w:r w:rsidRPr="0045627F">
        <w:rPr>
          <w:rFonts w:ascii="Times New Roman" w:hAnsi="Times New Roman" w:cs="Times New Roman"/>
          <w:i/>
          <w:sz w:val="24"/>
          <w:szCs w:val="24"/>
        </w:rPr>
        <w:t>legis acquiliae</w:t>
      </w:r>
      <w:r>
        <w:rPr>
          <w:rFonts w:ascii="Times New Roman" w:hAnsi="Times New Roman" w:cs="Times New Roman"/>
          <w:sz w:val="24"/>
          <w:szCs w:val="24"/>
        </w:rPr>
        <w:t xml:space="preserve"> or any </w:t>
      </w:r>
      <w:r w:rsidR="00F81631" w:rsidRPr="00B95203">
        <w:rPr>
          <w:rFonts w:ascii="Times New Roman" w:hAnsi="Times New Roman" w:cs="Times New Roman"/>
          <w:i/>
          <w:sz w:val="24"/>
          <w:szCs w:val="24"/>
        </w:rPr>
        <w:t>actio</w:t>
      </w:r>
      <w:r>
        <w:rPr>
          <w:rFonts w:ascii="Times New Roman" w:hAnsi="Times New Roman" w:cs="Times New Roman"/>
          <w:sz w:val="24"/>
          <w:szCs w:val="24"/>
        </w:rPr>
        <w:t xml:space="preserve"> for delict</w:t>
      </w:r>
      <w:r w:rsidR="0045627F">
        <w:rPr>
          <w:rFonts w:ascii="Times New Roman" w:hAnsi="Times New Roman" w:cs="Times New Roman"/>
          <w:sz w:val="24"/>
          <w:szCs w:val="24"/>
        </w:rPr>
        <w:t>.</w:t>
      </w:r>
    </w:p>
    <w:p w:rsidR="00EA145C" w:rsidRDefault="00EA145C" w:rsidP="00EA145C">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does not disclose a causal link between the </w:t>
      </w:r>
      <w:r w:rsidR="00AE2948">
        <w:rPr>
          <w:rFonts w:ascii="Times New Roman" w:hAnsi="Times New Roman" w:cs="Times New Roman"/>
          <w:sz w:val="24"/>
          <w:szCs w:val="24"/>
        </w:rPr>
        <w:t>second</w:t>
      </w:r>
      <w:r>
        <w:rPr>
          <w:rFonts w:ascii="Times New Roman" w:hAnsi="Times New Roman" w:cs="Times New Roman"/>
          <w:sz w:val="24"/>
          <w:szCs w:val="24"/>
        </w:rPr>
        <w:t xml:space="preserve"> defendant</w:t>
      </w:r>
      <w:r w:rsidR="00F81631">
        <w:rPr>
          <w:rFonts w:ascii="Times New Roman" w:hAnsi="Times New Roman" w:cs="Times New Roman"/>
          <w:sz w:val="24"/>
          <w:szCs w:val="24"/>
        </w:rPr>
        <w:t xml:space="preserve"> and</w:t>
      </w:r>
      <w:r>
        <w:rPr>
          <w:rFonts w:ascii="Times New Roman" w:hAnsi="Times New Roman" w:cs="Times New Roman"/>
          <w:sz w:val="24"/>
          <w:szCs w:val="24"/>
        </w:rPr>
        <w:t xml:space="preserve"> the failure by the plaintiffs to erect their buildings</w:t>
      </w:r>
      <w:r w:rsidR="0045627F">
        <w:rPr>
          <w:rFonts w:ascii="Times New Roman" w:hAnsi="Times New Roman" w:cs="Times New Roman"/>
          <w:sz w:val="24"/>
          <w:szCs w:val="24"/>
        </w:rPr>
        <w:t>.</w:t>
      </w:r>
    </w:p>
    <w:p w:rsidR="00EA145C" w:rsidRDefault="00EA145C" w:rsidP="00EA145C">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alleges fraud but does not give details how the fraud was committed</w:t>
      </w:r>
      <w:r w:rsidR="0045627F">
        <w:rPr>
          <w:rFonts w:ascii="Times New Roman" w:hAnsi="Times New Roman" w:cs="Times New Roman"/>
          <w:sz w:val="24"/>
          <w:szCs w:val="24"/>
        </w:rPr>
        <w:t>.</w:t>
      </w:r>
    </w:p>
    <w:p w:rsidR="00EA145C" w:rsidRDefault="00EA145C" w:rsidP="00EA145C">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damages claimed are remote and not recognisable at law</w:t>
      </w:r>
      <w:r w:rsidR="0045627F">
        <w:rPr>
          <w:rFonts w:ascii="Times New Roman" w:hAnsi="Times New Roman" w:cs="Times New Roman"/>
          <w:sz w:val="24"/>
          <w:szCs w:val="24"/>
        </w:rPr>
        <w:t>.</w:t>
      </w:r>
    </w:p>
    <w:p w:rsidR="00B95203" w:rsidRDefault="00B95203" w:rsidP="00B95203">
      <w:pPr>
        <w:spacing w:after="0" w:line="360" w:lineRule="auto"/>
        <w:jc w:val="both"/>
        <w:rPr>
          <w:rFonts w:ascii="Times New Roman" w:hAnsi="Times New Roman" w:cs="Times New Roman"/>
          <w:sz w:val="24"/>
          <w:szCs w:val="24"/>
        </w:rPr>
      </w:pPr>
    </w:p>
    <w:p w:rsidR="00E14710" w:rsidRDefault="00852446" w:rsidP="00E147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law</w:t>
      </w:r>
      <w:r w:rsidRPr="00E14710">
        <w:rPr>
          <w:rFonts w:ascii="Times New Roman" w:hAnsi="Times New Roman" w:cs="Times New Roman"/>
          <w:sz w:val="24"/>
          <w:szCs w:val="24"/>
        </w:rPr>
        <w:t xml:space="preserve"> </w:t>
      </w:r>
    </w:p>
    <w:p w:rsidR="00E14710" w:rsidRPr="00E14710" w:rsidRDefault="00E14710" w:rsidP="00E147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terms of</w:t>
      </w:r>
      <w:r w:rsidR="00C06518">
        <w:rPr>
          <w:rFonts w:ascii="Times New Roman" w:hAnsi="Times New Roman" w:cs="Times New Roman"/>
          <w:sz w:val="24"/>
          <w:szCs w:val="24"/>
        </w:rPr>
        <w:t xml:space="preserve"> the repelled Rules of 1971, Order</w:t>
      </w:r>
      <w:r>
        <w:rPr>
          <w:rFonts w:ascii="Times New Roman" w:hAnsi="Times New Roman" w:cs="Times New Roman"/>
          <w:sz w:val="24"/>
          <w:szCs w:val="24"/>
        </w:rPr>
        <w:t xml:space="preserve"> 3 r </w:t>
      </w:r>
      <w:r w:rsidR="00C06518">
        <w:rPr>
          <w:rFonts w:ascii="Times New Roman" w:hAnsi="Times New Roman" w:cs="Times New Roman"/>
          <w:sz w:val="24"/>
          <w:szCs w:val="24"/>
        </w:rPr>
        <w:t>11 a</w:t>
      </w:r>
      <w:r>
        <w:rPr>
          <w:rFonts w:ascii="Times New Roman" w:hAnsi="Times New Roman" w:cs="Times New Roman"/>
          <w:sz w:val="24"/>
          <w:szCs w:val="24"/>
        </w:rPr>
        <w:t xml:space="preserve"> valid summons </w:t>
      </w:r>
      <w:r w:rsidRPr="00E14710">
        <w:rPr>
          <w:rFonts w:ascii="Times New Roman" w:hAnsi="Times New Roman" w:cs="Times New Roman"/>
          <w:sz w:val="24"/>
          <w:szCs w:val="24"/>
        </w:rPr>
        <w:t>must contain:</w:t>
      </w:r>
    </w:p>
    <w:p w:rsidR="005D070A" w:rsidRDefault="00E14710" w:rsidP="00C966AA">
      <w:pPr>
        <w:spacing w:after="0" w:line="240" w:lineRule="auto"/>
        <w:ind w:left="720"/>
        <w:jc w:val="both"/>
        <w:rPr>
          <w:rFonts w:ascii="Times New Roman" w:hAnsi="Times New Roman" w:cs="Times New Roman"/>
        </w:rPr>
      </w:pPr>
      <w:r w:rsidRPr="00E14710">
        <w:rPr>
          <w:rFonts w:ascii="Times New Roman" w:hAnsi="Times New Roman" w:cs="Times New Roman"/>
        </w:rPr>
        <w:t>“a true and concise statement of the nature, extent and grounds of the cause of action and of the relief or</w:t>
      </w:r>
      <w:r w:rsidR="00C966AA">
        <w:rPr>
          <w:rFonts w:ascii="Times New Roman" w:hAnsi="Times New Roman" w:cs="Times New Roman"/>
        </w:rPr>
        <w:t xml:space="preserve"> remedies sought in the action.”</w:t>
      </w:r>
    </w:p>
    <w:p w:rsidR="00C966AA" w:rsidRDefault="00C966AA" w:rsidP="00C966AA">
      <w:pPr>
        <w:spacing w:after="0" w:line="240" w:lineRule="auto"/>
        <w:ind w:left="720"/>
        <w:jc w:val="both"/>
        <w:rPr>
          <w:rFonts w:ascii="Times New Roman" w:hAnsi="Times New Roman" w:cs="Times New Roman"/>
        </w:rPr>
      </w:pPr>
    </w:p>
    <w:p w:rsidR="00E14710" w:rsidRDefault="005D070A" w:rsidP="005D07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cause of action must therefore appear </w:t>
      </w:r>
      <w:r w:rsidRPr="005D070A">
        <w:rPr>
          <w:rFonts w:ascii="Times New Roman" w:hAnsi="Times New Roman" w:cs="Times New Roman"/>
          <w:i/>
          <w:sz w:val="24"/>
          <w:szCs w:val="24"/>
        </w:rPr>
        <w:t>ex facie</w:t>
      </w:r>
      <w:r>
        <w:rPr>
          <w:rFonts w:ascii="Times New Roman" w:hAnsi="Times New Roman" w:cs="Times New Roman"/>
          <w:sz w:val="24"/>
          <w:szCs w:val="24"/>
        </w:rPr>
        <w:t xml:space="preserve"> the </w:t>
      </w:r>
      <w:r w:rsidR="00E14710" w:rsidRPr="005D070A">
        <w:rPr>
          <w:rFonts w:ascii="Times New Roman" w:hAnsi="Times New Roman" w:cs="Times New Roman"/>
          <w:sz w:val="24"/>
          <w:szCs w:val="24"/>
        </w:rPr>
        <w:t>summons</w:t>
      </w:r>
      <w:r>
        <w:rPr>
          <w:rFonts w:ascii="Times New Roman" w:hAnsi="Times New Roman" w:cs="Times New Roman"/>
          <w:sz w:val="24"/>
          <w:szCs w:val="24"/>
        </w:rPr>
        <w:t xml:space="preserve">. </w:t>
      </w:r>
      <w:r w:rsidR="00E14710" w:rsidRPr="00E14710">
        <w:rPr>
          <w:rFonts w:ascii="Times New Roman" w:hAnsi="Times New Roman" w:cs="Times New Roman"/>
          <w:sz w:val="24"/>
          <w:szCs w:val="24"/>
        </w:rPr>
        <w:t xml:space="preserve">Where the summons do not disclose the cause of action </w:t>
      </w:r>
      <w:r w:rsidR="00E14710" w:rsidRPr="005D070A">
        <w:rPr>
          <w:rFonts w:ascii="Times New Roman" w:hAnsi="Times New Roman" w:cs="Times New Roman"/>
          <w:i/>
          <w:sz w:val="24"/>
          <w:szCs w:val="24"/>
        </w:rPr>
        <w:t>ex facie</w:t>
      </w:r>
      <w:r w:rsidR="00E14710" w:rsidRPr="00E14710">
        <w:rPr>
          <w:rFonts w:ascii="Times New Roman" w:hAnsi="Times New Roman" w:cs="Times New Roman"/>
          <w:sz w:val="24"/>
          <w:szCs w:val="24"/>
        </w:rPr>
        <w:t xml:space="preserve">, the practice of the courts is not to dismiss the claim but to give the plaintiff some time to correct the summons if so minded. </w:t>
      </w:r>
    </w:p>
    <w:p w:rsidR="00060C05" w:rsidRPr="00060C05" w:rsidRDefault="00B95203" w:rsidP="00B95203">
      <w:pPr>
        <w:spacing w:after="0" w:line="360" w:lineRule="auto"/>
        <w:ind w:firstLine="720"/>
        <w:jc w:val="both"/>
        <w:rPr>
          <w:rFonts w:ascii="Times New Roman" w:hAnsi="Times New Roman" w:cs="Times New Roman"/>
          <w:sz w:val="24"/>
          <w:szCs w:val="24"/>
        </w:rPr>
      </w:pPr>
      <w:r w:rsidRPr="00B95203">
        <w:rPr>
          <w:rFonts w:ascii="Times New Roman" w:hAnsi="Times New Roman" w:cs="Times New Roman"/>
          <w:sz w:val="24"/>
          <w:szCs w:val="24"/>
        </w:rPr>
        <w:t xml:space="preserve"> A cause of action is a factual situation the existence of which entitles one person to obtain from the Court a remedy against another person. It is now settled that a cause of action relates to facts a plaintiff must prove to support his</w:t>
      </w:r>
      <w:r>
        <w:rPr>
          <w:rFonts w:ascii="Times New Roman" w:hAnsi="Times New Roman" w:cs="Times New Roman"/>
          <w:sz w:val="24"/>
          <w:szCs w:val="24"/>
        </w:rPr>
        <w:t>/her/</w:t>
      </w:r>
      <w:r w:rsidR="00AE7BEE">
        <w:rPr>
          <w:rFonts w:ascii="Times New Roman" w:hAnsi="Times New Roman" w:cs="Times New Roman"/>
          <w:sz w:val="24"/>
          <w:szCs w:val="24"/>
        </w:rPr>
        <w:t>/</w:t>
      </w:r>
      <w:r w:rsidR="00163A35" w:rsidRPr="00B95203">
        <w:rPr>
          <w:rFonts w:ascii="Times New Roman" w:hAnsi="Times New Roman" w:cs="Times New Roman"/>
          <w:sz w:val="24"/>
          <w:szCs w:val="24"/>
        </w:rPr>
        <w:t>its claim</w:t>
      </w:r>
      <w:r w:rsidRPr="00B95203">
        <w:rPr>
          <w:rFonts w:ascii="Times New Roman" w:hAnsi="Times New Roman" w:cs="Times New Roman"/>
          <w:sz w:val="24"/>
          <w:szCs w:val="24"/>
          <w:vertAlign w:val="superscript"/>
        </w:rPr>
        <w:footnoteReference w:id="3"/>
      </w:r>
      <w:r w:rsidR="005D070A">
        <w:rPr>
          <w:rFonts w:ascii="Times New Roman" w:hAnsi="Times New Roman" w:cs="Times New Roman"/>
          <w:sz w:val="24"/>
          <w:szCs w:val="24"/>
        </w:rPr>
        <w:t xml:space="preserve">. </w:t>
      </w:r>
      <w:r>
        <w:rPr>
          <w:rFonts w:ascii="Times New Roman" w:hAnsi="Times New Roman" w:cs="Times New Roman"/>
          <w:sz w:val="24"/>
          <w:szCs w:val="24"/>
        </w:rPr>
        <w:t xml:space="preserve">Besides the factual basis requirement, the cause of action must be based on some recognised branch of law in order for the claimant to obtain legal </w:t>
      </w:r>
      <w:r w:rsidR="005D070A">
        <w:rPr>
          <w:rFonts w:ascii="Times New Roman" w:hAnsi="Times New Roman" w:cs="Times New Roman"/>
          <w:sz w:val="24"/>
          <w:szCs w:val="24"/>
        </w:rPr>
        <w:t>recourse. This position was succinctly</w:t>
      </w:r>
      <w:r w:rsidR="00163A35">
        <w:rPr>
          <w:rFonts w:ascii="Times New Roman" w:hAnsi="Times New Roman" w:cs="Times New Roman"/>
          <w:sz w:val="24"/>
          <w:szCs w:val="24"/>
        </w:rPr>
        <w:t xml:space="preserve"> stated in </w:t>
      </w:r>
      <w:r w:rsidR="00163A35" w:rsidRPr="00163A35">
        <w:rPr>
          <w:rFonts w:ascii="Times New Roman" w:hAnsi="Times New Roman" w:cs="Times New Roman"/>
          <w:i/>
          <w:sz w:val="24"/>
          <w:szCs w:val="24"/>
        </w:rPr>
        <w:t>Chifamba</w:t>
      </w:r>
      <w:r w:rsidR="00060C05" w:rsidRPr="00060C05">
        <w:rPr>
          <w:rFonts w:ascii="Times New Roman" w:hAnsi="Times New Roman" w:cs="Times New Roman"/>
          <w:sz w:val="24"/>
          <w:szCs w:val="24"/>
        </w:rPr>
        <w:t xml:space="preserve"> v </w:t>
      </w:r>
      <w:r w:rsidR="00060C05" w:rsidRPr="00060C05">
        <w:rPr>
          <w:rFonts w:ascii="Times New Roman" w:hAnsi="Times New Roman" w:cs="Times New Roman"/>
          <w:i/>
          <w:sz w:val="24"/>
          <w:szCs w:val="24"/>
        </w:rPr>
        <w:t>Mutasa and Ors</w:t>
      </w:r>
      <w:r w:rsidR="00060C05">
        <w:rPr>
          <w:rStyle w:val="FootnoteReference"/>
          <w:rFonts w:ascii="Times New Roman" w:hAnsi="Times New Roman"/>
          <w:i/>
          <w:sz w:val="24"/>
          <w:szCs w:val="24"/>
        </w:rPr>
        <w:footnoteReference w:id="4"/>
      </w:r>
      <w:r w:rsidR="00060C05" w:rsidRPr="00060C05">
        <w:rPr>
          <w:rFonts w:ascii="Times New Roman" w:hAnsi="Times New Roman" w:cs="Times New Roman"/>
          <w:sz w:val="24"/>
          <w:szCs w:val="24"/>
        </w:rPr>
        <w:t xml:space="preserve"> </w:t>
      </w:r>
      <w:r>
        <w:rPr>
          <w:rFonts w:ascii="Times New Roman" w:hAnsi="Times New Roman" w:cs="Times New Roman"/>
          <w:sz w:val="24"/>
          <w:szCs w:val="24"/>
        </w:rPr>
        <w:t>that,</w:t>
      </w:r>
    </w:p>
    <w:p w:rsidR="00060C05" w:rsidRDefault="00060C05" w:rsidP="00B95203">
      <w:pPr>
        <w:spacing w:after="0" w:line="276" w:lineRule="auto"/>
        <w:ind w:left="720"/>
        <w:jc w:val="both"/>
        <w:rPr>
          <w:rFonts w:ascii="Times New Roman" w:hAnsi="Times New Roman" w:cs="Times New Roman"/>
        </w:rPr>
      </w:pPr>
      <w:r w:rsidRPr="00B95203">
        <w:rPr>
          <w:rFonts w:ascii="Times New Roman" w:hAnsi="Times New Roman" w:cs="Times New Roman"/>
        </w:rPr>
        <w:t>“</w:t>
      </w:r>
      <w:r w:rsidR="00B95203" w:rsidRPr="00B95203">
        <w:rPr>
          <w:rFonts w:ascii="Times New Roman" w:hAnsi="Times New Roman" w:cs="Times New Roman"/>
        </w:rPr>
        <w:t>The</w:t>
      </w:r>
      <w:r w:rsidRPr="00B95203">
        <w:rPr>
          <w:rFonts w:ascii="Times New Roman" w:hAnsi="Times New Roman" w:cs="Times New Roman"/>
        </w:rPr>
        <w:t xml:space="preserve"> purpose of pleadings is not only to inform the other party in concise terms of the precise nature of the claim they have to meet but pleadings also serve to </w:t>
      </w:r>
      <w:r w:rsidRPr="00B95203">
        <w:rPr>
          <w:rFonts w:ascii="Times New Roman" w:hAnsi="Times New Roman" w:cs="Times New Roman"/>
          <w:u w:val="single"/>
        </w:rPr>
        <w:t>identify the branch of law</w:t>
      </w:r>
      <w:r w:rsidRPr="00B95203">
        <w:rPr>
          <w:rFonts w:ascii="Times New Roman" w:hAnsi="Times New Roman" w:cs="Times New Roman"/>
        </w:rPr>
        <w:t xml:space="preserve"> under which the claim has been brought. Different branches of the law require different matters to be specifically pleaded in the claim to be sustainable under that action”.</w:t>
      </w:r>
      <w:r w:rsidR="00B95203">
        <w:rPr>
          <w:rFonts w:ascii="Times New Roman" w:hAnsi="Times New Roman" w:cs="Times New Roman"/>
        </w:rPr>
        <w:t>(</w:t>
      </w:r>
      <w:r w:rsidR="00B95203" w:rsidRPr="00B95203">
        <w:rPr>
          <w:rFonts w:ascii="Times New Roman" w:hAnsi="Times New Roman" w:cs="Times New Roman"/>
          <w:i/>
        </w:rPr>
        <w:t>my emphasis</w:t>
      </w:r>
      <w:r w:rsidR="00B95203">
        <w:rPr>
          <w:rFonts w:ascii="Times New Roman" w:hAnsi="Times New Roman" w:cs="Times New Roman"/>
        </w:rPr>
        <w:t>)</w:t>
      </w:r>
    </w:p>
    <w:p w:rsidR="00C06518" w:rsidRPr="00060C05" w:rsidRDefault="00C06518" w:rsidP="00B95203">
      <w:pPr>
        <w:spacing w:after="0" w:line="276" w:lineRule="auto"/>
        <w:ind w:left="720"/>
        <w:jc w:val="both"/>
        <w:rPr>
          <w:rFonts w:ascii="Times New Roman" w:hAnsi="Times New Roman" w:cs="Times New Roman"/>
          <w:sz w:val="24"/>
          <w:szCs w:val="24"/>
        </w:rPr>
      </w:pPr>
    </w:p>
    <w:p w:rsidR="00B47301" w:rsidRDefault="00060C05" w:rsidP="00E14710">
      <w:pPr>
        <w:spacing w:after="0" w:line="360" w:lineRule="auto"/>
        <w:ind w:firstLine="720"/>
        <w:jc w:val="both"/>
        <w:rPr>
          <w:rFonts w:ascii="Times New Roman" w:hAnsi="Times New Roman" w:cs="Times New Roman"/>
          <w:sz w:val="24"/>
          <w:szCs w:val="24"/>
        </w:rPr>
      </w:pPr>
      <w:r w:rsidRPr="00060C05">
        <w:rPr>
          <w:rFonts w:ascii="Times New Roman" w:hAnsi="Times New Roman" w:cs="Times New Roman"/>
          <w:sz w:val="24"/>
          <w:szCs w:val="24"/>
        </w:rPr>
        <w:t>Pleadings must</w:t>
      </w:r>
      <w:r w:rsidR="005D070A">
        <w:rPr>
          <w:rFonts w:ascii="Times New Roman" w:hAnsi="Times New Roman" w:cs="Times New Roman"/>
          <w:sz w:val="24"/>
          <w:szCs w:val="24"/>
        </w:rPr>
        <w:t xml:space="preserve"> thus be brief and to the point</w:t>
      </w:r>
      <w:r w:rsidR="00C06518">
        <w:rPr>
          <w:rFonts w:ascii="Times New Roman" w:hAnsi="Times New Roman" w:cs="Times New Roman"/>
          <w:sz w:val="24"/>
          <w:szCs w:val="24"/>
        </w:rPr>
        <w:t xml:space="preserve"> covering </w:t>
      </w:r>
      <w:r w:rsidR="005D070A">
        <w:rPr>
          <w:rFonts w:ascii="Times New Roman" w:hAnsi="Times New Roman" w:cs="Times New Roman"/>
          <w:sz w:val="24"/>
          <w:szCs w:val="24"/>
        </w:rPr>
        <w:t xml:space="preserve">the necessary averments </w:t>
      </w:r>
      <w:r w:rsidRPr="00060C05">
        <w:rPr>
          <w:rFonts w:ascii="Times New Roman" w:hAnsi="Times New Roman" w:cs="Times New Roman"/>
          <w:sz w:val="24"/>
          <w:szCs w:val="24"/>
        </w:rPr>
        <w:t xml:space="preserve">to alert </w:t>
      </w:r>
      <w:r w:rsidR="005D070A">
        <w:rPr>
          <w:rFonts w:ascii="Times New Roman" w:hAnsi="Times New Roman" w:cs="Times New Roman"/>
          <w:sz w:val="24"/>
          <w:szCs w:val="24"/>
        </w:rPr>
        <w:t>the other p</w:t>
      </w:r>
      <w:r w:rsidRPr="00060C05">
        <w:rPr>
          <w:rFonts w:ascii="Times New Roman" w:hAnsi="Times New Roman" w:cs="Times New Roman"/>
          <w:sz w:val="24"/>
          <w:szCs w:val="24"/>
        </w:rPr>
        <w:t xml:space="preserve">arty as to the case he/she </w:t>
      </w:r>
      <w:r w:rsidR="003562E2">
        <w:rPr>
          <w:rFonts w:ascii="Times New Roman" w:hAnsi="Times New Roman" w:cs="Times New Roman"/>
          <w:sz w:val="24"/>
          <w:szCs w:val="24"/>
        </w:rPr>
        <w:t>faces.</w:t>
      </w:r>
    </w:p>
    <w:p w:rsidR="00D119B3" w:rsidRDefault="00561509" w:rsidP="00D119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claim under delict there must exist a causal element  .The plaintiff must allege some factual situation which in principle cause the damage or has caused the damage</w:t>
      </w:r>
      <w:r>
        <w:rPr>
          <w:rStyle w:val="FootnoteReference"/>
          <w:rFonts w:ascii="Times New Roman" w:hAnsi="Times New Roman"/>
          <w:sz w:val="24"/>
          <w:szCs w:val="24"/>
        </w:rPr>
        <w:footnoteReference w:id="5"/>
      </w:r>
      <w:r>
        <w:rPr>
          <w:rFonts w:ascii="Times New Roman" w:hAnsi="Times New Roman" w:cs="Times New Roman"/>
          <w:sz w:val="24"/>
          <w:szCs w:val="24"/>
        </w:rPr>
        <w:t xml:space="preserve">.The defendant </w:t>
      </w:r>
      <w:r>
        <w:rPr>
          <w:rFonts w:ascii="Times New Roman" w:hAnsi="Times New Roman" w:cs="Times New Roman"/>
          <w:sz w:val="24"/>
          <w:szCs w:val="24"/>
        </w:rPr>
        <w:lastRenderedPageBreak/>
        <w:t>must therefore be the direct cause or by some alleged nexus be the proximate cause of the damages claimed.</w:t>
      </w:r>
      <w:r w:rsidR="00B47301">
        <w:rPr>
          <w:rFonts w:ascii="Times New Roman" w:hAnsi="Times New Roman" w:cs="Times New Roman"/>
          <w:sz w:val="24"/>
          <w:szCs w:val="24"/>
        </w:rPr>
        <w:t xml:space="preserve"> </w:t>
      </w:r>
    </w:p>
    <w:p w:rsidR="000B7976" w:rsidRPr="00C06518" w:rsidRDefault="00D119B3" w:rsidP="000B7976">
      <w:pPr>
        <w:spacing w:after="0" w:line="360" w:lineRule="auto"/>
        <w:ind w:firstLine="720"/>
        <w:jc w:val="both"/>
        <w:rPr>
          <w:rFonts w:ascii="Times New Roman" w:hAnsi="Times New Roman" w:cs="Times New Roman"/>
          <w:sz w:val="24"/>
          <w:szCs w:val="24"/>
        </w:rPr>
      </w:pPr>
      <w:r w:rsidRPr="00C06518">
        <w:rPr>
          <w:rFonts w:ascii="Times New Roman" w:hAnsi="Times New Roman" w:cs="Times New Roman"/>
          <w:sz w:val="24"/>
          <w:szCs w:val="24"/>
        </w:rPr>
        <w:t>Analysis of the case</w:t>
      </w:r>
    </w:p>
    <w:p w:rsidR="00F070D4" w:rsidRDefault="00163A35" w:rsidP="00E14710">
      <w:pPr>
        <w:spacing w:after="0" w:line="360" w:lineRule="auto"/>
        <w:ind w:firstLine="720"/>
        <w:jc w:val="both"/>
        <w:rPr>
          <w:rFonts w:ascii="Times New Roman" w:hAnsi="Times New Roman" w:cs="Times New Roman"/>
          <w:sz w:val="24"/>
          <w:szCs w:val="24"/>
        </w:rPr>
      </w:pPr>
      <w:r w:rsidRPr="00163A35">
        <w:rPr>
          <w:rFonts w:ascii="Times New Roman" w:hAnsi="Times New Roman" w:cs="Times New Roman"/>
          <w:sz w:val="24"/>
          <w:szCs w:val="24"/>
        </w:rPr>
        <w:t xml:space="preserve">There is no doubt that the summons do not disclose the cause of </w:t>
      </w:r>
      <w:r w:rsidR="00E14710" w:rsidRPr="00163A35">
        <w:rPr>
          <w:rFonts w:ascii="Times New Roman" w:hAnsi="Times New Roman" w:cs="Times New Roman"/>
          <w:sz w:val="24"/>
          <w:szCs w:val="24"/>
        </w:rPr>
        <w:t>action. It</w:t>
      </w:r>
      <w:r w:rsidRPr="00163A35">
        <w:rPr>
          <w:rFonts w:ascii="Times New Roman" w:hAnsi="Times New Roman" w:cs="Times New Roman"/>
          <w:sz w:val="24"/>
          <w:szCs w:val="24"/>
        </w:rPr>
        <w:t xml:space="preserve"> contains no factual basis for the relief</w:t>
      </w:r>
      <w:r w:rsidR="00E14710">
        <w:rPr>
          <w:rFonts w:ascii="Times New Roman" w:hAnsi="Times New Roman" w:cs="Times New Roman"/>
          <w:sz w:val="24"/>
          <w:szCs w:val="24"/>
        </w:rPr>
        <w:t xml:space="preserve"> sought</w:t>
      </w:r>
      <w:r w:rsidRPr="00163A35">
        <w:rPr>
          <w:rFonts w:ascii="Times New Roman" w:hAnsi="Times New Roman" w:cs="Times New Roman"/>
          <w:sz w:val="24"/>
          <w:szCs w:val="24"/>
        </w:rPr>
        <w:t xml:space="preserve">. The </w:t>
      </w:r>
      <w:r w:rsidR="00E14710" w:rsidRPr="00163A35">
        <w:rPr>
          <w:rFonts w:ascii="Times New Roman" w:hAnsi="Times New Roman" w:cs="Times New Roman"/>
          <w:sz w:val="24"/>
          <w:szCs w:val="24"/>
        </w:rPr>
        <w:t>summons sets</w:t>
      </w:r>
      <w:r w:rsidRPr="00163A35">
        <w:rPr>
          <w:rFonts w:ascii="Times New Roman" w:hAnsi="Times New Roman" w:cs="Times New Roman"/>
          <w:sz w:val="24"/>
          <w:szCs w:val="24"/>
        </w:rPr>
        <w:t xml:space="preserve"> out the relief sought</w:t>
      </w:r>
      <w:r w:rsidRPr="00163A35">
        <w:rPr>
          <w:rFonts w:ascii="Times New Roman" w:hAnsi="Times New Roman" w:cs="Times New Roman"/>
          <w:b/>
          <w:sz w:val="24"/>
          <w:szCs w:val="24"/>
        </w:rPr>
        <w:t xml:space="preserve"> </w:t>
      </w:r>
      <w:r w:rsidRPr="00163A35">
        <w:rPr>
          <w:rFonts w:ascii="Times New Roman" w:hAnsi="Times New Roman" w:cs="Times New Roman"/>
          <w:sz w:val="24"/>
          <w:szCs w:val="24"/>
        </w:rPr>
        <w:t>only.</w:t>
      </w:r>
      <w:r w:rsidR="003562E2">
        <w:rPr>
          <w:rFonts w:ascii="Times New Roman" w:hAnsi="Times New Roman" w:cs="Times New Roman"/>
          <w:sz w:val="24"/>
          <w:szCs w:val="24"/>
        </w:rPr>
        <w:t xml:space="preserve"> Despite the clear </w:t>
      </w:r>
      <w:r w:rsidR="00F070D4">
        <w:rPr>
          <w:rFonts w:ascii="Times New Roman" w:hAnsi="Times New Roman" w:cs="Times New Roman"/>
          <w:sz w:val="24"/>
          <w:szCs w:val="24"/>
        </w:rPr>
        <w:t>defect in</w:t>
      </w:r>
      <w:r w:rsidR="003562E2">
        <w:rPr>
          <w:rFonts w:ascii="Times New Roman" w:hAnsi="Times New Roman" w:cs="Times New Roman"/>
          <w:sz w:val="24"/>
          <w:szCs w:val="24"/>
        </w:rPr>
        <w:t xml:space="preserve"> the summons</w:t>
      </w:r>
      <w:r w:rsidR="00C93F2E">
        <w:rPr>
          <w:rFonts w:ascii="Times New Roman" w:hAnsi="Times New Roman" w:cs="Times New Roman"/>
          <w:sz w:val="24"/>
          <w:szCs w:val="24"/>
        </w:rPr>
        <w:t>, the</w:t>
      </w:r>
      <w:r w:rsidRPr="00163A35">
        <w:rPr>
          <w:rFonts w:ascii="Times New Roman" w:hAnsi="Times New Roman" w:cs="Times New Roman"/>
          <w:sz w:val="24"/>
          <w:szCs w:val="24"/>
        </w:rPr>
        <w:t xml:space="preserve"> plaintiff’s legal practitioner</w:t>
      </w:r>
      <w:r w:rsidR="00C93F2E">
        <w:rPr>
          <w:rFonts w:ascii="Times New Roman" w:hAnsi="Times New Roman" w:cs="Times New Roman"/>
          <w:sz w:val="24"/>
          <w:szCs w:val="24"/>
        </w:rPr>
        <w:t xml:space="preserve"> for some  </w:t>
      </w:r>
      <w:r w:rsidR="003562E2">
        <w:rPr>
          <w:rFonts w:ascii="Times New Roman" w:hAnsi="Times New Roman" w:cs="Times New Roman"/>
          <w:sz w:val="24"/>
          <w:szCs w:val="24"/>
        </w:rPr>
        <w:t xml:space="preserve"> unintelligible reasons insisted that the summons were not defective. </w:t>
      </w:r>
      <w:r w:rsidR="00C93F2E">
        <w:rPr>
          <w:rFonts w:ascii="Times New Roman" w:hAnsi="Times New Roman" w:cs="Times New Roman"/>
          <w:sz w:val="24"/>
          <w:szCs w:val="24"/>
        </w:rPr>
        <w:t>My finding is that the</w:t>
      </w:r>
      <w:r w:rsidR="003562E2">
        <w:rPr>
          <w:rFonts w:ascii="Times New Roman" w:hAnsi="Times New Roman" w:cs="Times New Roman"/>
          <w:sz w:val="24"/>
          <w:szCs w:val="24"/>
        </w:rPr>
        <w:t xml:space="preserve"> summons is defective as it does not comply with the rules.</w:t>
      </w:r>
    </w:p>
    <w:p w:rsidR="00644601" w:rsidRDefault="00C93F2E" w:rsidP="00E147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consideration is whether the declaration discloses a cause of action as against the </w:t>
      </w:r>
      <w:r w:rsidR="00AE2948">
        <w:rPr>
          <w:rFonts w:ascii="Times New Roman" w:hAnsi="Times New Roman" w:cs="Times New Roman"/>
          <w:sz w:val="24"/>
          <w:szCs w:val="24"/>
        </w:rPr>
        <w:t>second</w:t>
      </w:r>
      <w:r>
        <w:rPr>
          <w:rFonts w:ascii="Times New Roman" w:hAnsi="Times New Roman" w:cs="Times New Roman"/>
          <w:sz w:val="24"/>
          <w:szCs w:val="24"/>
        </w:rPr>
        <w:t xml:space="preserve"> </w:t>
      </w:r>
      <w:r w:rsidR="005F4763">
        <w:rPr>
          <w:rFonts w:ascii="Times New Roman" w:hAnsi="Times New Roman" w:cs="Times New Roman"/>
          <w:sz w:val="24"/>
          <w:szCs w:val="24"/>
        </w:rPr>
        <w:t>defendant. The</w:t>
      </w:r>
      <w:r w:rsidR="004C4AC6">
        <w:rPr>
          <w:rFonts w:ascii="Times New Roman" w:hAnsi="Times New Roman" w:cs="Times New Roman"/>
          <w:sz w:val="24"/>
          <w:szCs w:val="24"/>
        </w:rPr>
        <w:t xml:space="preserve"> declaration </w:t>
      </w:r>
      <w:r w:rsidR="00843C51">
        <w:rPr>
          <w:rFonts w:ascii="Times New Roman" w:hAnsi="Times New Roman" w:cs="Times New Roman"/>
          <w:sz w:val="24"/>
          <w:szCs w:val="24"/>
        </w:rPr>
        <w:t xml:space="preserve">is just a mixed bag of averments which is </w:t>
      </w:r>
      <w:r w:rsidR="004C4AC6">
        <w:rPr>
          <w:rFonts w:ascii="Times New Roman" w:hAnsi="Times New Roman" w:cs="Times New Roman"/>
          <w:sz w:val="24"/>
          <w:szCs w:val="24"/>
        </w:rPr>
        <w:t>commonly referred to as</w:t>
      </w:r>
      <w:r>
        <w:rPr>
          <w:rFonts w:ascii="Times New Roman" w:hAnsi="Times New Roman" w:cs="Times New Roman"/>
          <w:sz w:val="24"/>
          <w:szCs w:val="24"/>
        </w:rPr>
        <w:t xml:space="preserve"> a</w:t>
      </w:r>
      <w:r w:rsidR="004C4AC6">
        <w:rPr>
          <w:rFonts w:ascii="Times New Roman" w:hAnsi="Times New Roman" w:cs="Times New Roman"/>
          <w:sz w:val="24"/>
          <w:szCs w:val="24"/>
        </w:rPr>
        <w:t xml:space="preserve"> dog’s </w:t>
      </w:r>
      <w:r w:rsidR="00B47301">
        <w:rPr>
          <w:rFonts w:ascii="Times New Roman" w:hAnsi="Times New Roman" w:cs="Times New Roman"/>
          <w:sz w:val="24"/>
          <w:szCs w:val="24"/>
        </w:rPr>
        <w:t>breakfast. The</w:t>
      </w:r>
      <w:r w:rsidR="004C4AC6">
        <w:rPr>
          <w:rFonts w:ascii="Times New Roman" w:hAnsi="Times New Roman" w:cs="Times New Roman"/>
          <w:sz w:val="24"/>
          <w:szCs w:val="24"/>
        </w:rPr>
        <w:t xml:space="preserve"> declaration throws in </w:t>
      </w:r>
      <w:r w:rsidR="00843C51">
        <w:rPr>
          <w:rFonts w:ascii="Times New Roman" w:hAnsi="Times New Roman" w:cs="Times New Roman"/>
          <w:sz w:val="24"/>
          <w:szCs w:val="24"/>
        </w:rPr>
        <w:t xml:space="preserve">everything for the court to process. </w:t>
      </w:r>
      <w:r w:rsidR="004C4AC6">
        <w:rPr>
          <w:rFonts w:ascii="Times New Roman" w:hAnsi="Times New Roman" w:cs="Times New Roman"/>
          <w:sz w:val="24"/>
          <w:szCs w:val="24"/>
        </w:rPr>
        <w:t xml:space="preserve">The plaintiffs aver that the </w:t>
      </w:r>
      <w:r w:rsidR="00C966AA">
        <w:rPr>
          <w:rFonts w:ascii="Times New Roman" w:hAnsi="Times New Roman" w:cs="Times New Roman"/>
          <w:sz w:val="24"/>
          <w:szCs w:val="24"/>
        </w:rPr>
        <w:t>fourth</w:t>
      </w:r>
      <w:r w:rsidR="004C4AC6">
        <w:rPr>
          <w:rFonts w:ascii="Times New Roman" w:hAnsi="Times New Roman" w:cs="Times New Roman"/>
          <w:sz w:val="24"/>
          <w:szCs w:val="24"/>
        </w:rPr>
        <w:t xml:space="preserve"> plaintiff donated the property to them in 2003</w:t>
      </w:r>
      <w:r w:rsidR="005F1130">
        <w:rPr>
          <w:rFonts w:ascii="Times New Roman" w:hAnsi="Times New Roman" w:cs="Times New Roman"/>
          <w:sz w:val="24"/>
          <w:szCs w:val="24"/>
        </w:rPr>
        <w:t xml:space="preserve">.They </w:t>
      </w:r>
      <w:r>
        <w:rPr>
          <w:rFonts w:ascii="Times New Roman" w:hAnsi="Times New Roman" w:cs="Times New Roman"/>
          <w:sz w:val="24"/>
          <w:szCs w:val="24"/>
        </w:rPr>
        <w:t>obtained architectural</w:t>
      </w:r>
      <w:r w:rsidR="005F1130">
        <w:rPr>
          <w:rFonts w:ascii="Times New Roman" w:hAnsi="Times New Roman" w:cs="Times New Roman"/>
          <w:sz w:val="24"/>
          <w:szCs w:val="24"/>
        </w:rPr>
        <w:t xml:space="preserve"> drawings for</w:t>
      </w:r>
      <w:r>
        <w:rPr>
          <w:rFonts w:ascii="Times New Roman" w:hAnsi="Times New Roman" w:cs="Times New Roman"/>
          <w:sz w:val="24"/>
          <w:szCs w:val="24"/>
        </w:rPr>
        <w:t xml:space="preserve"> the construction of 3</w:t>
      </w:r>
      <w:r w:rsidR="00843C51">
        <w:rPr>
          <w:rFonts w:ascii="Times New Roman" w:hAnsi="Times New Roman" w:cs="Times New Roman"/>
          <w:sz w:val="24"/>
          <w:szCs w:val="24"/>
        </w:rPr>
        <w:t>, 4</w:t>
      </w:r>
      <w:r w:rsidR="005F1130">
        <w:rPr>
          <w:rFonts w:ascii="Times New Roman" w:hAnsi="Times New Roman" w:cs="Times New Roman"/>
          <w:sz w:val="24"/>
          <w:szCs w:val="24"/>
        </w:rPr>
        <w:t xml:space="preserve"> bedroomed villa </w:t>
      </w:r>
      <w:r>
        <w:rPr>
          <w:rFonts w:ascii="Times New Roman" w:hAnsi="Times New Roman" w:cs="Times New Roman"/>
          <w:sz w:val="24"/>
          <w:szCs w:val="24"/>
        </w:rPr>
        <w:t xml:space="preserve">units. </w:t>
      </w:r>
      <w:r w:rsidR="005F1130">
        <w:rPr>
          <w:rFonts w:ascii="Times New Roman" w:hAnsi="Times New Roman" w:cs="Times New Roman"/>
          <w:sz w:val="24"/>
          <w:szCs w:val="24"/>
        </w:rPr>
        <w:t xml:space="preserve">They do not state when the drawings were made. They claim they could have built the villas and completed them in 2006 at US$50 000-00 per unit. They could not do so because of the unlawful occupation by the </w:t>
      </w:r>
      <w:r w:rsidR="00843C51">
        <w:rPr>
          <w:rFonts w:ascii="Times New Roman" w:hAnsi="Times New Roman" w:cs="Times New Roman"/>
          <w:sz w:val="24"/>
          <w:szCs w:val="24"/>
        </w:rPr>
        <w:t>defendants. As</w:t>
      </w:r>
      <w:r w:rsidR="005F1130">
        <w:rPr>
          <w:rFonts w:ascii="Times New Roman" w:hAnsi="Times New Roman" w:cs="Times New Roman"/>
          <w:sz w:val="24"/>
          <w:szCs w:val="24"/>
        </w:rPr>
        <w:t xml:space="preserve"> a result of the </w:t>
      </w:r>
      <w:r w:rsidR="00843C51">
        <w:rPr>
          <w:rFonts w:ascii="Times New Roman" w:hAnsi="Times New Roman" w:cs="Times New Roman"/>
          <w:sz w:val="24"/>
          <w:szCs w:val="24"/>
        </w:rPr>
        <w:t>defendants’ unlawful conduct each</w:t>
      </w:r>
      <w:r w:rsidR="005F1130">
        <w:rPr>
          <w:rFonts w:ascii="Times New Roman" w:hAnsi="Times New Roman" w:cs="Times New Roman"/>
          <w:sz w:val="24"/>
          <w:szCs w:val="24"/>
        </w:rPr>
        <w:t xml:space="preserve"> villa would cost US$184 000-00.We are not told which year this </w:t>
      </w:r>
      <w:r w:rsidR="00644601">
        <w:rPr>
          <w:rFonts w:ascii="Times New Roman" w:hAnsi="Times New Roman" w:cs="Times New Roman"/>
          <w:sz w:val="24"/>
          <w:szCs w:val="24"/>
        </w:rPr>
        <w:t>cost relates to. I set out the last paragraph which appears to be the summation of the defendants’ liability</w:t>
      </w:r>
    </w:p>
    <w:p w:rsidR="00644601" w:rsidRDefault="00644601" w:rsidP="00644601">
      <w:pPr>
        <w:spacing w:after="0" w:line="276" w:lineRule="auto"/>
        <w:ind w:left="720"/>
        <w:jc w:val="both"/>
        <w:rPr>
          <w:rFonts w:ascii="Times New Roman" w:hAnsi="Times New Roman" w:cs="Times New Roman"/>
        </w:rPr>
      </w:pPr>
      <w:r w:rsidRPr="00644601">
        <w:rPr>
          <w:rFonts w:ascii="Times New Roman" w:hAnsi="Times New Roman" w:cs="Times New Roman"/>
        </w:rPr>
        <w:t xml:space="preserve">“15.It is averred that the defendants are jointly and severally liable to the </w:t>
      </w:r>
      <w:r w:rsidR="005F4763">
        <w:rPr>
          <w:rFonts w:ascii="Times New Roman" w:hAnsi="Times New Roman" w:cs="Times New Roman"/>
        </w:rPr>
        <w:t>first</w:t>
      </w:r>
      <w:r w:rsidR="005F4763" w:rsidRPr="00644601">
        <w:rPr>
          <w:rFonts w:ascii="Times New Roman" w:hAnsi="Times New Roman" w:cs="Times New Roman"/>
        </w:rPr>
        <w:t>,</w:t>
      </w:r>
      <w:r w:rsidR="005F4763">
        <w:rPr>
          <w:rFonts w:ascii="Times New Roman" w:hAnsi="Times New Roman" w:cs="Times New Roman"/>
        </w:rPr>
        <w:t xml:space="preserve"> second</w:t>
      </w:r>
      <w:r w:rsidRPr="00644601">
        <w:rPr>
          <w:rFonts w:ascii="Times New Roman" w:hAnsi="Times New Roman" w:cs="Times New Roman"/>
        </w:rPr>
        <w:t xml:space="preserve"> and </w:t>
      </w:r>
      <w:r w:rsidR="00C966AA">
        <w:rPr>
          <w:rFonts w:ascii="Times New Roman" w:hAnsi="Times New Roman" w:cs="Times New Roman"/>
        </w:rPr>
        <w:t>third</w:t>
      </w:r>
      <w:r w:rsidRPr="00644601">
        <w:rPr>
          <w:rFonts w:ascii="Times New Roman" w:hAnsi="Times New Roman" w:cs="Times New Roman"/>
        </w:rPr>
        <w:t xml:space="preserve"> plaintiffs for the damages that they would suffer to put up 3 villas with respect to stand 553 Quinnington Township of Borrowdale Estate because of (sic) they failed to construct the villas in 2002 due to the unlawful occupation of the property by the defendants”</w:t>
      </w:r>
    </w:p>
    <w:p w:rsidR="00C93F2E" w:rsidRDefault="00C93F2E" w:rsidP="00644601">
      <w:pPr>
        <w:spacing w:after="0" w:line="276" w:lineRule="auto"/>
        <w:ind w:left="720"/>
        <w:jc w:val="both"/>
        <w:rPr>
          <w:rFonts w:ascii="Times New Roman" w:hAnsi="Times New Roman" w:cs="Times New Roman"/>
        </w:rPr>
      </w:pPr>
    </w:p>
    <w:p w:rsidR="00843C51" w:rsidRDefault="00644601" w:rsidP="00C93F2E">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From that summary the plaintiffs would have no cause of action in 2002 against the </w:t>
      </w:r>
      <w:r w:rsidR="00AE2948">
        <w:rPr>
          <w:rFonts w:ascii="Times New Roman" w:hAnsi="Times New Roman" w:cs="Times New Roman"/>
          <w:sz w:val="24"/>
          <w:szCs w:val="24"/>
        </w:rPr>
        <w:t>second</w:t>
      </w:r>
      <w:r w:rsidR="00843C51">
        <w:rPr>
          <w:rFonts w:ascii="Times New Roman" w:hAnsi="Times New Roman" w:cs="Times New Roman"/>
          <w:sz w:val="24"/>
          <w:szCs w:val="24"/>
        </w:rPr>
        <w:t xml:space="preserve"> defendant.</w:t>
      </w:r>
      <w:r>
        <w:rPr>
          <w:rFonts w:ascii="Times New Roman" w:hAnsi="Times New Roman" w:cs="Times New Roman"/>
          <w:sz w:val="24"/>
          <w:szCs w:val="24"/>
        </w:rPr>
        <w:t xml:space="preserve"> According to the</w:t>
      </w:r>
      <w:r w:rsidR="00843C51">
        <w:rPr>
          <w:rFonts w:ascii="Times New Roman" w:hAnsi="Times New Roman" w:cs="Times New Roman"/>
          <w:sz w:val="24"/>
          <w:szCs w:val="24"/>
        </w:rPr>
        <w:t xml:space="preserve"> declaration</w:t>
      </w:r>
      <w:r>
        <w:rPr>
          <w:rFonts w:ascii="Times New Roman" w:hAnsi="Times New Roman" w:cs="Times New Roman"/>
          <w:sz w:val="24"/>
          <w:szCs w:val="24"/>
        </w:rPr>
        <w:t xml:space="preserve"> the property was donated to them in 2003.</w:t>
      </w:r>
      <w:r w:rsidR="00843C51">
        <w:rPr>
          <w:rFonts w:ascii="Times New Roman" w:hAnsi="Times New Roman" w:cs="Times New Roman"/>
          <w:sz w:val="24"/>
          <w:szCs w:val="24"/>
        </w:rPr>
        <w:t xml:space="preserve"> It therefore follows that in 2002 they were not the owners of the property .</w:t>
      </w:r>
      <w:r w:rsidR="00843C51" w:rsidRPr="00843C51">
        <w:rPr>
          <w:rFonts w:ascii="Times New Roman" w:hAnsi="Times New Roman" w:cs="Times New Roman"/>
          <w:sz w:val="24"/>
          <w:szCs w:val="24"/>
        </w:rPr>
        <w:t>They had no rights</w:t>
      </w:r>
      <w:r w:rsidR="00C93F2E">
        <w:rPr>
          <w:rFonts w:ascii="Times New Roman" w:hAnsi="Times New Roman" w:cs="Times New Roman"/>
          <w:sz w:val="24"/>
          <w:szCs w:val="24"/>
        </w:rPr>
        <w:t xml:space="preserve"> and interest </w:t>
      </w:r>
      <w:r w:rsidR="00C93F2E" w:rsidRPr="00843C51">
        <w:rPr>
          <w:rFonts w:ascii="Times New Roman" w:hAnsi="Times New Roman" w:cs="Times New Roman"/>
          <w:sz w:val="24"/>
          <w:szCs w:val="24"/>
        </w:rPr>
        <w:t>to</w:t>
      </w:r>
      <w:r w:rsidR="00843C51" w:rsidRPr="00843C51">
        <w:rPr>
          <w:rFonts w:ascii="Times New Roman" w:hAnsi="Times New Roman" w:cs="Times New Roman"/>
          <w:sz w:val="24"/>
          <w:szCs w:val="24"/>
        </w:rPr>
        <w:t xml:space="preserve"> protect</w:t>
      </w:r>
      <w:r w:rsidR="00C93F2E">
        <w:rPr>
          <w:rFonts w:ascii="Times New Roman" w:hAnsi="Times New Roman" w:cs="Times New Roman"/>
          <w:sz w:val="24"/>
          <w:szCs w:val="24"/>
        </w:rPr>
        <w:t xml:space="preserve"> in the property</w:t>
      </w:r>
      <w:r w:rsidR="00843C51" w:rsidRPr="00843C51">
        <w:rPr>
          <w:rFonts w:ascii="Times New Roman" w:hAnsi="Times New Roman" w:cs="Times New Roman"/>
          <w:b/>
          <w:sz w:val="24"/>
          <w:szCs w:val="24"/>
        </w:rPr>
        <w:t>.</w:t>
      </w:r>
    </w:p>
    <w:p w:rsidR="00C93F2E" w:rsidRDefault="00C93F2E" w:rsidP="00C93F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if that was not enough, the plaintiffs also throw in another spanner i</w:t>
      </w:r>
      <w:r w:rsidR="00766712">
        <w:rPr>
          <w:rFonts w:ascii="Times New Roman" w:hAnsi="Times New Roman" w:cs="Times New Roman"/>
          <w:sz w:val="24"/>
          <w:szCs w:val="24"/>
        </w:rPr>
        <w:t>n paragraph 13 of the declaration</w:t>
      </w:r>
      <w:r>
        <w:rPr>
          <w:rFonts w:ascii="Times New Roman" w:hAnsi="Times New Roman" w:cs="Times New Roman"/>
          <w:sz w:val="24"/>
          <w:szCs w:val="24"/>
        </w:rPr>
        <w:t xml:space="preserve"> that</w:t>
      </w:r>
      <w:r w:rsidR="00766712">
        <w:rPr>
          <w:rFonts w:ascii="Times New Roman" w:hAnsi="Times New Roman" w:cs="Times New Roman"/>
          <w:sz w:val="24"/>
          <w:szCs w:val="24"/>
        </w:rPr>
        <w:t xml:space="preserve"> ‘If the construction had been done and had been completed by December 2006, each villa could have costed about US $50 000-</w:t>
      </w:r>
      <w:r w:rsidR="00843C51">
        <w:rPr>
          <w:rFonts w:ascii="Times New Roman" w:hAnsi="Times New Roman" w:cs="Times New Roman"/>
          <w:sz w:val="24"/>
          <w:szCs w:val="24"/>
        </w:rPr>
        <w:t>00.However, because</w:t>
      </w:r>
      <w:r w:rsidR="00766712">
        <w:rPr>
          <w:rFonts w:ascii="Times New Roman" w:hAnsi="Times New Roman" w:cs="Times New Roman"/>
          <w:sz w:val="24"/>
          <w:szCs w:val="24"/>
        </w:rPr>
        <w:t xml:space="preserve"> of the unlawful action by the </w:t>
      </w:r>
      <w:r w:rsidR="00843C51">
        <w:rPr>
          <w:rFonts w:ascii="Times New Roman" w:hAnsi="Times New Roman" w:cs="Times New Roman"/>
          <w:sz w:val="24"/>
          <w:szCs w:val="24"/>
        </w:rPr>
        <w:t>defendants, the</w:t>
      </w:r>
      <w:r w:rsidR="00766712">
        <w:rPr>
          <w:rFonts w:ascii="Times New Roman" w:hAnsi="Times New Roman" w:cs="Times New Roman"/>
          <w:sz w:val="24"/>
          <w:szCs w:val="24"/>
        </w:rPr>
        <w:t xml:space="preserve"> </w:t>
      </w:r>
      <w:r w:rsidR="00C966AA">
        <w:rPr>
          <w:rFonts w:ascii="Times New Roman" w:hAnsi="Times New Roman" w:cs="Times New Roman"/>
          <w:sz w:val="24"/>
          <w:szCs w:val="24"/>
        </w:rPr>
        <w:t>first</w:t>
      </w:r>
      <w:r w:rsidR="00843C51">
        <w:rPr>
          <w:rFonts w:ascii="Times New Roman" w:hAnsi="Times New Roman" w:cs="Times New Roman"/>
          <w:sz w:val="24"/>
          <w:szCs w:val="24"/>
        </w:rPr>
        <w:t xml:space="preserve">, </w:t>
      </w:r>
      <w:r w:rsidR="00AE2948">
        <w:rPr>
          <w:rFonts w:ascii="Times New Roman" w:hAnsi="Times New Roman" w:cs="Times New Roman"/>
          <w:sz w:val="24"/>
          <w:szCs w:val="24"/>
        </w:rPr>
        <w:t>second</w:t>
      </w:r>
      <w:r w:rsidR="00766712">
        <w:rPr>
          <w:rFonts w:ascii="Times New Roman" w:hAnsi="Times New Roman" w:cs="Times New Roman"/>
          <w:sz w:val="24"/>
          <w:szCs w:val="24"/>
        </w:rPr>
        <w:t xml:space="preserve"> and </w:t>
      </w:r>
      <w:r w:rsidR="00C966AA">
        <w:rPr>
          <w:rFonts w:ascii="Times New Roman" w:hAnsi="Times New Roman" w:cs="Times New Roman"/>
          <w:sz w:val="24"/>
          <w:szCs w:val="24"/>
        </w:rPr>
        <w:t>third</w:t>
      </w:r>
      <w:r w:rsidR="00766712">
        <w:rPr>
          <w:rFonts w:ascii="Times New Roman" w:hAnsi="Times New Roman" w:cs="Times New Roman"/>
          <w:sz w:val="24"/>
          <w:szCs w:val="24"/>
        </w:rPr>
        <w:t xml:space="preserve"> </w:t>
      </w:r>
      <w:r w:rsidR="00843C51">
        <w:rPr>
          <w:rFonts w:ascii="Times New Roman" w:hAnsi="Times New Roman" w:cs="Times New Roman"/>
          <w:sz w:val="24"/>
          <w:szCs w:val="24"/>
        </w:rPr>
        <w:t>plaintiffs would</w:t>
      </w:r>
      <w:r w:rsidR="00766712">
        <w:rPr>
          <w:rFonts w:ascii="Times New Roman" w:hAnsi="Times New Roman" w:cs="Times New Roman"/>
          <w:sz w:val="24"/>
          <w:szCs w:val="24"/>
        </w:rPr>
        <w:t xml:space="preserve"> construct the same villa</w:t>
      </w:r>
      <w:r w:rsidR="00945BEA">
        <w:rPr>
          <w:rFonts w:ascii="Times New Roman" w:hAnsi="Times New Roman" w:cs="Times New Roman"/>
          <w:sz w:val="24"/>
          <w:szCs w:val="24"/>
        </w:rPr>
        <w:t xml:space="preserve"> at about US$184 000-00’.</w:t>
      </w:r>
      <w:r w:rsidR="00843C51">
        <w:rPr>
          <w:rFonts w:ascii="Times New Roman" w:hAnsi="Times New Roman" w:cs="Times New Roman"/>
          <w:sz w:val="24"/>
          <w:szCs w:val="24"/>
        </w:rPr>
        <w:t xml:space="preserve"> Going by this averment the plaintiff’</w:t>
      </w:r>
      <w:r w:rsidR="0030295F">
        <w:rPr>
          <w:rFonts w:ascii="Times New Roman" w:hAnsi="Times New Roman" w:cs="Times New Roman"/>
          <w:sz w:val="24"/>
          <w:szCs w:val="24"/>
        </w:rPr>
        <w:t>s case is still</w:t>
      </w:r>
      <w:r w:rsidR="00843C51">
        <w:rPr>
          <w:rFonts w:ascii="Times New Roman" w:hAnsi="Times New Roman" w:cs="Times New Roman"/>
          <w:sz w:val="24"/>
          <w:szCs w:val="24"/>
        </w:rPr>
        <w:t xml:space="preserve"> without a cause. </w:t>
      </w:r>
      <w:r w:rsidR="00945BEA">
        <w:rPr>
          <w:rFonts w:ascii="Times New Roman" w:hAnsi="Times New Roman" w:cs="Times New Roman"/>
          <w:sz w:val="24"/>
          <w:szCs w:val="24"/>
        </w:rPr>
        <w:t xml:space="preserve">By 2006 the </w:t>
      </w:r>
      <w:r w:rsidR="00AE2948">
        <w:rPr>
          <w:rFonts w:ascii="Times New Roman" w:hAnsi="Times New Roman" w:cs="Times New Roman"/>
          <w:sz w:val="24"/>
          <w:szCs w:val="24"/>
        </w:rPr>
        <w:t>second</w:t>
      </w:r>
      <w:r w:rsidR="00945BEA">
        <w:rPr>
          <w:rFonts w:ascii="Times New Roman" w:hAnsi="Times New Roman" w:cs="Times New Roman"/>
          <w:sz w:val="24"/>
          <w:szCs w:val="24"/>
        </w:rPr>
        <w:t xml:space="preserve"> defendant had not purchased the property. By then the late Dzingai was still alive. Although it is unclear from the declaration when the </w:t>
      </w:r>
      <w:r w:rsidR="00AE2948">
        <w:rPr>
          <w:rFonts w:ascii="Times New Roman" w:hAnsi="Times New Roman" w:cs="Times New Roman"/>
          <w:sz w:val="24"/>
          <w:szCs w:val="24"/>
        </w:rPr>
        <w:t>second</w:t>
      </w:r>
      <w:r w:rsidR="000966A7">
        <w:rPr>
          <w:rFonts w:ascii="Times New Roman" w:hAnsi="Times New Roman" w:cs="Times New Roman"/>
          <w:sz w:val="24"/>
          <w:szCs w:val="24"/>
        </w:rPr>
        <w:t xml:space="preserve"> defendant took transfer the </w:t>
      </w:r>
      <w:r w:rsidR="000966A7">
        <w:rPr>
          <w:rFonts w:ascii="Times New Roman" w:hAnsi="Times New Roman" w:cs="Times New Roman"/>
          <w:sz w:val="24"/>
          <w:szCs w:val="24"/>
        </w:rPr>
        <w:lastRenderedPageBreak/>
        <w:t xml:space="preserve">facts point to the reasonable conclusion that he took transfer after 2007 after Dzingai’s death. The </w:t>
      </w:r>
      <w:r w:rsidR="00C966AA">
        <w:rPr>
          <w:rFonts w:ascii="Times New Roman" w:hAnsi="Times New Roman" w:cs="Times New Roman"/>
          <w:sz w:val="24"/>
          <w:szCs w:val="24"/>
        </w:rPr>
        <w:t>first</w:t>
      </w:r>
      <w:r w:rsidR="000966A7">
        <w:rPr>
          <w:rFonts w:ascii="Times New Roman" w:hAnsi="Times New Roman" w:cs="Times New Roman"/>
          <w:sz w:val="24"/>
          <w:szCs w:val="24"/>
        </w:rPr>
        <w:t xml:space="preserve"> defendant sold the property to the </w:t>
      </w:r>
      <w:r w:rsidR="00AE2948">
        <w:rPr>
          <w:rFonts w:ascii="Times New Roman" w:hAnsi="Times New Roman" w:cs="Times New Roman"/>
          <w:sz w:val="24"/>
          <w:szCs w:val="24"/>
        </w:rPr>
        <w:t>second</w:t>
      </w:r>
      <w:r w:rsidR="000966A7">
        <w:rPr>
          <w:rFonts w:ascii="Times New Roman" w:hAnsi="Times New Roman" w:cs="Times New Roman"/>
          <w:sz w:val="24"/>
          <w:szCs w:val="24"/>
        </w:rPr>
        <w:t xml:space="preserve"> defendant in her capacity as the executrix dative. If by 2006 the </w:t>
      </w:r>
      <w:r w:rsidR="00AE2948">
        <w:rPr>
          <w:rFonts w:ascii="Times New Roman" w:hAnsi="Times New Roman" w:cs="Times New Roman"/>
          <w:sz w:val="24"/>
          <w:szCs w:val="24"/>
        </w:rPr>
        <w:t>second</w:t>
      </w:r>
      <w:r w:rsidR="000966A7">
        <w:rPr>
          <w:rFonts w:ascii="Times New Roman" w:hAnsi="Times New Roman" w:cs="Times New Roman"/>
          <w:sz w:val="24"/>
          <w:szCs w:val="24"/>
        </w:rPr>
        <w:t xml:space="preserve"> defendant had not acquired title to the property, there can be no way he could be liable to the plaintiff’s inability to build the villas as set out.</w:t>
      </w:r>
    </w:p>
    <w:p w:rsidR="0030295F" w:rsidRDefault="000966A7" w:rsidP="00C93F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causal link between any conduct by the </w:t>
      </w:r>
      <w:r w:rsidR="00AE2948">
        <w:rPr>
          <w:rFonts w:ascii="Times New Roman" w:hAnsi="Times New Roman" w:cs="Times New Roman"/>
          <w:sz w:val="24"/>
          <w:szCs w:val="24"/>
        </w:rPr>
        <w:t>second</w:t>
      </w:r>
      <w:r>
        <w:rPr>
          <w:rFonts w:ascii="Times New Roman" w:hAnsi="Times New Roman" w:cs="Times New Roman"/>
          <w:sz w:val="24"/>
          <w:szCs w:val="24"/>
        </w:rPr>
        <w:t xml:space="preserve"> defendant and the failure to build in 2006.</w:t>
      </w:r>
      <w:r w:rsidR="00561509">
        <w:rPr>
          <w:rFonts w:ascii="Times New Roman" w:hAnsi="Times New Roman" w:cs="Times New Roman"/>
          <w:sz w:val="24"/>
          <w:szCs w:val="24"/>
        </w:rPr>
        <w:t xml:space="preserve">The </w:t>
      </w:r>
      <w:r w:rsidR="00AE2948">
        <w:rPr>
          <w:rFonts w:ascii="Times New Roman" w:hAnsi="Times New Roman" w:cs="Times New Roman"/>
          <w:sz w:val="24"/>
          <w:szCs w:val="24"/>
        </w:rPr>
        <w:t>second</w:t>
      </w:r>
      <w:r w:rsidR="00561509">
        <w:rPr>
          <w:rFonts w:ascii="Times New Roman" w:hAnsi="Times New Roman" w:cs="Times New Roman"/>
          <w:sz w:val="24"/>
          <w:szCs w:val="24"/>
        </w:rPr>
        <w:t xml:space="preserve"> defendant was not yet part of the dispute in the </w:t>
      </w:r>
      <w:r w:rsidR="0030295F">
        <w:rPr>
          <w:rFonts w:ascii="Times New Roman" w:hAnsi="Times New Roman" w:cs="Times New Roman"/>
          <w:sz w:val="24"/>
          <w:szCs w:val="24"/>
        </w:rPr>
        <w:t>matter. In</w:t>
      </w:r>
      <w:r w:rsidR="00561509">
        <w:rPr>
          <w:rFonts w:ascii="Times New Roman" w:hAnsi="Times New Roman" w:cs="Times New Roman"/>
          <w:sz w:val="24"/>
          <w:szCs w:val="24"/>
        </w:rPr>
        <w:t xml:space="preserve"> my view the failure by the plaintiffs to build in 2006 has nothing to do with the </w:t>
      </w:r>
      <w:r w:rsidR="00AE2948">
        <w:rPr>
          <w:rFonts w:ascii="Times New Roman" w:hAnsi="Times New Roman" w:cs="Times New Roman"/>
          <w:sz w:val="24"/>
          <w:szCs w:val="24"/>
        </w:rPr>
        <w:t>second</w:t>
      </w:r>
      <w:r w:rsidR="00561509">
        <w:rPr>
          <w:rFonts w:ascii="Times New Roman" w:hAnsi="Times New Roman" w:cs="Times New Roman"/>
          <w:sz w:val="24"/>
          <w:szCs w:val="24"/>
        </w:rPr>
        <w:t xml:space="preserve"> defendant. To that extent the va</w:t>
      </w:r>
      <w:r w:rsidR="00C93F2E">
        <w:rPr>
          <w:rFonts w:ascii="Times New Roman" w:hAnsi="Times New Roman" w:cs="Times New Roman"/>
          <w:sz w:val="24"/>
          <w:szCs w:val="24"/>
        </w:rPr>
        <w:t>lue of US$50 000-00 being</w:t>
      </w:r>
      <w:r w:rsidR="0030295F">
        <w:rPr>
          <w:rFonts w:ascii="Times New Roman" w:hAnsi="Times New Roman" w:cs="Times New Roman"/>
          <w:sz w:val="24"/>
          <w:szCs w:val="24"/>
        </w:rPr>
        <w:t xml:space="preserve"> the</w:t>
      </w:r>
      <w:r w:rsidR="00561509">
        <w:rPr>
          <w:rFonts w:ascii="Times New Roman" w:hAnsi="Times New Roman" w:cs="Times New Roman"/>
          <w:sz w:val="24"/>
          <w:szCs w:val="24"/>
        </w:rPr>
        <w:t xml:space="preserve"> alleged cost of building one villa has nothing to do with the </w:t>
      </w:r>
      <w:r w:rsidR="00AE2948">
        <w:rPr>
          <w:rFonts w:ascii="Times New Roman" w:hAnsi="Times New Roman" w:cs="Times New Roman"/>
          <w:sz w:val="24"/>
          <w:szCs w:val="24"/>
        </w:rPr>
        <w:t>second</w:t>
      </w:r>
      <w:r w:rsidR="00561509">
        <w:rPr>
          <w:rFonts w:ascii="Times New Roman" w:hAnsi="Times New Roman" w:cs="Times New Roman"/>
          <w:sz w:val="24"/>
          <w:szCs w:val="24"/>
        </w:rPr>
        <w:t xml:space="preserve"> </w:t>
      </w:r>
      <w:r w:rsidR="0030295F">
        <w:rPr>
          <w:rFonts w:ascii="Times New Roman" w:hAnsi="Times New Roman" w:cs="Times New Roman"/>
          <w:sz w:val="24"/>
          <w:szCs w:val="24"/>
        </w:rPr>
        <w:t xml:space="preserve">defendant. There is no factual situation to show the nexus between the </w:t>
      </w:r>
      <w:r w:rsidR="00AE2948">
        <w:rPr>
          <w:rFonts w:ascii="Times New Roman" w:hAnsi="Times New Roman" w:cs="Times New Roman"/>
          <w:sz w:val="24"/>
          <w:szCs w:val="24"/>
        </w:rPr>
        <w:t>second</w:t>
      </w:r>
      <w:r w:rsidR="0030295F">
        <w:rPr>
          <w:rFonts w:ascii="Times New Roman" w:hAnsi="Times New Roman" w:cs="Times New Roman"/>
          <w:sz w:val="24"/>
          <w:szCs w:val="24"/>
        </w:rPr>
        <w:t xml:space="preserve"> defendant and the damages </w:t>
      </w:r>
      <w:r w:rsidR="002812C3">
        <w:rPr>
          <w:rFonts w:ascii="Times New Roman" w:hAnsi="Times New Roman" w:cs="Times New Roman"/>
          <w:sz w:val="24"/>
          <w:szCs w:val="24"/>
        </w:rPr>
        <w:t xml:space="preserve">claimed. </w:t>
      </w:r>
    </w:p>
    <w:p w:rsidR="002812C3" w:rsidRDefault="0030295F" w:rsidP="00C93F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claim falls under prospe</w:t>
      </w:r>
      <w:r w:rsidR="0082021A">
        <w:rPr>
          <w:rFonts w:ascii="Times New Roman" w:hAnsi="Times New Roman" w:cs="Times New Roman"/>
          <w:sz w:val="24"/>
          <w:szCs w:val="24"/>
        </w:rPr>
        <w:t>ctive damages. They are defined as a total or partial frustration of an expectation that a patrimonial asset will accrue. They involve the non-realisation</w:t>
      </w:r>
      <w:r w:rsidR="009C5D16">
        <w:rPr>
          <w:rFonts w:ascii="Times New Roman" w:hAnsi="Times New Roman" w:cs="Times New Roman"/>
          <w:sz w:val="24"/>
          <w:szCs w:val="24"/>
        </w:rPr>
        <w:t xml:space="preserve"> of</w:t>
      </w:r>
      <w:r w:rsidR="0082021A">
        <w:rPr>
          <w:rFonts w:ascii="Times New Roman" w:hAnsi="Times New Roman" w:cs="Times New Roman"/>
          <w:sz w:val="24"/>
          <w:szCs w:val="24"/>
        </w:rPr>
        <w:t xml:space="preserve"> futuristic profit or earnings including increased future expenses</w:t>
      </w:r>
      <w:r w:rsidR="0082021A">
        <w:rPr>
          <w:rStyle w:val="FootnoteReference"/>
          <w:rFonts w:ascii="Times New Roman" w:hAnsi="Times New Roman"/>
          <w:sz w:val="24"/>
          <w:szCs w:val="24"/>
        </w:rPr>
        <w:footnoteReference w:id="6"/>
      </w:r>
      <w:r w:rsidR="0082021A">
        <w:rPr>
          <w:rFonts w:ascii="Times New Roman" w:hAnsi="Times New Roman" w:cs="Times New Roman"/>
          <w:sz w:val="24"/>
          <w:szCs w:val="24"/>
        </w:rPr>
        <w:t xml:space="preserve">.The damage is relative to </w:t>
      </w:r>
      <w:r w:rsidR="00191BCF">
        <w:rPr>
          <w:rFonts w:ascii="Times New Roman" w:hAnsi="Times New Roman" w:cs="Times New Roman"/>
          <w:sz w:val="24"/>
          <w:szCs w:val="24"/>
        </w:rPr>
        <w:t>time. Time is of essence in a claim for such damages.</w:t>
      </w:r>
      <w:r w:rsidR="0082021A">
        <w:rPr>
          <w:rFonts w:ascii="Times New Roman" w:hAnsi="Times New Roman" w:cs="Times New Roman"/>
          <w:sz w:val="24"/>
          <w:szCs w:val="24"/>
        </w:rPr>
        <w:t xml:space="preserve"> In this case the time frame set out by the plaintiffs do not create any causa as against the </w:t>
      </w:r>
      <w:r w:rsidR="00AE2948">
        <w:rPr>
          <w:rFonts w:ascii="Times New Roman" w:hAnsi="Times New Roman" w:cs="Times New Roman"/>
          <w:sz w:val="24"/>
          <w:szCs w:val="24"/>
        </w:rPr>
        <w:t>second</w:t>
      </w:r>
      <w:r w:rsidR="0082021A">
        <w:rPr>
          <w:rFonts w:ascii="Times New Roman" w:hAnsi="Times New Roman" w:cs="Times New Roman"/>
          <w:sz w:val="24"/>
          <w:szCs w:val="24"/>
        </w:rPr>
        <w:t xml:space="preserve"> defendant.</w:t>
      </w:r>
      <w:r w:rsidR="00191BCF" w:rsidRPr="00191BCF">
        <w:rPr>
          <w:rFonts w:ascii="Times New Roman" w:hAnsi="Times New Roman" w:cs="Times New Roman"/>
          <w:sz w:val="24"/>
          <w:szCs w:val="24"/>
        </w:rPr>
        <w:t xml:space="preserve"> From the two dates provided by the plaintiff as t</w:t>
      </w:r>
      <w:r w:rsidR="006122B9">
        <w:rPr>
          <w:rFonts w:ascii="Times New Roman" w:hAnsi="Times New Roman" w:cs="Times New Roman"/>
          <w:sz w:val="24"/>
          <w:szCs w:val="24"/>
        </w:rPr>
        <w:t>he time they could have built</w:t>
      </w:r>
      <w:r w:rsidR="00191BCF" w:rsidRPr="00191BCF">
        <w:rPr>
          <w:rFonts w:ascii="Times New Roman" w:hAnsi="Times New Roman" w:cs="Times New Roman"/>
          <w:sz w:val="24"/>
          <w:szCs w:val="24"/>
        </w:rPr>
        <w:t xml:space="preserve"> the said villas</w:t>
      </w:r>
      <w:r w:rsidR="00191BCF">
        <w:rPr>
          <w:rFonts w:ascii="Times New Roman" w:hAnsi="Times New Roman" w:cs="Times New Roman"/>
          <w:sz w:val="24"/>
          <w:szCs w:val="24"/>
        </w:rPr>
        <w:t xml:space="preserve"> but for the unlawful conduct of the defendants,</w:t>
      </w:r>
      <w:r w:rsidR="00191BCF" w:rsidRPr="00191BCF">
        <w:rPr>
          <w:rFonts w:ascii="Times New Roman" w:hAnsi="Times New Roman" w:cs="Times New Roman"/>
          <w:sz w:val="24"/>
          <w:szCs w:val="24"/>
        </w:rPr>
        <w:t xml:space="preserve"> the </w:t>
      </w:r>
      <w:r w:rsidR="00AE2948">
        <w:rPr>
          <w:rFonts w:ascii="Times New Roman" w:hAnsi="Times New Roman" w:cs="Times New Roman"/>
          <w:sz w:val="24"/>
          <w:szCs w:val="24"/>
        </w:rPr>
        <w:t>second</w:t>
      </w:r>
      <w:r w:rsidR="00191BCF" w:rsidRPr="00191BCF">
        <w:rPr>
          <w:rFonts w:ascii="Times New Roman" w:hAnsi="Times New Roman" w:cs="Times New Roman"/>
          <w:sz w:val="24"/>
          <w:szCs w:val="24"/>
        </w:rPr>
        <w:t xml:space="preserve"> defendant had not entered into the fray.</w:t>
      </w:r>
      <w:r w:rsidR="00191BCF">
        <w:rPr>
          <w:rFonts w:ascii="Times New Roman" w:hAnsi="Times New Roman" w:cs="Times New Roman"/>
          <w:sz w:val="24"/>
          <w:szCs w:val="24"/>
        </w:rPr>
        <w:t xml:space="preserve"> In other words at that time the </w:t>
      </w:r>
      <w:r w:rsidR="00AE2948">
        <w:rPr>
          <w:rFonts w:ascii="Times New Roman" w:hAnsi="Times New Roman" w:cs="Times New Roman"/>
          <w:sz w:val="24"/>
          <w:szCs w:val="24"/>
        </w:rPr>
        <w:t>second</w:t>
      </w:r>
      <w:r w:rsidR="00191BCF">
        <w:rPr>
          <w:rFonts w:ascii="Times New Roman" w:hAnsi="Times New Roman" w:cs="Times New Roman"/>
          <w:sz w:val="24"/>
          <w:szCs w:val="24"/>
        </w:rPr>
        <w:t xml:space="preserve"> defendant had not done any wrongful conduct to disturb the plaintiffs from constructing their villas.</w:t>
      </w:r>
    </w:p>
    <w:p w:rsidR="00163A35" w:rsidRPr="00163A35" w:rsidRDefault="002812C3" w:rsidP="00C93F2E">
      <w:pPr>
        <w:spacing w:after="0" w:line="360" w:lineRule="auto"/>
        <w:ind w:firstLine="720"/>
        <w:jc w:val="both"/>
        <w:rPr>
          <w:rFonts w:ascii="Times New Roman" w:hAnsi="Times New Roman" w:cs="Times New Roman"/>
          <w:sz w:val="24"/>
          <w:szCs w:val="24"/>
          <w:u w:val="single"/>
        </w:rPr>
      </w:pPr>
      <w:r w:rsidRPr="002812C3">
        <w:rPr>
          <w:rFonts w:ascii="Times New Roman" w:hAnsi="Times New Roman" w:cs="Times New Roman"/>
          <w:sz w:val="24"/>
          <w:szCs w:val="24"/>
        </w:rPr>
        <w:t>I</w:t>
      </w:r>
      <w:r w:rsidR="00191BCF">
        <w:rPr>
          <w:rFonts w:ascii="Times New Roman" w:hAnsi="Times New Roman" w:cs="Times New Roman"/>
          <w:sz w:val="24"/>
          <w:szCs w:val="24"/>
        </w:rPr>
        <w:t>t is trite that the basis of a</w:t>
      </w:r>
      <w:r w:rsidRPr="002812C3">
        <w:rPr>
          <w:rFonts w:ascii="Times New Roman" w:hAnsi="Times New Roman" w:cs="Times New Roman"/>
          <w:sz w:val="24"/>
          <w:szCs w:val="24"/>
        </w:rPr>
        <w:t xml:space="preserve"> claim must be related to the effect. There must be a nexus between the cause of action and the relief sought. It does not appear so in this case. There </w:t>
      </w:r>
      <w:r>
        <w:rPr>
          <w:rFonts w:ascii="Times New Roman" w:hAnsi="Times New Roman" w:cs="Times New Roman"/>
          <w:sz w:val="24"/>
          <w:szCs w:val="24"/>
        </w:rPr>
        <w:t xml:space="preserve">is no causal connection between the </w:t>
      </w:r>
      <w:r w:rsidR="00AE2948">
        <w:rPr>
          <w:rFonts w:ascii="Times New Roman" w:hAnsi="Times New Roman" w:cs="Times New Roman"/>
          <w:sz w:val="24"/>
          <w:szCs w:val="24"/>
        </w:rPr>
        <w:t>second</w:t>
      </w:r>
      <w:r>
        <w:rPr>
          <w:rFonts w:ascii="Times New Roman" w:hAnsi="Times New Roman" w:cs="Times New Roman"/>
          <w:sz w:val="24"/>
          <w:szCs w:val="24"/>
        </w:rPr>
        <w:t xml:space="preserve"> defendant and the plaintiff’s claim. No cause of action can be plucked from the air and be sustainable.</w:t>
      </w:r>
      <w:r w:rsidR="005F1130">
        <w:rPr>
          <w:rFonts w:ascii="Times New Roman" w:hAnsi="Times New Roman" w:cs="Times New Roman"/>
          <w:sz w:val="24"/>
          <w:szCs w:val="24"/>
        </w:rPr>
        <w:t xml:space="preserve"> </w:t>
      </w:r>
    </w:p>
    <w:p w:rsidR="000B7976" w:rsidRPr="000B7976" w:rsidRDefault="000B7976" w:rsidP="00C93F2E">
      <w:pPr>
        <w:spacing w:after="0" w:line="360" w:lineRule="auto"/>
        <w:ind w:firstLine="720"/>
        <w:jc w:val="both"/>
        <w:rPr>
          <w:rFonts w:ascii="Times New Roman" w:hAnsi="Times New Roman" w:cs="Times New Roman"/>
          <w:sz w:val="24"/>
          <w:szCs w:val="24"/>
        </w:rPr>
      </w:pPr>
    </w:p>
    <w:p w:rsidR="000B7976" w:rsidRPr="006403F7" w:rsidRDefault="00D119B3" w:rsidP="00C93F2E">
      <w:pPr>
        <w:spacing w:after="0" w:line="360" w:lineRule="auto"/>
        <w:ind w:firstLine="720"/>
        <w:jc w:val="both"/>
        <w:rPr>
          <w:rFonts w:ascii="Times New Roman" w:hAnsi="Times New Roman" w:cs="Times New Roman"/>
          <w:sz w:val="24"/>
          <w:szCs w:val="24"/>
        </w:rPr>
      </w:pPr>
      <w:r w:rsidRPr="006403F7">
        <w:rPr>
          <w:rFonts w:ascii="Times New Roman" w:hAnsi="Times New Roman" w:cs="Times New Roman"/>
          <w:sz w:val="24"/>
          <w:szCs w:val="24"/>
        </w:rPr>
        <w:t>Disposition</w:t>
      </w:r>
    </w:p>
    <w:p w:rsidR="000B7976" w:rsidRPr="000B7976" w:rsidRDefault="000B7976" w:rsidP="000B7976">
      <w:pPr>
        <w:spacing w:after="0" w:line="360" w:lineRule="auto"/>
        <w:ind w:firstLine="720"/>
        <w:jc w:val="both"/>
        <w:rPr>
          <w:rFonts w:ascii="Times New Roman" w:hAnsi="Times New Roman" w:cs="Times New Roman"/>
          <w:sz w:val="24"/>
          <w:szCs w:val="24"/>
        </w:rPr>
      </w:pPr>
      <w:r w:rsidRPr="000B7976">
        <w:rPr>
          <w:rFonts w:ascii="Times New Roman" w:hAnsi="Times New Roman" w:cs="Times New Roman"/>
          <w:sz w:val="24"/>
          <w:szCs w:val="24"/>
        </w:rPr>
        <w:t>Consequently, it is ordered as follows:</w:t>
      </w:r>
    </w:p>
    <w:p w:rsidR="000B7976" w:rsidRPr="000B7976" w:rsidRDefault="000B7976" w:rsidP="000B7976">
      <w:pPr>
        <w:numPr>
          <w:ilvl w:val="0"/>
          <w:numId w:val="8"/>
        </w:numPr>
        <w:spacing w:after="0" w:line="360" w:lineRule="auto"/>
        <w:jc w:val="both"/>
        <w:rPr>
          <w:rFonts w:ascii="Times New Roman" w:hAnsi="Times New Roman" w:cs="Times New Roman"/>
          <w:sz w:val="24"/>
          <w:szCs w:val="24"/>
        </w:rPr>
      </w:pPr>
      <w:r w:rsidRPr="000B7976">
        <w:rPr>
          <w:rFonts w:ascii="Times New Roman" w:hAnsi="Times New Roman" w:cs="Times New Roman"/>
          <w:sz w:val="24"/>
          <w:szCs w:val="24"/>
        </w:rPr>
        <w:t>The exception to the summons is upheld.</w:t>
      </w:r>
    </w:p>
    <w:p w:rsidR="000B7976" w:rsidRPr="000B7976" w:rsidRDefault="000B7976" w:rsidP="000B7976">
      <w:pPr>
        <w:numPr>
          <w:ilvl w:val="0"/>
          <w:numId w:val="8"/>
        </w:numPr>
        <w:spacing w:after="0" w:line="360" w:lineRule="auto"/>
        <w:jc w:val="both"/>
        <w:rPr>
          <w:rFonts w:ascii="Times New Roman" w:hAnsi="Times New Roman" w:cs="Times New Roman"/>
          <w:sz w:val="24"/>
          <w:szCs w:val="24"/>
        </w:rPr>
      </w:pPr>
      <w:r w:rsidRPr="000B7976">
        <w:rPr>
          <w:rFonts w:ascii="Times New Roman" w:hAnsi="Times New Roman" w:cs="Times New Roman"/>
          <w:sz w:val="24"/>
          <w:szCs w:val="24"/>
        </w:rPr>
        <w:t>The plaintiff shall pay costs of the exception.</w:t>
      </w:r>
    </w:p>
    <w:p w:rsidR="00113EE1" w:rsidRDefault="00113EE1" w:rsidP="00113EE1">
      <w:pPr>
        <w:spacing w:after="0" w:line="360" w:lineRule="auto"/>
        <w:ind w:firstLine="720"/>
        <w:jc w:val="both"/>
        <w:rPr>
          <w:rFonts w:ascii="Times New Roman" w:hAnsi="Times New Roman" w:cs="Times New Roman"/>
          <w:sz w:val="24"/>
          <w:szCs w:val="24"/>
        </w:rPr>
      </w:pPr>
    </w:p>
    <w:p w:rsidR="000B7976" w:rsidRDefault="000B7976" w:rsidP="00113EE1">
      <w:pPr>
        <w:spacing w:after="0" w:line="360" w:lineRule="auto"/>
        <w:ind w:firstLine="720"/>
        <w:jc w:val="both"/>
        <w:rPr>
          <w:rFonts w:ascii="Times New Roman" w:hAnsi="Times New Roman" w:cs="Times New Roman"/>
          <w:sz w:val="24"/>
          <w:szCs w:val="24"/>
        </w:rPr>
      </w:pPr>
    </w:p>
    <w:p w:rsidR="009454F9" w:rsidRDefault="009454F9" w:rsidP="00113EE1">
      <w:pPr>
        <w:spacing w:after="0" w:line="360" w:lineRule="auto"/>
        <w:ind w:firstLine="720"/>
        <w:jc w:val="both"/>
        <w:rPr>
          <w:rFonts w:ascii="Times New Roman" w:hAnsi="Times New Roman" w:cs="Times New Roman"/>
          <w:sz w:val="24"/>
          <w:szCs w:val="24"/>
        </w:rPr>
      </w:pPr>
    </w:p>
    <w:p w:rsidR="00113EE1" w:rsidRDefault="00113EE1" w:rsidP="00CF7B76">
      <w:pPr>
        <w:spacing w:after="0" w:line="360" w:lineRule="auto"/>
        <w:ind w:firstLine="720"/>
        <w:jc w:val="both"/>
        <w:rPr>
          <w:rFonts w:ascii="Times New Roman" w:hAnsi="Times New Roman" w:cs="Times New Roman"/>
          <w:sz w:val="24"/>
          <w:szCs w:val="24"/>
        </w:rPr>
      </w:pPr>
    </w:p>
    <w:p w:rsidR="00113EE1" w:rsidRDefault="006403F7" w:rsidP="00E635C1">
      <w:pPr>
        <w:spacing w:after="0" w:line="240" w:lineRule="auto"/>
        <w:ind w:firstLine="720"/>
        <w:jc w:val="both"/>
        <w:rPr>
          <w:rFonts w:ascii="Times New Roman" w:hAnsi="Times New Roman" w:cs="Times New Roman"/>
          <w:sz w:val="24"/>
          <w:szCs w:val="24"/>
        </w:rPr>
      </w:pPr>
      <w:r w:rsidRPr="006403F7">
        <w:rPr>
          <w:rFonts w:ascii="Times New Roman" w:hAnsi="Times New Roman" w:cs="Times New Roman"/>
          <w:i/>
          <w:sz w:val="24"/>
          <w:szCs w:val="24"/>
        </w:rPr>
        <w:t>Madanhi,Mugadza and Co Attorneys</w:t>
      </w:r>
      <w:r>
        <w:rPr>
          <w:rFonts w:ascii="Times New Roman" w:hAnsi="Times New Roman" w:cs="Times New Roman"/>
          <w:sz w:val="24"/>
          <w:szCs w:val="24"/>
        </w:rPr>
        <w:t>, plaintiff’s legal practitioners.</w:t>
      </w:r>
    </w:p>
    <w:p w:rsidR="006403F7" w:rsidRDefault="006403F7" w:rsidP="00E635C1">
      <w:pPr>
        <w:spacing w:after="0" w:line="240" w:lineRule="auto"/>
        <w:ind w:firstLine="720"/>
        <w:jc w:val="both"/>
        <w:rPr>
          <w:rFonts w:ascii="Times New Roman" w:hAnsi="Times New Roman" w:cs="Times New Roman"/>
          <w:sz w:val="24"/>
          <w:szCs w:val="24"/>
        </w:rPr>
      </w:pPr>
      <w:r w:rsidRPr="006403F7">
        <w:rPr>
          <w:rFonts w:ascii="Times New Roman" w:hAnsi="Times New Roman" w:cs="Times New Roman"/>
          <w:i/>
          <w:sz w:val="24"/>
          <w:szCs w:val="24"/>
        </w:rPr>
        <w:t>Rubaya and Chatambudza</w:t>
      </w:r>
      <w:r>
        <w:rPr>
          <w:rFonts w:ascii="Times New Roman" w:hAnsi="Times New Roman" w:cs="Times New Roman"/>
          <w:sz w:val="24"/>
          <w:szCs w:val="24"/>
        </w:rPr>
        <w:t xml:space="preserve">, </w:t>
      </w:r>
      <w:r w:rsidR="00AE2948">
        <w:rPr>
          <w:rFonts w:ascii="Times New Roman" w:hAnsi="Times New Roman" w:cs="Times New Roman"/>
          <w:sz w:val="24"/>
          <w:szCs w:val="24"/>
        </w:rPr>
        <w:t>second</w:t>
      </w:r>
      <w:r>
        <w:rPr>
          <w:rFonts w:ascii="Times New Roman" w:hAnsi="Times New Roman" w:cs="Times New Roman"/>
          <w:sz w:val="24"/>
          <w:szCs w:val="24"/>
        </w:rPr>
        <w:t xml:space="preserve"> defendant’s legal practitioners.</w:t>
      </w:r>
    </w:p>
    <w:p w:rsidR="006403F7" w:rsidRDefault="006403F7" w:rsidP="00CF7B76">
      <w:pPr>
        <w:spacing w:after="0" w:line="360" w:lineRule="auto"/>
        <w:ind w:firstLine="720"/>
        <w:jc w:val="both"/>
        <w:rPr>
          <w:rFonts w:ascii="Times New Roman" w:hAnsi="Times New Roman" w:cs="Times New Roman"/>
          <w:sz w:val="24"/>
          <w:szCs w:val="24"/>
        </w:rPr>
      </w:pPr>
    </w:p>
    <w:sectPr w:rsidR="006403F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347" w:rsidRDefault="00B71347" w:rsidP="000B7976">
      <w:pPr>
        <w:spacing w:after="0" w:line="240" w:lineRule="auto"/>
      </w:pPr>
      <w:r>
        <w:separator/>
      </w:r>
    </w:p>
  </w:endnote>
  <w:endnote w:type="continuationSeparator" w:id="0">
    <w:p w:rsidR="00B71347" w:rsidRDefault="00B71347" w:rsidP="000B7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948" w:rsidRDefault="00AE2948">
    <w:pPr>
      <w:pStyle w:val="Footer"/>
      <w:jc w:val="right"/>
    </w:pPr>
  </w:p>
  <w:p w:rsidR="00AE2948" w:rsidRDefault="00AE29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347" w:rsidRDefault="00B71347" w:rsidP="000B7976">
      <w:pPr>
        <w:spacing w:after="0" w:line="240" w:lineRule="auto"/>
      </w:pPr>
      <w:r>
        <w:separator/>
      </w:r>
    </w:p>
  </w:footnote>
  <w:footnote w:type="continuationSeparator" w:id="0">
    <w:p w:rsidR="00B71347" w:rsidRDefault="00B71347" w:rsidP="000B7976">
      <w:pPr>
        <w:spacing w:after="0" w:line="240" w:lineRule="auto"/>
      </w:pPr>
      <w:r>
        <w:continuationSeparator/>
      </w:r>
    </w:p>
  </w:footnote>
  <w:footnote w:id="1">
    <w:p w:rsidR="002D3945" w:rsidRPr="002D3945" w:rsidRDefault="002D3945">
      <w:pPr>
        <w:pStyle w:val="FootnoteText"/>
        <w:rPr>
          <w:lang w:val="en-US"/>
        </w:rPr>
      </w:pPr>
      <w:r>
        <w:rPr>
          <w:rStyle w:val="FootnoteReference"/>
        </w:rPr>
        <w:footnoteRef/>
      </w:r>
      <w:r>
        <w:t xml:space="preserve"> </w:t>
      </w:r>
      <w:r>
        <w:rPr>
          <w:lang w:val="en-US"/>
        </w:rPr>
        <w:t>2018 (1) ZLR 33(S)</w:t>
      </w:r>
    </w:p>
  </w:footnote>
  <w:footnote w:id="2">
    <w:p w:rsidR="00DF0326" w:rsidRPr="00DF0326" w:rsidRDefault="00DF0326">
      <w:pPr>
        <w:pStyle w:val="FootnoteText"/>
        <w:rPr>
          <w:lang w:val="en-US"/>
        </w:rPr>
      </w:pPr>
      <w:r>
        <w:rPr>
          <w:rStyle w:val="FootnoteReference"/>
        </w:rPr>
        <w:footnoteRef/>
      </w:r>
      <w:r>
        <w:t xml:space="preserve"> </w:t>
      </w:r>
      <w:r>
        <w:rPr>
          <w:lang w:val="en-US"/>
        </w:rPr>
        <w:t>1987 (2)ZLR 111(S)</w:t>
      </w:r>
    </w:p>
  </w:footnote>
  <w:footnote w:id="3">
    <w:p w:rsidR="00B95203" w:rsidRPr="007D7738" w:rsidRDefault="00B95203" w:rsidP="00B95203">
      <w:pPr>
        <w:spacing w:after="0" w:line="240" w:lineRule="auto"/>
        <w:jc w:val="both"/>
        <w:rPr>
          <w:rFonts w:cs="Arial"/>
          <w:sz w:val="20"/>
          <w:szCs w:val="20"/>
        </w:rPr>
      </w:pPr>
      <w:r w:rsidRPr="007D7738">
        <w:rPr>
          <w:rStyle w:val="FootnoteReference"/>
          <w:rFonts w:cs="Arial"/>
          <w:sz w:val="20"/>
          <w:szCs w:val="20"/>
        </w:rPr>
        <w:footnoteRef/>
      </w:r>
      <w:r w:rsidRPr="007D7738">
        <w:rPr>
          <w:rFonts w:cs="Arial"/>
          <w:sz w:val="20"/>
          <w:szCs w:val="20"/>
        </w:rPr>
        <w:t xml:space="preserve"> See </w:t>
      </w:r>
      <w:r w:rsidRPr="007D7738">
        <w:rPr>
          <w:rFonts w:cs="Arial"/>
          <w:i/>
          <w:sz w:val="20"/>
          <w:szCs w:val="20"/>
        </w:rPr>
        <w:t xml:space="preserve">Peebles </w:t>
      </w:r>
      <w:r w:rsidRPr="007D7738">
        <w:rPr>
          <w:rFonts w:cs="Arial"/>
          <w:sz w:val="20"/>
          <w:szCs w:val="20"/>
        </w:rPr>
        <w:t>v</w:t>
      </w:r>
      <w:r w:rsidRPr="007D7738">
        <w:rPr>
          <w:rFonts w:cs="Arial"/>
          <w:i/>
          <w:sz w:val="20"/>
          <w:szCs w:val="20"/>
        </w:rPr>
        <w:t xml:space="preserve"> Dairibord Zimbabwe (Private) Limited </w:t>
      </w:r>
      <w:r>
        <w:rPr>
          <w:rFonts w:cs="Arial"/>
          <w:sz w:val="20"/>
          <w:szCs w:val="20"/>
        </w:rPr>
        <w:t>1999 (1) ZLR 41(H),Evins v Shield Insurance Co Ltd 1980 (2) SA 814</w:t>
      </w:r>
      <w:r w:rsidRPr="007D7738">
        <w:rPr>
          <w:rFonts w:cs="Arial"/>
          <w:sz w:val="20"/>
          <w:szCs w:val="20"/>
        </w:rPr>
        <w:t xml:space="preserve"> </w:t>
      </w:r>
    </w:p>
  </w:footnote>
  <w:footnote w:id="4">
    <w:p w:rsidR="00060C05" w:rsidRPr="00060C05" w:rsidRDefault="00060C05">
      <w:pPr>
        <w:pStyle w:val="FootnoteText"/>
        <w:rPr>
          <w:lang w:val="en-US"/>
        </w:rPr>
      </w:pPr>
      <w:r>
        <w:rPr>
          <w:rStyle w:val="FootnoteReference"/>
        </w:rPr>
        <w:footnoteRef/>
      </w:r>
      <w:r>
        <w:t xml:space="preserve"> </w:t>
      </w:r>
      <w:r>
        <w:rPr>
          <w:lang w:val="en-US"/>
        </w:rPr>
        <w:t>HH 16/08</w:t>
      </w:r>
    </w:p>
  </w:footnote>
  <w:footnote w:id="5">
    <w:p w:rsidR="00561509" w:rsidRDefault="00561509">
      <w:pPr>
        <w:pStyle w:val="FootnoteText"/>
      </w:pPr>
      <w:r>
        <w:rPr>
          <w:rStyle w:val="FootnoteReference"/>
        </w:rPr>
        <w:footnoteRef/>
      </w:r>
      <w:r>
        <w:t xml:space="preserve"> Visser and Potgieter’s Law of Damages,2</w:t>
      </w:r>
      <w:r w:rsidRPr="00561509">
        <w:rPr>
          <w:vertAlign w:val="superscript"/>
        </w:rPr>
        <w:t>nd</w:t>
      </w:r>
      <w:r>
        <w:t xml:space="preserve"> Ed,2003</w:t>
      </w:r>
    </w:p>
  </w:footnote>
  <w:footnote w:id="6">
    <w:p w:rsidR="0082021A" w:rsidRDefault="0082021A">
      <w:pPr>
        <w:pStyle w:val="FootnoteText"/>
      </w:pPr>
      <w:r>
        <w:rPr>
          <w:rStyle w:val="FootnoteReference"/>
        </w:rPr>
        <w:footnoteRef/>
      </w:r>
      <w:r>
        <w:t xml:space="preserve"> Visser supra @ 117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497087"/>
      <w:docPartObj>
        <w:docPartGallery w:val="Page Numbers (Top of Page)"/>
        <w:docPartUnique/>
      </w:docPartObj>
    </w:sdtPr>
    <w:sdtEndPr>
      <w:rPr>
        <w:noProof/>
      </w:rPr>
    </w:sdtEndPr>
    <w:sdtContent>
      <w:p w:rsidR="00AE2948" w:rsidRDefault="00AE2948">
        <w:pPr>
          <w:pStyle w:val="Header"/>
          <w:jc w:val="right"/>
          <w:rPr>
            <w:noProof/>
          </w:rPr>
        </w:pPr>
        <w:r>
          <w:fldChar w:fldCharType="begin"/>
        </w:r>
        <w:r>
          <w:instrText xml:space="preserve"> PAGE   \* MERGEFORMAT </w:instrText>
        </w:r>
        <w:r>
          <w:fldChar w:fldCharType="separate"/>
        </w:r>
        <w:r w:rsidR="001962E8">
          <w:rPr>
            <w:noProof/>
          </w:rPr>
          <w:t>1</w:t>
        </w:r>
        <w:r>
          <w:rPr>
            <w:noProof/>
          </w:rPr>
          <w:fldChar w:fldCharType="end"/>
        </w:r>
      </w:p>
      <w:p w:rsidR="00AE2948" w:rsidRDefault="00AE2948">
        <w:pPr>
          <w:pStyle w:val="Header"/>
          <w:jc w:val="right"/>
          <w:rPr>
            <w:noProof/>
          </w:rPr>
        </w:pPr>
        <w:r>
          <w:rPr>
            <w:noProof/>
          </w:rPr>
          <w:t>HH</w:t>
        </w:r>
        <w:r w:rsidR="00973DAA">
          <w:rPr>
            <w:noProof/>
          </w:rPr>
          <w:t xml:space="preserve"> 517-21</w:t>
        </w:r>
      </w:p>
      <w:p w:rsidR="00AE2948" w:rsidRDefault="00AE2948">
        <w:pPr>
          <w:pStyle w:val="Header"/>
          <w:jc w:val="right"/>
        </w:pPr>
        <w:r>
          <w:rPr>
            <w:noProof/>
          </w:rPr>
          <w:t>HC 609/21</w:t>
        </w:r>
      </w:p>
    </w:sdtContent>
  </w:sdt>
  <w:p w:rsidR="00AE2948" w:rsidRDefault="00AE29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B4290"/>
    <w:multiLevelType w:val="hybridMultilevel"/>
    <w:tmpl w:val="95B49374"/>
    <w:lvl w:ilvl="0" w:tplc="2A6495B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1BC16119"/>
    <w:multiLevelType w:val="hybridMultilevel"/>
    <w:tmpl w:val="709C7E48"/>
    <w:lvl w:ilvl="0" w:tplc="501004F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E957EC8"/>
    <w:multiLevelType w:val="hybridMultilevel"/>
    <w:tmpl w:val="313658B0"/>
    <w:lvl w:ilvl="0" w:tplc="2A6495BA">
      <w:start w:val="1"/>
      <w:numFmt w:val="lowerRoman"/>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F442329"/>
    <w:multiLevelType w:val="hybridMultilevel"/>
    <w:tmpl w:val="390847BE"/>
    <w:lvl w:ilvl="0" w:tplc="AE36DB6C">
      <w:start w:val="4"/>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0342CEA"/>
    <w:multiLevelType w:val="hybridMultilevel"/>
    <w:tmpl w:val="268C1D92"/>
    <w:lvl w:ilvl="0" w:tplc="EC948FB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2CCF4314"/>
    <w:multiLevelType w:val="hybridMultilevel"/>
    <w:tmpl w:val="1ABE3788"/>
    <w:lvl w:ilvl="0" w:tplc="F07C6A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26C61A5"/>
    <w:multiLevelType w:val="hybridMultilevel"/>
    <w:tmpl w:val="6396E0EA"/>
    <w:lvl w:ilvl="0" w:tplc="3D5663A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4FCD2656"/>
    <w:multiLevelType w:val="hybridMultilevel"/>
    <w:tmpl w:val="FC3ADBEC"/>
    <w:lvl w:ilvl="0" w:tplc="3009001B">
      <w:start w:val="1"/>
      <w:numFmt w:val="lowerRoman"/>
      <w:lvlText w:val="%1."/>
      <w:lvlJc w:val="right"/>
      <w:pPr>
        <w:ind w:left="1498" w:hanging="360"/>
      </w:pPr>
    </w:lvl>
    <w:lvl w:ilvl="1" w:tplc="30090019" w:tentative="1">
      <w:start w:val="1"/>
      <w:numFmt w:val="lowerLetter"/>
      <w:lvlText w:val="%2."/>
      <w:lvlJc w:val="left"/>
      <w:pPr>
        <w:ind w:left="2218" w:hanging="360"/>
      </w:pPr>
    </w:lvl>
    <w:lvl w:ilvl="2" w:tplc="3009001B" w:tentative="1">
      <w:start w:val="1"/>
      <w:numFmt w:val="lowerRoman"/>
      <w:lvlText w:val="%3."/>
      <w:lvlJc w:val="right"/>
      <w:pPr>
        <w:ind w:left="2938" w:hanging="180"/>
      </w:pPr>
    </w:lvl>
    <w:lvl w:ilvl="3" w:tplc="3009000F" w:tentative="1">
      <w:start w:val="1"/>
      <w:numFmt w:val="decimal"/>
      <w:lvlText w:val="%4."/>
      <w:lvlJc w:val="left"/>
      <w:pPr>
        <w:ind w:left="3658" w:hanging="360"/>
      </w:pPr>
    </w:lvl>
    <w:lvl w:ilvl="4" w:tplc="30090019" w:tentative="1">
      <w:start w:val="1"/>
      <w:numFmt w:val="lowerLetter"/>
      <w:lvlText w:val="%5."/>
      <w:lvlJc w:val="left"/>
      <w:pPr>
        <w:ind w:left="4378" w:hanging="360"/>
      </w:pPr>
    </w:lvl>
    <w:lvl w:ilvl="5" w:tplc="3009001B" w:tentative="1">
      <w:start w:val="1"/>
      <w:numFmt w:val="lowerRoman"/>
      <w:lvlText w:val="%6."/>
      <w:lvlJc w:val="right"/>
      <w:pPr>
        <w:ind w:left="5098" w:hanging="180"/>
      </w:pPr>
    </w:lvl>
    <w:lvl w:ilvl="6" w:tplc="3009000F" w:tentative="1">
      <w:start w:val="1"/>
      <w:numFmt w:val="decimal"/>
      <w:lvlText w:val="%7."/>
      <w:lvlJc w:val="left"/>
      <w:pPr>
        <w:ind w:left="5818" w:hanging="360"/>
      </w:pPr>
    </w:lvl>
    <w:lvl w:ilvl="7" w:tplc="30090019" w:tentative="1">
      <w:start w:val="1"/>
      <w:numFmt w:val="lowerLetter"/>
      <w:lvlText w:val="%8."/>
      <w:lvlJc w:val="left"/>
      <w:pPr>
        <w:ind w:left="6538" w:hanging="360"/>
      </w:pPr>
    </w:lvl>
    <w:lvl w:ilvl="8" w:tplc="3009001B" w:tentative="1">
      <w:start w:val="1"/>
      <w:numFmt w:val="lowerRoman"/>
      <w:lvlText w:val="%9."/>
      <w:lvlJc w:val="right"/>
      <w:pPr>
        <w:ind w:left="7258" w:hanging="180"/>
      </w:pPr>
    </w:lvl>
  </w:abstractNum>
  <w:abstractNum w:abstractNumId="8" w15:restartNumberingAfterBreak="0">
    <w:nsid w:val="6B4F0888"/>
    <w:multiLevelType w:val="hybridMultilevel"/>
    <w:tmpl w:val="B5A623BA"/>
    <w:lvl w:ilvl="0" w:tplc="ED486B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7"/>
  </w:num>
  <w:num w:numId="3">
    <w:abstractNumId w:val="3"/>
  </w:num>
  <w:num w:numId="4">
    <w:abstractNumId w:val="1"/>
  </w:num>
  <w:num w:numId="5">
    <w:abstractNumId w:val="6"/>
  </w:num>
  <w:num w:numId="6">
    <w:abstractNumId w:val="0"/>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58C"/>
    <w:rsid w:val="00060C05"/>
    <w:rsid w:val="00085C75"/>
    <w:rsid w:val="00087EBE"/>
    <w:rsid w:val="000966A7"/>
    <w:rsid w:val="000B7976"/>
    <w:rsid w:val="000C5F90"/>
    <w:rsid w:val="00113EE1"/>
    <w:rsid w:val="001450A7"/>
    <w:rsid w:val="00163A35"/>
    <w:rsid w:val="001711F0"/>
    <w:rsid w:val="00191BCF"/>
    <w:rsid w:val="001962E8"/>
    <w:rsid w:val="002812C3"/>
    <w:rsid w:val="002D3945"/>
    <w:rsid w:val="002E5966"/>
    <w:rsid w:val="0030295F"/>
    <w:rsid w:val="00334A22"/>
    <w:rsid w:val="003562E2"/>
    <w:rsid w:val="003C13F3"/>
    <w:rsid w:val="003E0AE6"/>
    <w:rsid w:val="004148A6"/>
    <w:rsid w:val="00434177"/>
    <w:rsid w:val="00444BDE"/>
    <w:rsid w:val="0045627F"/>
    <w:rsid w:val="00482454"/>
    <w:rsid w:val="00494F0B"/>
    <w:rsid w:val="004C4AC6"/>
    <w:rsid w:val="005325FC"/>
    <w:rsid w:val="00561509"/>
    <w:rsid w:val="005D070A"/>
    <w:rsid w:val="005F1130"/>
    <w:rsid w:val="005F4763"/>
    <w:rsid w:val="006122B9"/>
    <w:rsid w:val="006403F7"/>
    <w:rsid w:val="00644601"/>
    <w:rsid w:val="006960C0"/>
    <w:rsid w:val="00766712"/>
    <w:rsid w:val="007769D5"/>
    <w:rsid w:val="00787FCC"/>
    <w:rsid w:val="007901C7"/>
    <w:rsid w:val="007E3291"/>
    <w:rsid w:val="0082021A"/>
    <w:rsid w:val="00843C51"/>
    <w:rsid w:val="00852446"/>
    <w:rsid w:val="008724CA"/>
    <w:rsid w:val="00895EDC"/>
    <w:rsid w:val="009212EA"/>
    <w:rsid w:val="009454F9"/>
    <w:rsid w:val="00945BEA"/>
    <w:rsid w:val="00973DAA"/>
    <w:rsid w:val="009A4619"/>
    <w:rsid w:val="009C5D16"/>
    <w:rsid w:val="009D0671"/>
    <w:rsid w:val="009E6DC4"/>
    <w:rsid w:val="00A34D75"/>
    <w:rsid w:val="00AE2948"/>
    <w:rsid w:val="00AE7BEE"/>
    <w:rsid w:val="00AF4152"/>
    <w:rsid w:val="00B11572"/>
    <w:rsid w:val="00B35EAF"/>
    <w:rsid w:val="00B47301"/>
    <w:rsid w:val="00B62F04"/>
    <w:rsid w:val="00B71347"/>
    <w:rsid w:val="00B9048A"/>
    <w:rsid w:val="00B95203"/>
    <w:rsid w:val="00BD2C64"/>
    <w:rsid w:val="00C06518"/>
    <w:rsid w:val="00C93F2E"/>
    <w:rsid w:val="00C966AA"/>
    <w:rsid w:val="00CD2D43"/>
    <w:rsid w:val="00CF7B76"/>
    <w:rsid w:val="00D119B3"/>
    <w:rsid w:val="00D319C7"/>
    <w:rsid w:val="00D65FA2"/>
    <w:rsid w:val="00D838A2"/>
    <w:rsid w:val="00DA27A6"/>
    <w:rsid w:val="00DA5A45"/>
    <w:rsid w:val="00DB357B"/>
    <w:rsid w:val="00DC449B"/>
    <w:rsid w:val="00DF0326"/>
    <w:rsid w:val="00E14710"/>
    <w:rsid w:val="00E331AD"/>
    <w:rsid w:val="00E635C1"/>
    <w:rsid w:val="00E8477E"/>
    <w:rsid w:val="00E9058C"/>
    <w:rsid w:val="00EA145C"/>
    <w:rsid w:val="00EB1240"/>
    <w:rsid w:val="00F070D4"/>
    <w:rsid w:val="00F13ACC"/>
    <w:rsid w:val="00F34B06"/>
    <w:rsid w:val="00F6451D"/>
    <w:rsid w:val="00F81631"/>
    <w:rsid w:val="00F86851"/>
    <w:rsid w:val="00FC7C11"/>
    <w:rsid w:val="00FD552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6AB5C-6A81-4109-A63C-FCBB22E1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79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B76"/>
    <w:pPr>
      <w:ind w:left="720"/>
      <w:contextualSpacing/>
    </w:pPr>
  </w:style>
  <w:style w:type="character" w:customStyle="1" w:styleId="Heading1Char">
    <w:name w:val="Heading 1 Char"/>
    <w:basedOn w:val="DefaultParagraphFont"/>
    <w:link w:val="Heading1"/>
    <w:uiPriority w:val="9"/>
    <w:rsid w:val="000B7976"/>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0B79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976"/>
    <w:rPr>
      <w:sz w:val="20"/>
      <w:szCs w:val="20"/>
    </w:rPr>
  </w:style>
  <w:style w:type="character" w:styleId="FootnoteReference">
    <w:name w:val="footnote reference"/>
    <w:basedOn w:val="DefaultParagraphFont"/>
    <w:uiPriority w:val="99"/>
    <w:rsid w:val="000B7976"/>
    <w:rPr>
      <w:rFonts w:cs="Times New Roman"/>
      <w:vertAlign w:val="superscript"/>
    </w:rPr>
  </w:style>
  <w:style w:type="paragraph" w:styleId="BalloonText">
    <w:name w:val="Balloon Text"/>
    <w:basedOn w:val="Normal"/>
    <w:link w:val="BalloonTextChar"/>
    <w:uiPriority w:val="99"/>
    <w:semiHidden/>
    <w:unhideWhenUsed/>
    <w:rsid w:val="003C1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3F3"/>
    <w:rPr>
      <w:rFonts w:ascii="Segoe UI" w:hAnsi="Segoe UI" w:cs="Segoe UI"/>
      <w:sz w:val="18"/>
      <w:szCs w:val="18"/>
    </w:rPr>
  </w:style>
  <w:style w:type="paragraph" w:styleId="Header">
    <w:name w:val="header"/>
    <w:basedOn w:val="Normal"/>
    <w:link w:val="HeaderChar"/>
    <w:uiPriority w:val="99"/>
    <w:unhideWhenUsed/>
    <w:rsid w:val="00AE29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948"/>
  </w:style>
  <w:style w:type="paragraph" w:styleId="Footer">
    <w:name w:val="footer"/>
    <w:basedOn w:val="Normal"/>
    <w:link w:val="FooterChar"/>
    <w:uiPriority w:val="99"/>
    <w:unhideWhenUsed/>
    <w:rsid w:val="00AE2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A8C0F-44B9-49B8-B8A7-F02CA90E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2097</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Muzofa</dc:creator>
  <cp:keywords/>
  <dc:description/>
  <cp:lastModifiedBy>JSC</cp:lastModifiedBy>
  <cp:revision>2</cp:revision>
  <cp:lastPrinted>2021-09-21T10:50:00Z</cp:lastPrinted>
  <dcterms:created xsi:type="dcterms:W3CDTF">2021-09-24T10:34:00Z</dcterms:created>
  <dcterms:modified xsi:type="dcterms:W3CDTF">2021-09-24T10:34:00Z</dcterms:modified>
</cp:coreProperties>
</file>