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7D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ARENEL (PVT) LTD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Versus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1520AA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 xml:space="preserve">FORM PAC (PVT) </w:t>
      </w:r>
      <w:r w:rsidR="008D2CCF" w:rsidRPr="003B4BD1">
        <w:rPr>
          <w:b/>
          <w:szCs w:val="24"/>
        </w:rPr>
        <w:t>LTD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And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ROLAND BAKER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And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CARLINGTON CHOMU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And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JAYESH DESAI</w:t>
      </w: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szCs w:val="24"/>
        </w:rPr>
      </w:pPr>
      <w:r w:rsidRPr="003B4BD1">
        <w:rPr>
          <w:szCs w:val="24"/>
        </w:rPr>
        <w:t>IN THE HIGH COURT OF ZIMBABWE</w:t>
      </w:r>
    </w:p>
    <w:p w:rsidR="008D2CCF" w:rsidRPr="003B4BD1" w:rsidRDefault="008D2CCF" w:rsidP="003B4BD1">
      <w:pPr>
        <w:pStyle w:val="NoSpacing"/>
        <w:jc w:val="both"/>
        <w:rPr>
          <w:szCs w:val="24"/>
        </w:rPr>
      </w:pPr>
      <w:r w:rsidRPr="003B4BD1">
        <w:rPr>
          <w:szCs w:val="24"/>
        </w:rPr>
        <w:t>MAKONESE J</w:t>
      </w:r>
    </w:p>
    <w:p w:rsidR="008D2CCF" w:rsidRPr="003B4BD1" w:rsidRDefault="008D2CCF" w:rsidP="003B4BD1">
      <w:pPr>
        <w:pStyle w:val="NoSpacing"/>
        <w:jc w:val="both"/>
        <w:rPr>
          <w:szCs w:val="24"/>
        </w:rPr>
      </w:pPr>
      <w:r w:rsidRPr="003B4BD1">
        <w:rPr>
          <w:szCs w:val="24"/>
        </w:rPr>
        <w:t>BULAWAYO 18 JANUARY &amp; 14 FEBRUARY 2019</w:t>
      </w:r>
    </w:p>
    <w:p w:rsidR="008D2CCF" w:rsidRPr="003B4BD1" w:rsidRDefault="008D2CCF" w:rsidP="003B4BD1">
      <w:pPr>
        <w:pStyle w:val="NoSpacing"/>
        <w:jc w:val="both"/>
        <w:rPr>
          <w:szCs w:val="24"/>
        </w:rPr>
      </w:pPr>
    </w:p>
    <w:p w:rsidR="008D2CCF" w:rsidRPr="003B4BD1" w:rsidRDefault="008D2CCF" w:rsidP="003B4BD1">
      <w:pPr>
        <w:pStyle w:val="NoSpacing"/>
        <w:jc w:val="both"/>
        <w:rPr>
          <w:b/>
          <w:szCs w:val="24"/>
        </w:rPr>
      </w:pPr>
      <w:r w:rsidRPr="003B4BD1">
        <w:rPr>
          <w:b/>
          <w:szCs w:val="24"/>
        </w:rPr>
        <w:t>Opposed Application – Summary judgment</w:t>
      </w:r>
    </w:p>
    <w:p w:rsidR="008D2CCF" w:rsidRPr="003B4BD1" w:rsidRDefault="008D2CCF" w:rsidP="003B4BD1">
      <w:pPr>
        <w:pStyle w:val="NoSpacing"/>
        <w:jc w:val="both"/>
        <w:rPr>
          <w:szCs w:val="24"/>
        </w:rPr>
      </w:pPr>
    </w:p>
    <w:p w:rsidR="008D2CCF" w:rsidRPr="003B4BD1" w:rsidRDefault="00905E0B" w:rsidP="003B4BD1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S. </w:t>
      </w:r>
      <w:proofErr w:type="spellStart"/>
      <w:r>
        <w:rPr>
          <w:i/>
          <w:szCs w:val="24"/>
        </w:rPr>
        <w:t>H</w:t>
      </w:r>
      <w:r w:rsidR="008D2CCF" w:rsidRPr="003B4BD1">
        <w:rPr>
          <w:i/>
          <w:szCs w:val="24"/>
        </w:rPr>
        <w:t>uni</w:t>
      </w:r>
      <w:proofErr w:type="spellEnd"/>
      <w:r w:rsidR="008D2CCF" w:rsidRPr="003B4BD1">
        <w:rPr>
          <w:szCs w:val="24"/>
        </w:rPr>
        <w:t xml:space="preserve"> for the applicant</w:t>
      </w:r>
    </w:p>
    <w:p w:rsidR="008D2CCF" w:rsidRPr="003B4BD1" w:rsidRDefault="008D2CCF" w:rsidP="003B4BD1">
      <w:pPr>
        <w:pStyle w:val="NoSpacing"/>
        <w:jc w:val="both"/>
        <w:rPr>
          <w:szCs w:val="24"/>
        </w:rPr>
      </w:pPr>
      <w:r w:rsidRPr="003B4BD1">
        <w:rPr>
          <w:i/>
          <w:szCs w:val="24"/>
        </w:rPr>
        <w:t xml:space="preserve">N. </w:t>
      </w:r>
      <w:proofErr w:type="spellStart"/>
      <w:r w:rsidRPr="003B4BD1">
        <w:rPr>
          <w:i/>
          <w:szCs w:val="24"/>
        </w:rPr>
        <w:t>Mazibuko</w:t>
      </w:r>
      <w:proofErr w:type="spellEnd"/>
      <w:r w:rsidRPr="003B4BD1">
        <w:rPr>
          <w:szCs w:val="24"/>
        </w:rPr>
        <w:t xml:space="preserve"> for the respondents</w:t>
      </w:r>
    </w:p>
    <w:p w:rsidR="008D2CCF" w:rsidRPr="003B4BD1" w:rsidRDefault="008D2CCF" w:rsidP="003B4BD1">
      <w:pPr>
        <w:jc w:val="both"/>
        <w:rPr>
          <w:szCs w:val="24"/>
        </w:rPr>
      </w:pPr>
      <w:r w:rsidRPr="003B4BD1">
        <w:rPr>
          <w:szCs w:val="24"/>
        </w:rPr>
        <w:tab/>
      </w:r>
      <w:r w:rsidRPr="003B4BD1">
        <w:rPr>
          <w:b/>
          <w:szCs w:val="24"/>
        </w:rPr>
        <w:t>MAKONESE J:</w:t>
      </w:r>
      <w:r w:rsidRPr="003B4BD1">
        <w:rPr>
          <w:b/>
          <w:szCs w:val="24"/>
        </w:rPr>
        <w:tab/>
      </w:r>
      <w:r w:rsidRPr="003B4BD1">
        <w:rPr>
          <w:szCs w:val="24"/>
        </w:rPr>
        <w:t>This is a court application for summary judgment in action proceedings commenced by the applicant against the respondents under case number HC 996/17.  The applicant alleges that it sues on a liquid document and claims against the respondents jointly and severally, the one paying the other to be absolved.  Applicant seeks payment of a sum of</w:t>
      </w:r>
      <w:r w:rsidR="001520AA" w:rsidRPr="003B4BD1">
        <w:rPr>
          <w:szCs w:val="24"/>
        </w:rPr>
        <w:t xml:space="preserve"> US$45 057</w:t>
      </w:r>
      <w:proofErr w:type="gramStart"/>
      <w:r w:rsidR="001520AA" w:rsidRPr="003B4BD1">
        <w:rPr>
          <w:szCs w:val="24"/>
        </w:rPr>
        <w:t>,54</w:t>
      </w:r>
      <w:proofErr w:type="gramEnd"/>
      <w:r w:rsidR="001520AA" w:rsidRPr="003B4BD1">
        <w:rPr>
          <w:szCs w:val="24"/>
        </w:rPr>
        <w:t xml:space="preserve"> being the balance</w:t>
      </w:r>
      <w:r w:rsidRPr="003B4BD1">
        <w:rPr>
          <w:szCs w:val="24"/>
        </w:rPr>
        <w:t xml:space="preserve"> based on an acknowledgment of debt.  The total amount allegedly due was originally a sum of US$60 770</w:t>
      </w:r>
      <w:proofErr w:type="gramStart"/>
      <w:r w:rsidRPr="003B4BD1">
        <w:rPr>
          <w:szCs w:val="24"/>
        </w:rPr>
        <w:t>,00</w:t>
      </w:r>
      <w:proofErr w:type="gramEnd"/>
      <w:r w:rsidRPr="003B4BD1">
        <w:rPr>
          <w:szCs w:val="24"/>
        </w:rPr>
        <w:t xml:space="preserve"> in respect of a loan advanced by the applicant to 1</w:t>
      </w:r>
      <w:r w:rsidRPr="003B4BD1">
        <w:rPr>
          <w:szCs w:val="24"/>
          <w:vertAlign w:val="superscript"/>
        </w:rPr>
        <w:t>st</w:t>
      </w:r>
      <w:r w:rsidRPr="003B4BD1">
        <w:rPr>
          <w:szCs w:val="24"/>
        </w:rPr>
        <w:t xml:space="preserve"> respondent.  The 2</w:t>
      </w:r>
      <w:r w:rsidRPr="003B4BD1">
        <w:rPr>
          <w:szCs w:val="24"/>
          <w:vertAlign w:val="superscript"/>
        </w:rPr>
        <w:t>nd</w:t>
      </w:r>
      <w:r w:rsidRPr="003B4BD1">
        <w:rPr>
          <w:szCs w:val="24"/>
        </w:rPr>
        <w:t>, 3</w:t>
      </w:r>
      <w:r w:rsidRPr="003B4BD1">
        <w:rPr>
          <w:szCs w:val="24"/>
          <w:vertAlign w:val="superscript"/>
        </w:rPr>
        <w:t>rd</w:t>
      </w:r>
      <w:r w:rsidRPr="003B4BD1">
        <w:rPr>
          <w:szCs w:val="24"/>
        </w:rPr>
        <w:t xml:space="preserve"> and 4</w:t>
      </w:r>
      <w:r w:rsidRPr="003B4BD1">
        <w:rPr>
          <w:szCs w:val="24"/>
          <w:vertAlign w:val="superscript"/>
        </w:rPr>
        <w:t>th</w:t>
      </w:r>
      <w:r w:rsidRPr="003B4BD1">
        <w:rPr>
          <w:szCs w:val="24"/>
        </w:rPr>
        <w:t xml:space="preserve"> respond</w:t>
      </w:r>
      <w:r w:rsidR="001520AA" w:rsidRPr="003B4BD1">
        <w:rPr>
          <w:szCs w:val="24"/>
        </w:rPr>
        <w:t xml:space="preserve">ents jointly signed a document </w:t>
      </w:r>
      <w:r w:rsidRPr="003B4BD1">
        <w:rPr>
          <w:szCs w:val="24"/>
        </w:rPr>
        <w:t>referred to as an “</w:t>
      </w:r>
      <w:r w:rsidRPr="004212D5">
        <w:rPr>
          <w:b/>
          <w:szCs w:val="24"/>
        </w:rPr>
        <w:t>individual guaranty”.</w:t>
      </w:r>
    </w:p>
    <w:p w:rsidR="008D2CCF" w:rsidRPr="003B4BD1" w:rsidRDefault="008D2CCF" w:rsidP="003B4BD1">
      <w:pPr>
        <w:jc w:val="both"/>
        <w:rPr>
          <w:szCs w:val="24"/>
        </w:rPr>
      </w:pPr>
      <w:r w:rsidRPr="003B4BD1">
        <w:rPr>
          <w:szCs w:val="24"/>
        </w:rPr>
        <w:tab/>
        <w:t>The application for summary judgment is being opposed by the respondents who contend that the application is based on a cause of action which is not pleaded in the applicant’s summons.  A close analysis of the application fo</w:t>
      </w:r>
      <w:r w:rsidR="001860B5">
        <w:rPr>
          <w:szCs w:val="24"/>
        </w:rPr>
        <w:t>r summary judgment clearly shows</w:t>
      </w:r>
      <w:r w:rsidRPr="003B4BD1">
        <w:rPr>
          <w:szCs w:val="24"/>
        </w:rPr>
        <w:t xml:space="preserve"> that the </w:t>
      </w:r>
      <w:r w:rsidRPr="003B4BD1">
        <w:rPr>
          <w:szCs w:val="24"/>
        </w:rPr>
        <w:lastRenderedPageBreak/>
        <w:t>application is w</w:t>
      </w:r>
      <w:r w:rsidR="001520AA" w:rsidRPr="003B4BD1">
        <w:rPr>
          <w:szCs w:val="24"/>
        </w:rPr>
        <w:t>holly premised on an acknowledg</w:t>
      </w:r>
      <w:r w:rsidRPr="003B4BD1">
        <w:rPr>
          <w:szCs w:val="24"/>
        </w:rPr>
        <w:t>ment of debt allegedly executed by respondents.  The cause of action in the summons is based on a loan agreement.  In its summary judgment application, the applicant has produced proof of an acknowle</w:t>
      </w:r>
      <w:r w:rsidR="0079406C">
        <w:rPr>
          <w:szCs w:val="24"/>
        </w:rPr>
        <w:t>dgment of debt and not a</w:t>
      </w:r>
      <w:r w:rsidRPr="003B4BD1">
        <w:rPr>
          <w:szCs w:val="24"/>
        </w:rPr>
        <w:t xml:space="preserve"> loan agreement.</w:t>
      </w:r>
    </w:p>
    <w:p w:rsidR="008D2CCF" w:rsidRPr="003B4BD1" w:rsidRDefault="008D2CCF" w:rsidP="003B4BD1">
      <w:pPr>
        <w:jc w:val="both"/>
        <w:rPr>
          <w:szCs w:val="24"/>
        </w:rPr>
      </w:pPr>
      <w:r w:rsidRPr="003B4BD1">
        <w:rPr>
          <w:szCs w:val="24"/>
        </w:rPr>
        <w:tab/>
        <w:t>It is trite that a summary judgment application must be based squarely on the averments and cause of action in the summons.  It follows therefore, that the founding affidavit in a summary judgment application must be rooted in the cause of action as declared in the summons.  A founding affidavit that bases its action on a</w:t>
      </w:r>
      <w:r w:rsidR="00216E20" w:rsidRPr="003B4BD1">
        <w:rPr>
          <w:szCs w:val="24"/>
        </w:rPr>
        <w:t xml:space="preserve"> different cause of action to that pleaded is of no use in provin</w:t>
      </w:r>
      <w:r w:rsidR="00035DCB">
        <w:rPr>
          <w:szCs w:val="24"/>
        </w:rPr>
        <w:t>g the applicant’s claims.  Such</w:t>
      </w:r>
      <w:r w:rsidR="00216E20" w:rsidRPr="003B4BD1">
        <w:rPr>
          <w:szCs w:val="24"/>
        </w:rPr>
        <w:t xml:space="preserve"> a foun</w:t>
      </w:r>
      <w:r w:rsidR="00035DCB">
        <w:rPr>
          <w:szCs w:val="24"/>
        </w:rPr>
        <w:t>ding affidavit not only contradicts</w:t>
      </w:r>
      <w:r w:rsidR="00216E20" w:rsidRPr="003B4BD1">
        <w:rPr>
          <w:szCs w:val="24"/>
        </w:rPr>
        <w:t xml:space="preserve"> the cause of action but does not provide a basis for gra</w:t>
      </w:r>
      <w:r w:rsidR="003B4BD1" w:rsidRPr="003B4BD1">
        <w:rPr>
          <w:szCs w:val="24"/>
        </w:rPr>
        <w:t>n</w:t>
      </w:r>
      <w:r w:rsidR="00216E20" w:rsidRPr="003B4BD1">
        <w:rPr>
          <w:szCs w:val="24"/>
        </w:rPr>
        <w:t>ting summary judgment.</w:t>
      </w:r>
    </w:p>
    <w:p w:rsidR="00216E20" w:rsidRPr="003B4BD1" w:rsidRDefault="00216E20" w:rsidP="003B4BD1">
      <w:pPr>
        <w:jc w:val="both"/>
        <w:rPr>
          <w:szCs w:val="24"/>
        </w:rPr>
      </w:pPr>
      <w:r w:rsidRPr="003B4BD1">
        <w:rPr>
          <w:szCs w:val="24"/>
        </w:rPr>
        <w:tab/>
        <w:t>It is my view</w:t>
      </w:r>
      <w:r w:rsidR="009F580D">
        <w:rPr>
          <w:szCs w:val="24"/>
        </w:rPr>
        <w:t>,</w:t>
      </w:r>
      <w:r w:rsidRPr="003B4BD1">
        <w:rPr>
          <w:szCs w:val="24"/>
        </w:rPr>
        <w:t xml:space="preserve"> that the applicant’s founding affidavit is fatally defective and cannot give rise to summary judgment being entered against the respondent.</w:t>
      </w:r>
    </w:p>
    <w:p w:rsidR="00216E20" w:rsidRPr="003B4BD1" w:rsidRDefault="00216E20" w:rsidP="003B4BD1">
      <w:pPr>
        <w:jc w:val="both"/>
        <w:rPr>
          <w:b/>
          <w:szCs w:val="24"/>
        </w:rPr>
      </w:pPr>
      <w:r w:rsidRPr="003B4BD1">
        <w:rPr>
          <w:b/>
          <w:szCs w:val="24"/>
        </w:rPr>
        <w:t>Background</w:t>
      </w:r>
    </w:p>
    <w:p w:rsidR="00216E20" w:rsidRPr="003B4BD1" w:rsidRDefault="00216E20" w:rsidP="003B4BD1">
      <w:pPr>
        <w:jc w:val="both"/>
        <w:rPr>
          <w:szCs w:val="24"/>
        </w:rPr>
      </w:pPr>
      <w:r w:rsidRPr="003B4BD1">
        <w:rPr>
          <w:szCs w:val="24"/>
        </w:rPr>
        <w:tab/>
        <w:t>The f</w:t>
      </w:r>
      <w:r w:rsidR="003B4BD1" w:rsidRPr="003B4BD1">
        <w:rPr>
          <w:szCs w:val="24"/>
        </w:rPr>
        <w:t>a</w:t>
      </w:r>
      <w:r w:rsidRPr="003B4BD1">
        <w:rPr>
          <w:szCs w:val="24"/>
        </w:rPr>
        <w:t>ctual background to the application for summary judgment is this.  On the 7</w:t>
      </w:r>
      <w:r w:rsidRPr="003B4BD1">
        <w:rPr>
          <w:szCs w:val="24"/>
          <w:vertAlign w:val="superscript"/>
        </w:rPr>
        <w:t>th</w:t>
      </w:r>
      <w:r w:rsidRPr="003B4BD1">
        <w:rPr>
          <w:szCs w:val="24"/>
        </w:rPr>
        <w:t xml:space="preserve"> April 2017 the applicant commenced action against the respondents in an action filed under case number HC 996/17.  In the action proceedings applicant claimed the sum of US$45 057,54 being the balance outstanding on an acknowledgment of debt in the sum of US$60 770,00 being a loan advanced by the applicant to 1</w:t>
      </w:r>
      <w:r w:rsidRPr="003B4BD1">
        <w:rPr>
          <w:szCs w:val="24"/>
          <w:vertAlign w:val="superscript"/>
        </w:rPr>
        <w:t>st</w:t>
      </w:r>
      <w:r w:rsidRPr="003B4BD1">
        <w:rPr>
          <w:szCs w:val="24"/>
        </w:rPr>
        <w:t xml:space="preserve"> respondent and in respect of which 2</w:t>
      </w:r>
      <w:r w:rsidRPr="003B4BD1">
        <w:rPr>
          <w:szCs w:val="24"/>
          <w:vertAlign w:val="superscript"/>
        </w:rPr>
        <w:t>nd</w:t>
      </w:r>
      <w:r w:rsidRPr="003B4BD1">
        <w:rPr>
          <w:szCs w:val="24"/>
        </w:rPr>
        <w:t>, 3</w:t>
      </w:r>
      <w:r w:rsidRPr="003B4BD1">
        <w:rPr>
          <w:szCs w:val="24"/>
          <w:vertAlign w:val="superscript"/>
        </w:rPr>
        <w:t>rd</w:t>
      </w:r>
      <w:r w:rsidRPr="003B4BD1">
        <w:rPr>
          <w:szCs w:val="24"/>
        </w:rPr>
        <w:t xml:space="preserve"> and 4</w:t>
      </w:r>
      <w:r w:rsidRPr="003B4BD1">
        <w:rPr>
          <w:szCs w:val="24"/>
          <w:vertAlign w:val="superscript"/>
        </w:rPr>
        <w:t>th</w:t>
      </w:r>
      <w:r w:rsidRPr="003B4BD1">
        <w:rPr>
          <w:szCs w:val="24"/>
        </w:rPr>
        <w:t xml:space="preserve"> respondents jointly signed an “</w:t>
      </w:r>
      <w:r w:rsidRPr="009F580D">
        <w:rPr>
          <w:b/>
          <w:szCs w:val="24"/>
        </w:rPr>
        <w:t>Individual Guaranty”.</w:t>
      </w:r>
      <w:r w:rsidRPr="003B4BD1">
        <w:rPr>
          <w:szCs w:val="24"/>
        </w:rPr>
        <w:t xml:space="preserve">  The respondents defended the matter indicating that there was no such loan agreement.  The applicant has launched this application for summary judgment on the basis of the acknowledgment of debt.</w:t>
      </w:r>
    </w:p>
    <w:p w:rsidR="00216E20" w:rsidRPr="003B4BD1" w:rsidRDefault="00216E20" w:rsidP="003B4BD1">
      <w:pPr>
        <w:jc w:val="both"/>
        <w:rPr>
          <w:b/>
          <w:szCs w:val="24"/>
        </w:rPr>
      </w:pPr>
      <w:r w:rsidRPr="003B4BD1">
        <w:rPr>
          <w:b/>
          <w:szCs w:val="24"/>
        </w:rPr>
        <w:t>The law</w:t>
      </w:r>
    </w:p>
    <w:p w:rsidR="00216E20" w:rsidRPr="003B4BD1" w:rsidRDefault="00216E20" w:rsidP="003B4BD1">
      <w:pPr>
        <w:jc w:val="both"/>
        <w:rPr>
          <w:szCs w:val="24"/>
        </w:rPr>
      </w:pPr>
      <w:r w:rsidRPr="003B4BD1">
        <w:rPr>
          <w:szCs w:val="24"/>
        </w:rPr>
        <w:tab/>
        <w:t>The law is very clear</w:t>
      </w:r>
      <w:r w:rsidR="00794501">
        <w:rPr>
          <w:szCs w:val="24"/>
        </w:rPr>
        <w:t>.  S</w:t>
      </w:r>
      <w:r w:rsidRPr="003B4BD1">
        <w:rPr>
          <w:szCs w:val="24"/>
        </w:rPr>
        <w:t>ummary judgment is a drastic remedy which should be granted only if the applicant has an</w:t>
      </w:r>
      <w:r w:rsidR="00343261" w:rsidRPr="003B4BD1">
        <w:rPr>
          <w:szCs w:val="24"/>
        </w:rPr>
        <w:t xml:space="preserve"> unassailable case or conversely</w:t>
      </w:r>
      <w:r w:rsidR="003B046B">
        <w:rPr>
          <w:szCs w:val="24"/>
        </w:rPr>
        <w:t xml:space="preserve"> where</w:t>
      </w:r>
      <w:r w:rsidR="00343261" w:rsidRPr="003B4BD1">
        <w:rPr>
          <w:szCs w:val="24"/>
        </w:rPr>
        <w:t xml:space="preserve"> the respondents have no arguable case before the court.</w:t>
      </w:r>
    </w:p>
    <w:p w:rsidR="00343261" w:rsidRPr="003B4BD1" w:rsidRDefault="00343261" w:rsidP="003B4BD1">
      <w:pPr>
        <w:jc w:val="both"/>
        <w:rPr>
          <w:szCs w:val="24"/>
        </w:rPr>
      </w:pPr>
      <w:r w:rsidRPr="003B4BD1">
        <w:rPr>
          <w:szCs w:val="24"/>
        </w:rPr>
        <w:lastRenderedPageBreak/>
        <w:tab/>
        <w:t xml:space="preserve">See </w:t>
      </w:r>
      <w:proofErr w:type="spellStart"/>
      <w:r w:rsidR="003B4BD1" w:rsidRPr="003B4BD1">
        <w:rPr>
          <w:i/>
          <w:szCs w:val="24"/>
        </w:rPr>
        <w:t>C</w:t>
      </w:r>
      <w:r w:rsidRPr="003B4BD1">
        <w:rPr>
          <w:i/>
          <w:szCs w:val="24"/>
        </w:rPr>
        <w:t>hrismar</w:t>
      </w:r>
      <w:proofErr w:type="spellEnd"/>
      <w:r w:rsidRPr="003B4BD1">
        <w:rPr>
          <w:i/>
          <w:szCs w:val="24"/>
        </w:rPr>
        <w:t xml:space="preserve"> (</w:t>
      </w:r>
      <w:proofErr w:type="spellStart"/>
      <w:r w:rsidRPr="003B4BD1">
        <w:rPr>
          <w:i/>
          <w:szCs w:val="24"/>
        </w:rPr>
        <w:t>Pvt</w:t>
      </w:r>
      <w:proofErr w:type="spellEnd"/>
      <w:r w:rsidRPr="003B4BD1">
        <w:rPr>
          <w:i/>
          <w:szCs w:val="24"/>
        </w:rPr>
        <w:t>) Ltd</w:t>
      </w:r>
      <w:r w:rsidRPr="003B4BD1">
        <w:rPr>
          <w:szCs w:val="24"/>
        </w:rPr>
        <w:t xml:space="preserve"> v </w:t>
      </w:r>
      <w:proofErr w:type="spellStart"/>
      <w:r w:rsidRPr="003B4BD1">
        <w:rPr>
          <w:i/>
          <w:szCs w:val="24"/>
        </w:rPr>
        <w:t>Stutchbury</w:t>
      </w:r>
      <w:proofErr w:type="spellEnd"/>
      <w:r w:rsidR="00BE18BA">
        <w:rPr>
          <w:szCs w:val="24"/>
        </w:rPr>
        <w:t xml:space="preserve"> 1973 (1) 277 (G) at page 279 B,</w:t>
      </w:r>
      <w:r w:rsidRPr="003B4BD1">
        <w:rPr>
          <w:szCs w:val="24"/>
        </w:rPr>
        <w:t xml:space="preserve"> where BECK J stated as follows:</w:t>
      </w:r>
    </w:p>
    <w:p w:rsidR="00343261" w:rsidRPr="003B4BD1" w:rsidRDefault="00343261" w:rsidP="003B4BD1">
      <w:pPr>
        <w:pStyle w:val="NoSpacing"/>
        <w:ind w:left="720"/>
        <w:jc w:val="both"/>
        <w:rPr>
          <w:i/>
          <w:szCs w:val="24"/>
        </w:rPr>
      </w:pPr>
      <w:r w:rsidRPr="003B4BD1">
        <w:rPr>
          <w:i/>
          <w:szCs w:val="24"/>
        </w:rPr>
        <w:t xml:space="preserve">“Because I am satisfied that this matter which the defendants should without question be allowed to defend unconditionally it would be inappropriate for me to embark at this stage upon a discussion of the evidence and of the possible inferences and conclusions of law to be drawn </w:t>
      </w:r>
      <w:proofErr w:type="spellStart"/>
      <w:r w:rsidRPr="003B4BD1">
        <w:rPr>
          <w:i/>
          <w:szCs w:val="24"/>
        </w:rPr>
        <w:t>therefrom</w:t>
      </w:r>
      <w:proofErr w:type="spellEnd"/>
      <w:r w:rsidRPr="003B4BD1">
        <w:rPr>
          <w:i/>
          <w:szCs w:val="24"/>
        </w:rPr>
        <w:t>.  The special procedure</w:t>
      </w:r>
      <w:r w:rsidR="003B4BD1" w:rsidRPr="003B4BD1">
        <w:rPr>
          <w:i/>
          <w:szCs w:val="24"/>
        </w:rPr>
        <w:t xml:space="preserve"> </w:t>
      </w:r>
      <w:r w:rsidRPr="003B4BD1">
        <w:rPr>
          <w:i/>
          <w:szCs w:val="24"/>
        </w:rPr>
        <w:t>for summary judgment w</w:t>
      </w:r>
      <w:r w:rsidR="003B4BD1" w:rsidRPr="003B4BD1">
        <w:rPr>
          <w:i/>
          <w:szCs w:val="24"/>
        </w:rPr>
        <w:t>a</w:t>
      </w:r>
      <w:r w:rsidRPr="003B4BD1">
        <w:rPr>
          <w:i/>
          <w:szCs w:val="24"/>
        </w:rPr>
        <w:t>s conceived so that a mala fide defe</w:t>
      </w:r>
      <w:r w:rsidR="00BE18BA">
        <w:rPr>
          <w:i/>
          <w:szCs w:val="24"/>
        </w:rPr>
        <w:t>ndant might summarily be denied</w:t>
      </w:r>
      <w:r w:rsidRPr="003B4BD1">
        <w:rPr>
          <w:i/>
          <w:szCs w:val="24"/>
        </w:rPr>
        <w:t xml:space="preserve"> except under onerous conditions</w:t>
      </w:r>
      <w:r w:rsidR="0073467A">
        <w:rPr>
          <w:i/>
          <w:szCs w:val="24"/>
        </w:rPr>
        <w:t>,</w:t>
      </w:r>
      <w:r w:rsidRPr="003B4BD1">
        <w:rPr>
          <w:i/>
          <w:szCs w:val="24"/>
        </w:rPr>
        <w:t xml:space="preserve"> the benefit of the </w:t>
      </w:r>
      <w:proofErr w:type="spellStart"/>
      <w:r w:rsidRPr="003B4BD1">
        <w:rPr>
          <w:i/>
          <w:szCs w:val="24"/>
        </w:rPr>
        <w:t>audi</w:t>
      </w:r>
      <w:proofErr w:type="spellEnd"/>
      <w:r w:rsidR="0073467A">
        <w:rPr>
          <w:i/>
          <w:szCs w:val="24"/>
        </w:rPr>
        <w:t xml:space="preserve"> </w:t>
      </w:r>
      <w:proofErr w:type="spellStart"/>
      <w:r w:rsidR="0073467A">
        <w:rPr>
          <w:i/>
          <w:szCs w:val="24"/>
        </w:rPr>
        <w:t>alteram</w:t>
      </w:r>
      <w:proofErr w:type="spellEnd"/>
      <w:r w:rsidR="0073467A">
        <w:rPr>
          <w:i/>
          <w:szCs w:val="24"/>
        </w:rPr>
        <w:t xml:space="preserve"> </w:t>
      </w:r>
      <w:proofErr w:type="spellStart"/>
      <w:r w:rsidR="0073467A">
        <w:rPr>
          <w:i/>
          <w:szCs w:val="24"/>
        </w:rPr>
        <w:t>partem</w:t>
      </w:r>
      <w:proofErr w:type="spellEnd"/>
      <w:r w:rsidR="0073467A">
        <w:rPr>
          <w:i/>
          <w:szCs w:val="24"/>
        </w:rPr>
        <w:t>.</w:t>
      </w:r>
      <w:r w:rsidR="003B4BD1" w:rsidRPr="003B4BD1">
        <w:rPr>
          <w:i/>
          <w:szCs w:val="24"/>
        </w:rPr>
        <w:t xml:space="preserve"> So extraordinary an invas</w:t>
      </w:r>
      <w:r w:rsidRPr="003B4BD1">
        <w:rPr>
          <w:i/>
          <w:szCs w:val="24"/>
        </w:rPr>
        <w:t>ion of a</w:t>
      </w:r>
      <w:r w:rsidR="002D683E">
        <w:rPr>
          <w:i/>
          <w:szCs w:val="24"/>
        </w:rPr>
        <w:t xml:space="preserve"> basic</w:t>
      </w:r>
      <w:r w:rsidRPr="003B4BD1">
        <w:rPr>
          <w:i/>
          <w:szCs w:val="24"/>
        </w:rPr>
        <w:t xml:space="preserve"> tenet of natural justice will not be lightly resorted to, and it is  well established that only where on the proposed </w:t>
      </w:r>
      <w:proofErr w:type="spellStart"/>
      <w:r w:rsidRPr="003B4BD1">
        <w:rPr>
          <w:i/>
          <w:szCs w:val="24"/>
        </w:rPr>
        <w:t>defences</w:t>
      </w:r>
      <w:proofErr w:type="spellEnd"/>
      <w:r w:rsidRPr="003B4BD1">
        <w:rPr>
          <w:i/>
          <w:szCs w:val="24"/>
        </w:rPr>
        <w:t xml:space="preserve"> to the plaintiff’s claim can clearly </w:t>
      </w:r>
      <w:proofErr w:type="spellStart"/>
      <w:r w:rsidRPr="003B4BD1">
        <w:rPr>
          <w:i/>
          <w:szCs w:val="24"/>
        </w:rPr>
        <w:t>unargueable</w:t>
      </w:r>
      <w:proofErr w:type="spellEnd"/>
      <w:r w:rsidRPr="003B4BD1">
        <w:rPr>
          <w:i/>
          <w:szCs w:val="24"/>
        </w:rPr>
        <w:t xml:space="preserve">, both in fact and in law, that the drastic relief will be afforded to a plaintiff.  See </w:t>
      </w:r>
      <w:proofErr w:type="spellStart"/>
      <w:r w:rsidRPr="003B4BD1">
        <w:rPr>
          <w:i/>
          <w:szCs w:val="24"/>
        </w:rPr>
        <w:t>Shingadia</w:t>
      </w:r>
      <w:proofErr w:type="spellEnd"/>
      <w:r w:rsidRPr="003B4BD1">
        <w:rPr>
          <w:i/>
          <w:szCs w:val="24"/>
        </w:rPr>
        <w:t xml:space="preserve"> v </w:t>
      </w:r>
      <w:proofErr w:type="spellStart"/>
      <w:r w:rsidRPr="003B4BD1">
        <w:rPr>
          <w:i/>
          <w:szCs w:val="24"/>
        </w:rPr>
        <w:t>Shingadia</w:t>
      </w:r>
      <w:proofErr w:type="spellEnd"/>
      <w:r w:rsidRPr="003B4BD1">
        <w:rPr>
          <w:i/>
          <w:szCs w:val="24"/>
        </w:rPr>
        <w:t xml:space="preserve"> 1963 (3) SA 24 (R</w:t>
      </w:r>
      <w:proofErr w:type="gramStart"/>
      <w:r w:rsidR="002D683E">
        <w:rPr>
          <w:i/>
          <w:szCs w:val="24"/>
        </w:rPr>
        <w:t>.</w:t>
      </w:r>
      <w:r w:rsidRPr="003B4BD1">
        <w:rPr>
          <w:i/>
          <w:szCs w:val="24"/>
        </w:rPr>
        <w:t xml:space="preserve"> )</w:t>
      </w:r>
      <w:proofErr w:type="gramEnd"/>
      <w:r w:rsidR="002D683E">
        <w:rPr>
          <w:i/>
          <w:szCs w:val="24"/>
        </w:rPr>
        <w:t xml:space="preserve">, </w:t>
      </w:r>
      <w:r w:rsidRPr="003B4BD1">
        <w:rPr>
          <w:i/>
          <w:szCs w:val="24"/>
        </w:rPr>
        <w:t xml:space="preserve"> and the authorities then cited …”</w:t>
      </w:r>
    </w:p>
    <w:p w:rsidR="00343261" w:rsidRPr="003B4BD1" w:rsidRDefault="00AE24A7" w:rsidP="003B4BD1">
      <w:pPr>
        <w:jc w:val="both"/>
        <w:rPr>
          <w:szCs w:val="24"/>
        </w:rPr>
      </w:pPr>
      <w:r>
        <w:rPr>
          <w:szCs w:val="24"/>
        </w:rPr>
        <w:tab/>
        <w:t>It has be</w:t>
      </w:r>
      <w:r w:rsidR="00476AC7">
        <w:rPr>
          <w:szCs w:val="24"/>
        </w:rPr>
        <w:t>en</w:t>
      </w:r>
      <w:r>
        <w:rPr>
          <w:szCs w:val="24"/>
        </w:rPr>
        <w:t xml:space="preserve"> settled,</w:t>
      </w:r>
      <w:r w:rsidR="002503E9" w:rsidRPr="003B4BD1">
        <w:rPr>
          <w:szCs w:val="24"/>
        </w:rPr>
        <w:t xml:space="preserve"> throughout the authorities that were there is a mere possibility of success</w:t>
      </w:r>
      <w:r w:rsidR="00DA6B18">
        <w:rPr>
          <w:szCs w:val="24"/>
        </w:rPr>
        <w:t xml:space="preserve"> exists,</w:t>
      </w:r>
      <w:r w:rsidR="002503E9" w:rsidRPr="003B4BD1">
        <w:rPr>
          <w:szCs w:val="24"/>
        </w:rPr>
        <w:t xml:space="preserve"> leave to defend has to be given to the defendant as he is required to s</w:t>
      </w:r>
      <w:r w:rsidR="005D4CBD">
        <w:rPr>
          <w:szCs w:val="24"/>
        </w:rPr>
        <w:t>how a probability of success</w:t>
      </w:r>
      <w:r w:rsidR="00233D2F">
        <w:rPr>
          <w:szCs w:val="24"/>
        </w:rPr>
        <w:t>,</w:t>
      </w:r>
      <w:r w:rsidR="005D4CBD">
        <w:rPr>
          <w:szCs w:val="24"/>
        </w:rPr>
        <w:t xml:space="preserve"> and</w:t>
      </w:r>
      <w:r w:rsidR="002503E9" w:rsidRPr="003B4BD1">
        <w:rPr>
          <w:szCs w:val="24"/>
        </w:rPr>
        <w:t xml:space="preserve"> only a prima facie </w:t>
      </w:r>
      <w:proofErr w:type="spellStart"/>
      <w:r w:rsidR="002503E9" w:rsidRPr="003B4BD1">
        <w:rPr>
          <w:szCs w:val="24"/>
        </w:rPr>
        <w:t>defence</w:t>
      </w:r>
      <w:proofErr w:type="spellEnd"/>
      <w:r w:rsidR="002503E9" w:rsidRPr="003B4BD1">
        <w:rPr>
          <w:szCs w:val="24"/>
        </w:rPr>
        <w:t>.</w:t>
      </w:r>
    </w:p>
    <w:p w:rsidR="002503E9" w:rsidRPr="003B4BD1" w:rsidRDefault="002503E9" w:rsidP="003B4BD1">
      <w:pPr>
        <w:jc w:val="both"/>
        <w:rPr>
          <w:szCs w:val="24"/>
        </w:rPr>
      </w:pPr>
      <w:r w:rsidRPr="003B4BD1">
        <w:rPr>
          <w:szCs w:val="24"/>
        </w:rPr>
        <w:tab/>
        <w:t xml:space="preserve">See also </w:t>
      </w:r>
      <w:r w:rsidRPr="003B4BD1">
        <w:rPr>
          <w:i/>
          <w:szCs w:val="24"/>
        </w:rPr>
        <w:t xml:space="preserve">Davies </w:t>
      </w:r>
      <w:r w:rsidRPr="003B4BD1">
        <w:rPr>
          <w:szCs w:val="24"/>
        </w:rPr>
        <w:t xml:space="preserve">v </w:t>
      </w:r>
      <w:r w:rsidRPr="003B4BD1">
        <w:rPr>
          <w:i/>
          <w:szCs w:val="24"/>
        </w:rPr>
        <w:t>Terry</w:t>
      </w:r>
      <w:r w:rsidRPr="003B4BD1">
        <w:rPr>
          <w:szCs w:val="24"/>
        </w:rPr>
        <w:t xml:space="preserve"> 1957 R &amp; N 392, 1957 (4) SA 98 (SR)</w:t>
      </w:r>
    </w:p>
    <w:p w:rsidR="002503E9" w:rsidRPr="003B4BD1" w:rsidRDefault="00DF2D69" w:rsidP="003B4BD1">
      <w:pPr>
        <w:jc w:val="both"/>
        <w:rPr>
          <w:b/>
          <w:szCs w:val="24"/>
        </w:rPr>
      </w:pPr>
      <w:r w:rsidRPr="003B4BD1">
        <w:rPr>
          <w:b/>
          <w:szCs w:val="24"/>
        </w:rPr>
        <w:t>Applying the law to the facts</w:t>
      </w:r>
    </w:p>
    <w:p w:rsidR="00DF2D69" w:rsidRPr="003B4BD1" w:rsidRDefault="003B4BD1" w:rsidP="003B4BD1">
      <w:pPr>
        <w:jc w:val="both"/>
        <w:rPr>
          <w:szCs w:val="24"/>
        </w:rPr>
      </w:pPr>
      <w:r w:rsidRPr="003B4BD1">
        <w:rPr>
          <w:szCs w:val="24"/>
        </w:rPr>
        <w:tab/>
        <w:t>Although the applicant’</w:t>
      </w:r>
      <w:r w:rsidR="00DF2D69" w:rsidRPr="003B4BD1">
        <w:rPr>
          <w:szCs w:val="24"/>
        </w:rPr>
        <w:t>s summons referred to an acknowledgment of debt, it does not in fact base its cause of action on the a</w:t>
      </w:r>
      <w:r w:rsidR="00233D2F">
        <w:rPr>
          <w:szCs w:val="24"/>
        </w:rPr>
        <w:t xml:space="preserve">cknowledgement </w:t>
      </w:r>
      <w:r w:rsidR="00383344">
        <w:rPr>
          <w:szCs w:val="24"/>
        </w:rPr>
        <w:t>o</w:t>
      </w:r>
      <w:r w:rsidR="00233D2F">
        <w:rPr>
          <w:szCs w:val="24"/>
        </w:rPr>
        <w:t>f debt, but rather</w:t>
      </w:r>
      <w:r w:rsidR="00DF2D69" w:rsidRPr="003B4BD1">
        <w:rPr>
          <w:szCs w:val="24"/>
        </w:rPr>
        <w:t>, on a loan agreemen</w:t>
      </w:r>
      <w:r w:rsidRPr="003B4BD1">
        <w:rPr>
          <w:szCs w:val="24"/>
        </w:rPr>
        <w:t>t</w:t>
      </w:r>
      <w:r w:rsidR="00DF2D69" w:rsidRPr="003B4BD1">
        <w:rPr>
          <w:szCs w:val="24"/>
        </w:rPr>
        <w:t xml:space="preserve"> between the parties</w:t>
      </w:r>
      <w:r w:rsidR="005C73FF">
        <w:rPr>
          <w:szCs w:val="24"/>
        </w:rPr>
        <w:t>.</w:t>
      </w:r>
      <w:r w:rsidR="00EA2738">
        <w:rPr>
          <w:szCs w:val="24"/>
        </w:rPr>
        <w:t xml:space="preserve">  T</w:t>
      </w:r>
      <w:r w:rsidR="00DF2D69" w:rsidRPr="003B4BD1">
        <w:rPr>
          <w:szCs w:val="24"/>
        </w:rPr>
        <w:t>he pa</w:t>
      </w:r>
      <w:r w:rsidR="00383344">
        <w:rPr>
          <w:szCs w:val="24"/>
        </w:rPr>
        <w:t>rticulars in the declaration</w:t>
      </w:r>
      <w:r w:rsidR="00DF2D69" w:rsidRPr="003B4BD1">
        <w:rPr>
          <w:szCs w:val="24"/>
        </w:rPr>
        <w:t xml:space="preserve"> detail the alleged terms of the loan agreement between the parties.</w:t>
      </w:r>
      <w:r w:rsidR="00C76845" w:rsidRPr="003B4BD1">
        <w:rPr>
          <w:szCs w:val="24"/>
        </w:rPr>
        <w:t xml:space="preserve">  What is curious in this matter</w:t>
      </w:r>
      <w:r w:rsidR="00C750BE">
        <w:rPr>
          <w:szCs w:val="24"/>
        </w:rPr>
        <w:t>,</w:t>
      </w:r>
      <w:r w:rsidR="00C76845" w:rsidRPr="003B4BD1">
        <w:rPr>
          <w:szCs w:val="24"/>
        </w:rPr>
        <w:t xml:space="preserve"> is that instead of adducing evidence </w:t>
      </w:r>
      <w:r w:rsidR="006F4DBD">
        <w:rPr>
          <w:szCs w:val="24"/>
        </w:rPr>
        <w:t>of proof of the loan adverted to</w:t>
      </w:r>
      <w:r w:rsidR="00C76845" w:rsidRPr="003B4BD1">
        <w:rPr>
          <w:szCs w:val="24"/>
        </w:rPr>
        <w:t xml:space="preserve"> in the applicant’s summ</w:t>
      </w:r>
      <w:r w:rsidRPr="003B4BD1">
        <w:rPr>
          <w:szCs w:val="24"/>
        </w:rPr>
        <w:t>o</w:t>
      </w:r>
      <w:r w:rsidR="00C76845" w:rsidRPr="003B4BD1">
        <w:rPr>
          <w:szCs w:val="24"/>
        </w:rPr>
        <w:t>ns and particulars of claim, in its founding a</w:t>
      </w:r>
      <w:r w:rsidR="006F4DBD">
        <w:rPr>
          <w:szCs w:val="24"/>
        </w:rPr>
        <w:t>ffidavit, the applicant refers</w:t>
      </w:r>
      <w:r w:rsidR="00C76845" w:rsidRPr="003B4BD1">
        <w:rPr>
          <w:szCs w:val="24"/>
        </w:rPr>
        <w:t xml:space="preserve"> to the acknowledgment of debt, which is a completely different cause of action.  In any event, the acknowledgment of debt does not state that it is itself a loan agreement, or that the cause of action of </w:t>
      </w:r>
      <w:r w:rsidRPr="003B4BD1">
        <w:rPr>
          <w:szCs w:val="24"/>
        </w:rPr>
        <w:t>t</w:t>
      </w:r>
      <w:r w:rsidR="00C76845" w:rsidRPr="003B4BD1">
        <w:rPr>
          <w:szCs w:val="24"/>
        </w:rPr>
        <w:t xml:space="preserve">he acknowledgment of debt is the loan of some </w:t>
      </w:r>
      <w:r w:rsidR="000E53C7" w:rsidRPr="003B4BD1">
        <w:rPr>
          <w:szCs w:val="24"/>
        </w:rPr>
        <w:t>money owed by the respondents.  In effect, therefore, the applicant has not adduced a liquid document evincing a loan agreement as claimed in the summons but rather has produced an acknowledgment of debt whose basis is not esta</w:t>
      </w:r>
      <w:r w:rsidR="00E34832">
        <w:rPr>
          <w:szCs w:val="24"/>
        </w:rPr>
        <w:t>blished on the papers filed by the</w:t>
      </w:r>
      <w:r w:rsidR="000E53C7" w:rsidRPr="003B4BD1">
        <w:rPr>
          <w:szCs w:val="24"/>
        </w:rPr>
        <w:t xml:space="preserve"> applicant.</w:t>
      </w:r>
    </w:p>
    <w:p w:rsidR="000E53C7" w:rsidRPr="003B4BD1" w:rsidRDefault="000E53C7" w:rsidP="003B4BD1">
      <w:pPr>
        <w:jc w:val="both"/>
        <w:rPr>
          <w:szCs w:val="24"/>
        </w:rPr>
      </w:pPr>
      <w:r w:rsidRPr="003B4BD1">
        <w:rPr>
          <w:szCs w:val="24"/>
        </w:rPr>
        <w:lastRenderedPageBreak/>
        <w:tab/>
        <w:t xml:space="preserve">The respondents aver in their </w:t>
      </w:r>
      <w:proofErr w:type="spellStart"/>
      <w:r w:rsidRPr="003B4BD1">
        <w:rPr>
          <w:szCs w:val="24"/>
        </w:rPr>
        <w:t>defence</w:t>
      </w:r>
      <w:proofErr w:type="spellEnd"/>
      <w:r w:rsidRPr="003B4BD1">
        <w:rPr>
          <w:szCs w:val="24"/>
        </w:rPr>
        <w:t xml:space="preserve"> that there was in fact no loan agreement but rather a joint venture in respect of which </w:t>
      </w:r>
      <w:proofErr w:type="spellStart"/>
      <w:r w:rsidRPr="003B4BD1">
        <w:rPr>
          <w:szCs w:val="24"/>
        </w:rPr>
        <w:t>Mr</w:t>
      </w:r>
      <w:proofErr w:type="spellEnd"/>
      <w:r w:rsidRPr="003B4BD1">
        <w:rPr>
          <w:szCs w:val="24"/>
        </w:rPr>
        <w:t xml:space="preserve"> </w:t>
      </w:r>
      <w:proofErr w:type="spellStart"/>
      <w:r w:rsidRPr="003B4BD1">
        <w:rPr>
          <w:szCs w:val="24"/>
        </w:rPr>
        <w:t>Lepar</w:t>
      </w:r>
      <w:proofErr w:type="spellEnd"/>
      <w:r w:rsidR="00EB33B3">
        <w:rPr>
          <w:szCs w:val="24"/>
        </w:rPr>
        <w:t>, a director of the applicant, injected monies and</w:t>
      </w:r>
      <w:r w:rsidRPr="003B4BD1">
        <w:rPr>
          <w:szCs w:val="24"/>
        </w:rPr>
        <w:t xml:space="preserve"> </w:t>
      </w:r>
      <w:r w:rsidR="00EB33B3">
        <w:rPr>
          <w:szCs w:val="24"/>
        </w:rPr>
        <w:t>that such monies were now due</w:t>
      </w:r>
      <w:r w:rsidRPr="003B4BD1">
        <w:rPr>
          <w:szCs w:val="24"/>
        </w:rPr>
        <w:t xml:space="preserve"> as a result of the joint venture agreement collapsing.  The respondent gave extensive details about this failed joint venture involving the parties</w:t>
      </w:r>
      <w:r w:rsidR="0096427E">
        <w:rPr>
          <w:szCs w:val="24"/>
        </w:rPr>
        <w:t>,</w:t>
      </w:r>
      <w:r w:rsidRPr="003B4BD1">
        <w:rPr>
          <w:szCs w:val="24"/>
        </w:rPr>
        <w:t xml:space="preserve"> including the exact amounts contributed by </w:t>
      </w:r>
      <w:proofErr w:type="spellStart"/>
      <w:r w:rsidRPr="003B4BD1">
        <w:rPr>
          <w:szCs w:val="24"/>
        </w:rPr>
        <w:t>Mr</w:t>
      </w:r>
      <w:proofErr w:type="spellEnd"/>
      <w:r w:rsidRPr="003B4BD1">
        <w:rPr>
          <w:szCs w:val="24"/>
        </w:rPr>
        <w:t xml:space="preserve"> </w:t>
      </w:r>
      <w:proofErr w:type="spellStart"/>
      <w:r w:rsidRPr="003B4BD1">
        <w:rPr>
          <w:szCs w:val="24"/>
        </w:rPr>
        <w:t>Lepar</w:t>
      </w:r>
      <w:proofErr w:type="spellEnd"/>
      <w:r w:rsidRPr="003B4BD1">
        <w:rPr>
          <w:szCs w:val="24"/>
        </w:rPr>
        <w:t xml:space="preserve"> and the terms of repayment of </w:t>
      </w:r>
      <w:proofErr w:type="spellStart"/>
      <w:r w:rsidRPr="003B4BD1">
        <w:rPr>
          <w:szCs w:val="24"/>
        </w:rPr>
        <w:t>Mr</w:t>
      </w:r>
      <w:proofErr w:type="spellEnd"/>
      <w:r w:rsidRPr="003B4BD1">
        <w:rPr>
          <w:szCs w:val="24"/>
        </w:rPr>
        <w:t xml:space="preserve"> </w:t>
      </w:r>
      <w:proofErr w:type="spellStart"/>
      <w:r w:rsidRPr="003B4BD1">
        <w:rPr>
          <w:szCs w:val="24"/>
        </w:rPr>
        <w:t>Lepar’s</w:t>
      </w:r>
      <w:proofErr w:type="spellEnd"/>
      <w:r w:rsidRPr="003B4BD1">
        <w:rPr>
          <w:szCs w:val="24"/>
        </w:rPr>
        <w:t xml:space="preserve"> contribution into the joint venture agreement including the deduction of the cost of the plastic bottles </w:t>
      </w:r>
      <w:r w:rsidR="00D92A0F">
        <w:rPr>
          <w:szCs w:val="24"/>
        </w:rPr>
        <w:t>which were to be supplied to the applicant by 1</w:t>
      </w:r>
      <w:r w:rsidR="00D92A0F" w:rsidRPr="00D92A0F">
        <w:rPr>
          <w:szCs w:val="24"/>
          <w:vertAlign w:val="superscript"/>
        </w:rPr>
        <w:t>st</w:t>
      </w:r>
      <w:r w:rsidR="00D92A0F">
        <w:rPr>
          <w:szCs w:val="24"/>
        </w:rPr>
        <w:t xml:space="preserve"> respondent.</w:t>
      </w:r>
    </w:p>
    <w:p w:rsidR="001520AA" w:rsidRPr="003B4BD1" w:rsidRDefault="000E53C7" w:rsidP="003B4BD1">
      <w:pPr>
        <w:jc w:val="both"/>
        <w:rPr>
          <w:szCs w:val="24"/>
        </w:rPr>
      </w:pPr>
      <w:r w:rsidRPr="003B4BD1">
        <w:rPr>
          <w:szCs w:val="24"/>
        </w:rPr>
        <w:tab/>
        <w:t xml:space="preserve">In its founding affidavit, the applicant is completely silent as regards the respondent’s </w:t>
      </w:r>
      <w:proofErr w:type="spellStart"/>
      <w:r w:rsidRPr="003B4BD1">
        <w:rPr>
          <w:szCs w:val="24"/>
        </w:rPr>
        <w:t>defence</w:t>
      </w:r>
      <w:proofErr w:type="spellEnd"/>
      <w:r w:rsidRPr="003B4BD1">
        <w:rPr>
          <w:szCs w:val="24"/>
        </w:rPr>
        <w:t xml:space="preserve"> as pleaded in</w:t>
      </w:r>
      <w:r w:rsidR="00606973">
        <w:rPr>
          <w:szCs w:val="24"/>
        </w:rPr>
        <w:t xml:space="preserve"> the</w:t>
      </w:r>
      <w:r w:rsidRPr="003B4BD1">
        <w:rPr>
          <w:szCs w:val="24"/>
        </w:rPr>
        <w:t xml:space="preserve"> plea and counter claim.  The applicant says absolutely nothing about the averments regar</w:t>
      </w:r>
      <w:r w:rsidR="003B4BD1" w:rsidRPr="003B4BD1">
        <w:rPr>
          <w:szCs w:val="24"/>
        </w:rPr>
        <w:t xml:space="preserve">ding the joint venture and the </w:t>
      </w:r>
      <w:r w:rsidRPr="003B4BD1">
        <w:rPr>
          <w:szCs w:val="24"/>
        </w:rPr>
        <w:t>damages allegedly suffer</w:t>
      </w:r>
      <w:r w:rsidR="003B4BD1" w:rsidRPr="003B4BD1">
        <w:rPr>
          <w:szCs w:val="24"/>
        </w:rPr>
        <w:t>e</w:t>
      </w:r>
      <w:r w:rsidR="00414551">
        <w:rPr>
          <w:szCs w:val="24"/>
        </w:rPr>
        <w:t xml:space="preserve">d by respondents.  The respondents” </w:t>
      </w:r>
      <w:proofErr w:type="spellStart"/>
      <w:r w:rsidR="00414551">
        <w:rPr>
          <w:szCs w:val="24"/>
        </w:rPr>
        <w:t>defence</w:t>
      </w:r>
      <w:proofErr w:type="spellEnd"/>
      <w:r w:rsidRPr="003B4BD1">
        <w:rPr>
          <w:szCs w:val="24"/>
        </w:rPr>
        <w:t xml:space="preserve"> is clearly detailed and called for a direct response from the applican</w:t>
      </w:r>
      <w:r w:rsidR="00414551">
        <w:rPr>
          <w:szCs w:val="24"/>
        </w:rPr>
        <w:t xml:space="preserve">t.  The </w:t>
      </w:r>
      <w:proofErr w:type="spellStart"/>
      <w:r w:rsidR="00414551">
        <w:rPr>
          <w:szCs w:val="24"/>
        </w:rPr>
        <w:t>defence</w:t>
      </w:r>
      <w:proofErr w:type="spellEnd"/>
      <w:r w:rsidR="00414551">
        <w:rPr>
          <w:szCs w:val="24"/>
        </w:rPr>
        <w:t xml:space="preserve"> proffered by</w:t>
      </w:r>
      <w:r w:rsidRPr="003B4BD1">
        <w:rPr>
          <w:szCs w:val="24"/>
        </w:rPr>
        <w:t xml:space="preserve"> the responden</w:t>
      </w:r>
      <w:r w:rsidR="003B4BD1" w:rsidRPr="003B4BD1">
        <w:rPr>
          <w:szCs w:val="24"/>
        </w:rPr>
        <w:t>t</w:t>
      </w:r>
      <w:r w:rsidRPr="003B4BD1">
        <w:rPr>
          <w:szCs w:val="24"/>
        </w:rPr>
        <w:t xml:space="preserve">s is neither vague </w:t>
      </w:r>
      <w:r w:rsidR="00646D6E">
        <w:rPr>
          <w:szCs w:val="24"/>
        </w:rPr>
        <w:t xml:space="preserve">nor fanciful and if proved </w:t>
      </w:r>
      <w:r w:rsidRPr="003B4BD1">
        <w:rPr>
          <w:szCs w:val="24"/>
        </w:rPr>
        <w:t>constitute</w:t>
      </w:r>
      <w:r w:rsidR="00646D6E">
        <w:rPr>
          <w:szCs w:val="24"/>
        </w:rPr>
        <w:t>s</w:t>
      </w:r>
      <w:r w:rsidRPr="003B4BD1">
        <w:rPr>
          <w:szCs w:val="24"/>
        </w:rPr>
        <w:t xml:space="preserve"> a com</w:t>
      </w:r>
      <w:r w:rsidR="003B4BD1" w:rsidRPr="003B4BD1">
        <w:rPr>
          <w:szCs w:val="24"/>
        </w:rPr>
        <w:t>p</w:t>
      </w:r>
      <w:r w:rsidRPr="003B4BD1">
        <w:rPr>
          <w:szCs w:val="24"/>
        </w:rPr>
        <w:t xml:space="preserve">lete </w:t>
      </w:r>
      <w:proofErr w:type="spellStart"/>
      <w:r w:rsidRPr="003B4BD1">
        <w:rPr>
          <w:szCs w:val="24"/>
        </w:rPr>
        <w:t>defence</w:t>
      </w:r>
      <w:proofErr w:type="spellEnd"/>
      <w:r w:rsidRPr="003B4BD1">
        <w:rPr>
          <w:szCs w:val="24"/>
        </w:rPr>
        <w:t>.  Further, the applicant has not a</w:t>
      </w:r>
      <w:r w:rsidR="001520AA" w:rsidRPr="003B4BD1">
        <w:rPr>
          <w:szCs w:val="24"/>
        </w:rPr>
        <w:t>ddressed the issue of the rate of interest respondents claim is contrary to the Money Lending and Rates of Interest Act (Chapter 14:14).</w:t>
      </w:r>
    </w:p>
    <w:p w:rsidR="001520AA" w:rsidRPr="003B4BD1" w:rsidRDefault="0014684E" w:rsidP="003B4BD1">
      <w:pPr>
        <w:jc w:val="both"/>
        <w:rPr>
          <w:b/>
          <w:szCs w:val="24"/>
        </w:rPr>
      </w:pPr>
      <w:r>
        <w:rPr>
          <w:b/>
          <w:szCs w:val="24"/>
        </w:rPr>
        <w:t>Disposition</w:t>
      </w:r>
    </w:p>
    <w:p w:rsidR="008D2CCF" w:rsidRPr="003B4BD1" w:rsidRDefault="001520AA" w:rsidP="003B4BD1">
      <w:pPr>
        <w:jc w:val="both"/>
        <w:rPr>
          <w:szCs w:val="24"/>
        </w:rPr>
      </w:pPr>
      <w:r w:rsidRPr="003B4BD1">
        <w:rPr>
          <w:szCs w:val="24"/>
        </w:rPr>
        <w:tab/>
        <w:t xml:space="preserve">From the </w:t>
      </w:r>
      <w:proofErr w:type="spellStart"/>
      <w:r w:rsidRPr="003B4BD1">
        <w:rPr>
          <w:szCs w:val="24"/>
        </w:rPr>
        <w:t>aforegoing</w:t>
      </w:r>
      <w:proofErr w:type="spellEnd"/>
      <w:r w:rsidRPr="003B4BD1">
        <w:rPr>
          <w:szCs w:val="24"/>
        </w:rPr>
        <w:t xml:space="preserve">, it is clear that the respondents have shown that they have a </w:t>
      </w:r>
      <w:r w:rsidRPr="003B4BD1">
        <w:rPr>
          <w:i/>
          <w:szCs w:val="24"/>
        </w:rPr>
        <w:t>bona fide</w:t>
      </w:r>
      <w:r w:rsidRPr="003B4BD1">
        <w:rPr>
          <w:szCs w:val="24"/>
        </w:rPr>
        <w:t xml:space="preserve"> </w:t>
      </w:r>
      <w:proofErr w:type="spellStart"/>
      <w:r w:rsidRPr="003B4BD1">
        <w:rPr>
          <w:szCs w:val="24"/>
        </w:rPr>
        <w:t>defence</w:t>
      </w:r>
      <w:proofErr w:type="spellEnd"/>
      <w:r w:rsidRPr="003B4BD1">
        <w:rPr>
          <w:szCs w:val="24"/>
        </w:rPr>
        <w:t xml:space="preserve"> to the claim.  The respondents’ counter claim is not vexatious and applicant has not established that it has an unanswerable case against the respondents.  For that reason, the application for summar</w:t>
      </w:r>
      <w:r w:rsidR="003B4BD1" w:rsidRPr="003B4BD1">
        <w:rPr>
          <w:szCs w:val="24"/>
        </w:rPr>
        <w:t>y</w:t>
      </w:r>
      <w:r w:rsidRPr="003B4BD1">
        <w:rPr>
          <w:szCs w:val="24"/>
        </w:rPr>
        <w:t xml:space="preserve"> judgment cannot be sustained on the papers before the court.</w:t>
      </w:r>
    </w:p>
    <w:p w:rsidR="001520AA" w:rsidRPr="003B4BD1" w:rsidRDefault="001520AA" w:rsidP="003B4BD1">
      <w:pPr>
        <w:jc w:val="both"/>
        <w:rPr>
          <w:szCs w:val="24"/>
        </w:rPr>
      </w:pPr>
      <w:r w:rsidRPr="003B4BD1">
        <w:rPr>
          <w:szCs w:val="24"/>
        </w:rPr>
        <w:tab/>
        <w:t>Accordingly, and in the result,</w:t>
      </w:r>
      <w:r w:rsidR="003B4BD1" w:rsidRPr="003B4BD1">
        <w:rPr>
          <w:szCs w:val="24"/>
        </w:rPr>
        <w:t xml:space="preserve"> the application</w:t>
      </w:r>
      <w:r w:rsidRPr="003B4BD1">
        <w:rPr>
          <w:szCs w:val="24"/>
        </w:rPr>
        <w:t xml:space="preserve"> for summary judgment is dismissed with costs.</w:t>
      </w:r>
    </w:p>
    <w:p w:rsidR="001520AA" w:rsidRPr="003B4BD1" w:rsidRDefault="001520AA" w:rsidP="003B4BD1">
      <w:pPr>
        <w:jc w:val="both"/>
        <w:rPr>
          <w:szCs w:val="24"/>
        </w:rPr>
      </w:pPr>
    </w:p>
    <w:p w:rsidR="001520AA" w:rsidRPr="003B4BD1" w:rsidRDefault="001520AA" w:rsidP="003B4BD1">
      <w:pPr>
        <w:jc w:val="both"/>
        <w:rPr>
          <w:szCs w:val="24"/>
        </w:rPr>
      </w:pPr>
    </w:p>
    <w:p w:rsidR="001520AA" w:rsidRPr="003B4BD1" w:rsidRDefault="001520AA" w:rsidP="003B4BD1">
      <w:pPr>
        <w:pStyle w:val="NoSpacing"/>
        <w:jc w:val="both"/>
        <w:rPr>
          <w:szCs w:val="24"/>
        </w:rPr>
      </w:pPr>
      <w:r w:rsidRPr="003B4BD1">
        <w:rPr>
          <w:i/>
          <w:szCs w:val="24"/>
        </w:rPr>
        <w:t xml:space="preserve">Messrs </w:t>
      </w:r>
      <w:proofErr w:type="spellStart"/>
      <w:r w:rsidRPr="003B4BD1">
        <w:rPr>
          <w:i/>
          <w:szCs w:val="24"/>
        </w:rPr>
        <w:t>Coghlan</w:t>
      </w:r>
      <w:proofErr w:type="spellEnd"/>
      <w:r w:rsidRPr="003B4BD1">
        <w:rPr>
          <w:i/>
          <w:szCs w:val="24"/>
        </w:rPr>
        <w:t xml:space="preserve"> &amp; Welsh</w:t>
      </w:r>
      <w:r w:rsidRPr="003B4BD1">
        <w:rPr>
          <w:szCs w:val="24"/>
        </w:rPr>
        <w:t>, applicant’s legal practitioners</w:t>
      </w:r>
    </w:p>
    <w:p w:rsidR="001520AA" w:rsidRPr="003B4BD1" w:rsidRDefault="001520AA" w:rsidP="003B4BD1">
      <w:pPr>
        <w:pStyle w:val="NoSpacing"/>
        <w:jc w:val="both"/>
        <w:rPr>
          <w:szCs w:val="24"/>
        </w:rPr>
      </w:pPr>
      <w:r w:rsidRPr="003B4BD1">
        <w:rPr>
          <w:i/>
          <w:szCs w:val="24"/>
        </w:rPr>
        <w:lastRenderedPageBreak/>
        <w:t xml:space="preserve">Messrs Harvey &amp; Granger co. Calderwood, Bryce </w:t>
      </w:r>
      <w:proofErr w:type="spellStart"/>
      <w:r w:rsidRPr="003B4BD1">
        <w:rPr>
          <w:i/>
          <w:szCs w:val="24"/>
        </w:rPr>
        <w:t>Hendrie</w:t>
      </w:r>
      <w:proofErr w:type="spellEnd"/>
      <w:r w:rsidRPr="003B4BD1">
        <w:rPr>
          <w:i/>
          <w:szCs w:val="24"/>
        </w:rPr>
        <w:t xml:space="preserve"> &amp; Partners</w:t>
      </w:r>
      <w:r w:rsidRPr="003B4BD1">
        <w:rPr>
          <w:szCs w:val="24"/>
        </w:rPr>
        <w:t>, respondents’ legal practitioners</w:t>
      </w:r>
    </w:p>
    <w:p w:rsidR="001520AA" w:rsidRPr="001520AA" w:rsidRDefault="001520AA" w:rsidP="003B4BD1">
      <w:pPr>
        <w:pStyle w:val="NoSpacing"/>
        <w:jc w:val="both"/>
        <w:rPr>
          <w:sz w:val="44"/>
          <w:szCs w:val="44"/>
        </w:rPr>
      </w:pPr>
    </w:p>
    <w:p w:rsidR="001520AA" w:rsidRPr="001520AA" w:rsidRDefault="001520AA" w:rsidP="003B4BD1">
      <w:pPr>
        <w:jc w:val="both"/>
        <w:rPr>
          <w:sz w:val="44"/>
          <w:szCs w:val="44"/>
        </w:rPr>
      </w:pPr>
    </w:p>
    <w:p w:rsidR="001520AA" w:rsidRPr="001520AA" w:rsidRDefault="001520AA" w:rsidP="003B4BD1">
      <w:pPr>
        <w:jc w:val="both"/>
        <w:rPr>
          <w:sz w:val="44"/>
          <w:szCs w:val="44"/>
        </w:rPr>
      </w:pPr>
    </w:p>
    <w:sectPr w:rsidR="001520AA" w:rsidRPr="001520AA" w:rsidSect="005431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68E" w:rsidRDefault="005A568E" w:rsidP="003B4BD1">
      <w:pPr>
        <w:spacing w:before="0" w:after="0" w:line="240" w:lineRule="auto"/>
      </w:pPr>
      <w:r>
        <w:separator/>
      </w:r>
    </w:p>
  </w:endnote>
  <w:endnote w:type="continuationSeparator" w:id="0">
    <w:p w:rsidR="005A568E" w:rsidRDefault="005A568E" w:rsidP="003B4B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68E" w:rsidRDefault="005A568E" w:rsidP="003B4BD1">
      <w:pPr>
        <w:spacing w:before="0" w:after="0" w:line="240" w:lineRule="auto"/>
      </w:pPr>
      <w:r>
        <w:separator/>
      </w:r>
    </w:p>
  </w:footnote>
  <w:footnote w:type="continuationSeparator" w:id="0">
    <w:p w:rsidR="005A568E" w:rsidRDefault="005A568E" w:rsidP="003B4B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5782"/>
      <w:docPartObj>
        <w:docPartGallery w:val="Page Numbers (Top of Page)"/>
        <w:docPartUnique/>
      </w:docPartObj>
    </w:sdtPr>
    <w:sdtContent>
      <w:p w:rsidR="003B4BD1" w:rsidRDefault="00DF5E2C">
        <w:pPr>
          <w:pStyle w:val="Header"/>
          <w:jc w:val="right"/>
        </w:pPr>
        <w:fldSimple w:instr=" PAGE   \* MERGEFORMAT ">
          <w:r w:rsidR="00476AC7">
            <w:rPr>
              <w:noProof/>
            </w:rPr>
            <w:t>3</w:t>
          </w:r>
        </w:fldSimple>
      </w:p>
      <w:p w:rsidR="003B4BD1" w:rsidRDefault="003B4BD1" w:rsidP="003B4BD1">
        <w:pPr>
          <w:pStyle w:val="NoSpacing"/>
          <w:ind w:left="7920"/>
        </w:pPr>
        <w:r>
          <w:t xml:space="preserve">        HB 20/19</w:t>
        </w:r>
      </w:p>
      <w:p w:rsidR="003B4BD1" w:rsidRDefault="003B4BD1" w:rsidP="003B4BD1">
        <w:pPr>
          <w:pStyle w:val="NoSpacing"/>
          <w:ind w:left="7920"/>
        </w:pPr>
        <w:r>
          <w:t xml:space="preserve">    HC 1808/18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CCF"/>
    <w:rsid w:val="00035DCB"/>
    <w:rsid w:val="000E53C7"/>
    <w:rsid w:val="0014684E"/>
    <w:rsid w:val="001520AA"/>
    <w:rsid w:val="001860B5"/>
    <w:rsid w:val="001D126B"/>
    <w:rsid w:val="00216E20"/>
    <w:rsid w:val="00233D2F"/>
    <w:rsid w:val="002503E9"/>
    <w:rsid w:val="002C7F8A"/>
    <w:rsid w:val="002D683E"/>
    <w:rsid w:val="00343261"/>
    <w:rsid w:val="00383344"/>
    <w:rsid w:val="003A3365"/>
    <w:rsid w:val="003B046B"/>
    <w:rsid w:val="003B4BD1"/>
    <w:rsid w:val="003E5BAA"/>
    <w:rsid w:val="003F0DA1"/>
    <w:rsid w:val="00411B64"/>
    <w:rsid w:val="00414551"/>
    <w:rsid w:val="004212D5"/>
    <w:rsid w:val="00476AC7"/>
    <w:rsid w:val="00477B02"/>
    <w:rsid w:val="004D5736"/>
    <w:rsid w:val="0054317D"/>
    <w:rsid w:val="005A568E"/>
    <w:rsid w:val="005C73FF"/>
    <w:rsid w:val="005D4CBD"/>
    <w:rsid w:val="00606973"/>
    <w:rsid w:val="00646D6E"/>
    <w:rsid w:val="0068662E"/>
    <w:rsid w:val="006A03C9"/>
    <w:rsid w:val="006F4DBD"/>
    <w:rsid w:val="00701C30"/>
    <w:rsid w:val="0073467A"/>
    <w:rsid w:val="0079406C"/>
    <w:rsid w:val="00794501"/>
    <w:rsid w:val="007B49A6"/>
    <w:rsid w:val="007D0B26"/>
    <w:rsid w:val="007D2790"/>
    <w:rsid w:val="008A7672"/>
    <w:rsid w:val="008C3209"/>
    <w:rsid w:val="008D2CCF"/>
    <w:rsid w:val="00905E0B"/>
    <w:rsid w:val="0096427E"/>
    <w:rsid w:val="009E5C1A"/>
    <w:rsid w:val="009F580D"/>
    <w:rsid w:val="00A12BD8"/>
    <w:rsid w:val="00A50BC8"/>
    <w:rsid w:val="00AE24A7"/>
    <w:rsid w:val="00BA37FA"/>
    <w:rsid w:val="00BE18BA"/>
    <w:rsid w:val="00C61900"/>
    <w:rsid w:val="00C750BE"/>
    <w:rsid w:val="00C76845"/>
    <w:rsid w:val="00D20B4C"/>
    <w:rsid w:val="00D92A0F"/>
    <w:rsid w:val="00DA6B18"/>
    <w:rsid w:val="00DD1CD6"/>
    <w:rsid w:val="00DF2D69"/>
    <w:rsid w:val="00DF5E2C"/>
    <w:rsid w:val="00E10C27"/>
    <w:rsid w:val="00E34832"/>
    <w:rsid w:val="00EA2738"/>
    <w:rsid w:val="00EB33B3"/>
    <w:rsid w:val="00EB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4C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1900"/>
    <w:pPr>
      <w:keepLines/>
      <w:contextualSpacing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B4B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D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B4BD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4BD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sabawu</dc:creator>
  <cp:lastModifiedBy>User</cp:lastModifiedBy>
  <cp:revision>35</cp:revision>
  <cp:lastPrinted>2019-02-13T10:29:00Z</cp:lastPrinted>
  <dcterms:created xsi:type="dcterms:W3CDTF">2019-02-12T10:05:00Z</dcterms:created>
  <dcterms:modified xsi:type="dcterms:W3CDTF">2019-02-13T10:35:00Z</dcterms:modified>
</cp:coreProperties>
</file>