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2C" w:rsidRDefault="0099492C" w:rsidP="0099492C">
      <w:pPr>
        <w:jc w:val="both"/>
        <w:rPr>
          <w:rFonts w:ascii="Times New Roman" w:hAnsi="Times New Roman" w:cs="Times New Roman"/>
          <w:sz w:val="24"/>
          <w:szCs w:val="24"/>
        </w:rPr>
      </w:pPr>
      <w:bookmarkStart w:id="0" w:name="_GoBack"/>
      <w:bookmarkEnd w:id="0"/>
    </w:p>
    <w:p w:rsidR="00F35D52" w:rsidRDefault="0099492C" w:rsidP="0099492C">
      <w:pPr>
        <w:spacing w:after="0"/>
        <w:jc w:val="both"/>
        <w:rPr>
          <w:rFonts w:ascii="Times New Roman" w:hAnsi="Times New Roman" w:cs="Times New Roman"/>
          <w:sz w:val="24"/>
          <w:szCs w:val="24"/>
        </w:rPr>
      </w:pPr>
      <w:r>
        <w:rPr>
          <w:rFonts w:ascii="Times New Roman" w:hAnsi="Times New Roman" w:cs="Times New Roman"/>
          <w:sz w:val="24"/>
          <w:szCs w:val="24"/>
        </w:rPr>
        <w:t>HOPEWELL CHIN’ONO</w:t>
      </w:r>
    </w:p>
    <w:p w:rsidR="0099492C" w:rsidRDefault="0099492C" w:rsidP="0099492C">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99492C" w:rsidRDefault="0099492C" w:rsidP="0099492C">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99492C" w:rsidRDefault="0099492C" w:rsidP="0099492C">
      <w:pPr>
        <w:spacing w:after="0"/>
        <w:jc w:val="both"/>
        <w:rPr>
          <w:rFonts w:ascii="Times New Roman" w:hAnsi="Times New Roman" w:cs="Times New Roman"/>
          <w:sz w:val="24"/>
          <w:szCs w:val="24"/>
        </w:rPr>
      </w:pPr>
    </w:p>
    <w:p w:rsidR="0099492C" w:rsidRDefault="0099492C" w:rsidP="0099492C">
      <w:pPr>
        <w:spacing w:after="0"/>
        <w:jc w:val="both"/>
        <w:rPr>
          <w:rFonts w:ascii="Times New Roman" w:hAnsi="Times New Roman" w:cs="Times New Roman"/>
          <w:sz w:val="24"/>
          <w:szCs w:val="24"/>
        </w:rPr>
      </w:pPr>
    </w:p>
    <w:p w:rsidR="0099492C" w:rsidRDefault="00CF2D7A" w:rsidP="0099492C">
      <w:pPr>
        <w:spacing w:after="0"/>
        <w:jc w:val="both"/>
        <w:rPr>
          <w:rFonts w:ascii="Times New Roman" w:hAnsi="Times New Roman" w:cs="Times New Roman"/>
          <w:sz w:val="24"/>
          <w:szCs w:val="24"/>
        </w:rPr>
      </w:pPr>
      <w:r>
        <w:rPr>
          <w:rFonts w:ascii="Times New Roman" w:hAnsi="Times New Roman" w:cs="Times New Roman"/>
          <w:sz w:val="24"/>
          <w:szCs w:val="24"/>
        </w:rPr>
        <w:t>HIGH COURT OF ZI</w:t>
      </w:r>
      <w:r w:rsidR="0099492C">
        <w:rPr>
          <w:rFonts w:ascii="Times New Roman" w:hAnsi="Times New Roman" w:cs="Times New Roman"/>
          <w:sz w:val="24"/>
          <w:szCs w:val="24"/>
        </w:rPr>
        <w:t>MBABWE</w:t>
      </w:r>
    </w:p>
    <w:p w:rsidR="0099492C" w:rsidRDefault="0099492C" w:rsidP="0099492C">
      <w:pPr>
        <w:spacing w:after="0"/>
        <w:jc w:val="both"/>
        <w:rPr>
          <w:rFonts w:ascii="Times New Roman" w:hAnsi="Times New Roman" w:cs="Times New Roman"/>
          <w:sz w:val="24"/>
          <w:szCs w:val="24"/>
        </w:rPr>
      </w:pPr>
      <w:r>
        <w:rPr>
          <w:rFonts w:ascii="Times New Roman" w:hAnsi="Times New Roman" w:cs="Times New Roman"/>
          <w:sz w:val="24"/>
          <w:szCs w:val="24"/>
        </w:rPr>
        <w:t>CHIKOWERO J</w:t>
      </w:r>
    </w:p>
    <w:p w:rsidR="0099492C" w:rsidRDefault="0099492C" w:rsidP="0099492C">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6 August 2012 &amp; </w:t>
      </w:r>
      <w:r w:rsidR="00A54394">
        <w:rPr>
          <w:rFonts w:ascii="Times New Roman" w:hAnsi="Times New Roman" w:cs="Times New Roman"/>
          <w:sz w:val="24"/>
          <w:szCs w:val="24"/>
        </w:rPr>
        <w:t>20 August 2021</w:t>
      </w:r>
    </w:p>
    <w:p w:rsidR="0099492C" w:rsidRDefault="0099492C" w:rsidP="0099492C">
      <w:pPr>
        <w:spacing w:after="0"/>
        <w:jc w:val="both"/>
        <w:rPr>
          <w:rFonts w:ascii="Times New Roman" w:hAnsi="Times New Roman" w:cs="Times New Roman"/>
          <w:sz w:val="24"/>
          <w:szCs w:val="24"/>
        </w:rPr>
      </w:pPr>
    </w:p>
    <w:p w:rsidR="0099492C" w:rsidRPr="005A1BD1" w:rsidRDefault="005A1BD1" w:rsidP="0099492C">
      <w:pPr>
        <w:spacing w:after="0"/>
        <w:jc w:val="both"/>
        <w:rPr>
          <w:rFonts w:ascii="Times New Roman" w:hAnsi="Times New Roman" w:cs="Times New Roman"/>
          <w:b/>
          <w:sz w:val="24"/>
          <w:szCs w:val="24"/>
        </w:rPr>
      </w:pPr>
      <w:r>
        <w:rPr>
          <w:rFonts w:ascii="Times New Roman" w:hAnsi="Times New Roman" w:cs="Times New Roman"/>
          <w:b/>
          <w:sz w:val="24"/>
          <w:szCs w:val="24"/>
        </w:rPr>
        <w:t>Application for alteration of bail conditions</w:t>
      </w:r>
    </w:p>
    <w:p w:rsidR="0099492C" w:rsidRDefault="0099492C" w:rsidP="0099492C">
      <w:pPr>
        <w:spacing w:after="0"/>
        <w:jc w:val="both"/>
        <w:rPr>
          <w:rFonts w:ascii="Times New Roman" w:hAnsi="Times New Roman" w:cs="Times New Roman"/>
          <w:sz w:val="24"/>
          <w:szCs w:val="24"/>
        </w:rPr>
      </w:pPr>
    </w:p>
    <w:p w:rsidR="0099492C" w:rsidRDefault="0099492C" w:rsidP="0099492C">
      <w:pPr>
        <w:spacing w:after="0"/>
        <w:jc w:val="both"/>
        <w:rPr>
          <w:rFonts w:ascii="Times New Roman" w:hAnsi="Times New Roman" w:cs="Times New Roman"/>
          <w:sz w:val="24"/>
          <w:szCs w:val="24"/>
        </w:rPr>
      </w:pPr>
      <w:r w:rsidRPr="0099492C">
        <w:rPr>
          <w:rFonts w:ascii="Times New Roman" w:hAnsi="Times New Roman" w:cs="Times New Roman"/>
          <w:i/>
          <w:sz w:val="24"/>
          <w:szCs w:val="24"/>
        </w:rPr>
        <w:t>D Coltart</w:t>
      </w:r>
      <w:r>
        <w:rPr>
          <w:rFonts w:ascii="Times New Roman" w:hAnsi="Times New Roman" w:cs="Times New Roman"/>
          <w:sz w:val="24"/>
          <w:szCs w:val="24"/>
        </w:rPr>
        <w:t>, for the applicant</w:t>
      </w:r>
    </w:p>
    <w:p w:rsidR="0099492C" w:rsidRDefault="0099492C" w:rsidP="0099492C">
      <w:pPr>
        <w:spacing w:after="0"/>
        <w:jc w:val="both"/>
        <w:rPr>
          <w:rFonts w:ascii="Times New Roman" w:hAnsi="Times New Roman" w:cs="Times New Roman"/>
          <w:sz w:val="24"/>
          <w:szCs w:val="24"/>
        </w:rPr>
      </w:pPr>
      <w:r w:rsidRPr="0099492C">
        <w:rPr>
          <w:rFonts w:ascii="Times New Roman" w:hAnsi="Times New Roman" w:cs="Times New Roman"/>
          <w:i/>
          <w:sz w:val="24"/>
          <w:szCs w:val="24"/>
        </w:rPr>
        <w:t>A Muziwi</w:t>
      </w:r>
      <w:r>
        <w:rPr>
          <w:rFonts w:ascii="Times New Roman" w:hAnsi="Times New Roman" w:cs="Times New Roman"/>
          <w:sz w:val="24"/>
          <w:szCs w:val="24"/>
        </w:rPr>
        <w:t>, for the respondent</w:t>
      </w:r>
    </w:p>
    <w:p w:rsidR="0099492C" w:rsidRDefault="0099492C" w:rsidP="0099492C">
      <w:pPr>
        <w:spacing w:after="0"/>
        <w:jc w:val="both"/>
        <w:rPr>
          <w:rFonts w:ascii="Times New Roman" w:hAnsi="Times New Roman" w:cs="Times New Roman"/>
          <w:sz w:val="24"/>
          <w:szCs w:val="24"/>
        </w:rPr>
      </w:pPr>
    </w:p>
    <w:p w:rsidR="0099492C" w:rsidRDefault="0099492C" w:rsidP="0099492C">
      <w:pPr>
        <w:spacing w:after="0"/>
        <w:jc w:val="both"/>
        <w:rPr>
          <w:rFonts w:ascii="Times New Roman" w:hAnsi="Times New Roman" w:cs="Times New Roman"/>
          <w:sz w:val="24"/>
          <w:szCs w:val="24"/>
        </w:rPr>
      </w:pPr>
    </w:p>
    <w:p w:rsidR="0099492C" w:rsidRDefault="0099492C"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This is an application for alteration of bail conditions to enable the applicant to uplift his passport from the Clerk of Court so that he is able to travel to South Africa to deliver a keynote address at a journalism event on 14 August 2021 and for the temporary suspension of his reporting conditions for the duration of his 7 day stay in that country.</w:t>
      </w:r>
    </w:p>
    <w:p w:rsidR="00AD6786" w:rsidRDefault="00AD6786"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w:t>
      </w:r>
      <w:r w:rsidR="005A1BD1">
        <w:rPr>
          <w:rFonts w:ascii="Times New Roman" w:hAnsi="Times New Roman" w:cs="Times New Roman"/>
          <w:sz w:val="24"/>
          <w:szCs w:val="24"/>
        </w:rPr>
        <w:t xml:space="preserve">a </w:t>
      </w:r>
      <w:r>
        <w:rPr>
          <w:rFonts w:ascii="Times New Roman" w:hAnsi="Times New Roman" w:cs="Times New Roman"/>
          <w:sz w:val="24"/>
          <w:szCs w:val="24"/>
        </w:rPr>
        <w:t>free-lance journalist and documentary film-maker.</w:t>
      </w:r>
    </w:p>
    <w:p w:rsidR="00AD6786" w:rsidRDefault="00AD6786"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admitted him to bail on three separate matter</w:t>
      </w:r>
      <w:r w:rsidR="005A1BD1">
        <w:rPr>
          <w:rFonts w:ascii="Times New Roman" w:hAnsi="Times New Roman" w:cs="Times New Roman"/>
          <w:sz w:val="24"/>
          <w:szCs w:val="24"/>
        </w:rPr>
        <w:t>s</w:t>
      </w:r>
      <w:r>
        <w:rPr>
          <w:rFonts w:ascii="Times New Roman" w:hAnsi="Times New Roman" w:cs="Times New Roman"/>
          <w:sz w:val="24"/>
          <w:szCs w:val="24"/>
        </w:rPr>
        <w:t xml:space="preserve"> all involving alleged contraventions of different sections of the Criminal Law (Codification &amp; Reform) Act </w:t>
      </w:r>
    </w:p>
    <w:p w:rsidR="00AD6786" w:rsidRDefault="00AD6786"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D6786">
        <w:rPr>
          <w:rFonts w:ascii="Times New Roman" w:hAnsi="Times New Roman" w:cs="Times New Roman"/>
          <w:i/>
          <w:sz w:val="24"/>
          <w:szCs w:val="24"/>
        </w:rPr>
        <w:t>Chapter 9:23</w:t>
      </w:r>
      <w:r>
        <w:rPr>
          <w:rFonts w:ascii="Times New Roman" w:hAnsi="Times New Roman" w:cs="Times New Roman"/>
          <w:sz w:val="24"/>
          <w:szCs w:val="24"/>
        </w:rPr>
        <w:t>], “the Code.”</w:t>
      </w:r>
    </w:p>
    <w:p w:rsidR="00AD6786" w:rsidRDefault="00AD6786"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20AA">
        <w:rPr>
          <w:rFonts w:ascii="Times New Roman" w:hAnsi="Times New Roman" w:cs="Times New Roman"/>
          <w:sz w:val="24"/>
          <w:szCs w:val="24"/>
        </w:rPr>
        <w:t xml:space="preserve">The first matter is </w:t>
      </w:r>
      <w:r w:rsidR="005A1BD1">
        <w:rPr>
          <w:rFonts w:ascii="Times New Roman" w:hAnsi="Times New Roman" w:cs="Times New Roman"/>
          <w:sz w:val="24"/>
          <w:szCs w:val="24"/>
        </w:rPr>
        <w:t xml:space="preserve">on the main charge of </w:t>
      </w:r>
      <w:r w:rsidR="005020AA">
        <w:rPr>
          <w:rFonts w:ascii="Times New Roman" w:hAnsi="Times New Roman" w:cs="Times New Roman"/>
          <w:sz w:val="24"/>
          <w:szCs w:val="24"/>
        </w:rPr>
        <w:t>incitement to commit public violence as defined in s 187(1)(a) as read with s 36(1) (a) of the Code. The alternative charge is incitement to participate in a gathering with intent to promote public violence, breach of the peace or bigotry as defined in s 37(1)(a) of the Code.</w:t>
      </w:r>
    </w:p>
    <w:p w:rsidR="005020AA" w:rsidRDefault="005020AA"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w:t>
      </w:r>
      <w:r w:rsidR="005A1BD1">
        <w:rPr>
          <w:rFonts w:ascii="Times New Roman" w:hAnsi="Times New Roman" w:cs="Times New Roman"/>
          <w:sz w:val="24"/>
          <w:szCs w:val="24"/>
        </w:rPr>
        <w:t>he second matter the applicant is</w:t>
      </w:r>
      <w:r>
        <w:rPr>
          <w:rFonts w:ascii="Times New Roman" w:hAnsi="Times New Roman" w:cs="Times New Roman"/>
          <w:sz w:val="24"/>
          <w:szCs w:val="24"/>
        </w:rPr>
        <w:t xml:space="preserve"> charged with defeating or obstructing the course of justice as defined in s 184(1)(c) of the Code.</w:t>
      </w:r>
    </w:p>
    <w:p w:rsidR="005020AA" w:rsidRDefault="005020AA"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third matter is a charge of publishing or communicating false statements prejudicial to the State as defined in s 31(a)(iii) of the Code.</w:t>
      </w:r>
    </w:p>
    <w:p w:rsidR="005020AA" w:rsidRDefault="00EB0E2D" w:rsidP="00994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 September 2020 this court admitted applicant to bail in respect </w:t>
      </w:r>
      <w:r w:rsidR="00A54394">
        <w:rPr>
          <w:rFonts w:ascii="Times New Roman" w:hAnsi="Times New Roman" w:cs="Times New Roman"/>
          <w:sz w:val="24"/>
          <w:szCs w:val="24"/>
        </w:rPr>
        <w:t>of</w:t>
      </w:r>
      <w:r w:rsidR="005A1BD1">
        <w:rPr>
          <w:rFonts w:ascii="Times New Roman" w:hAnsi="Times New Roman" w:cs="Times New Roman"/>
          <w:sz w:val="24"/>
          <w:szCs w:val="24"/>
        </w:rPr>
        <w:t xml:space="preserve"> </w:t>
      </w:r>
      <w:r>
        <w:rPr>
          <w:rFonts w:ascii="Times New Roman" w:hAnsi="Times New Roman" w:cs="Times New Roman"/>
          <w:sz w:val="24"/>
          <w:szCs w:val="24"/>
        </w:rPr>
        <w:t>the first matter. The bail conditions were that:</w:t>
      </w:r>
    </w:p>
    <w:p w:rsidR="00EB0E2D" w:rsidRDefault="00EB0E2D" w:rsidP="00EB0E2D">
      <w:pPr>
        <w:pStyle w:val="ListParagraph"/>
        <w:numPr>
          <w:ilvl w:val="0"/>
          <w:numId w:val="1"/>
        </w:numPr>
        <w:spacing w:after="0" w:line="360" w:lineRule="auto"/>
        <w:jc w:val="both"/>
        <w:rPr>
          <w:rFonts w:ascii="Times New Roman" w:hAnsi="Times New Roman" w:cs="Times New Roman"/>
          <w:sz w:val="24"/>
          <w:szCs w:val="24"/>
        </w:rPr>
      </w:pPr>
      <w:r w:rsidRPr="00EB0E2D">
        <w:rPr>
          <w:rFonts w:ascii="Times New Roman" w:hAnsi="Times New Roman" w:cs="Times New Roman"/>
          <w:sz w:val="24"/>
          <w:szCs w:val="24"/>
        </w:rPr>
        <w:t xml:space="preserve">he deposits ZWL$10 000 with the </w:t>
      </w:r>
      <w:r>
        <w:rPr>
          <w:rFonts w:ascii="Times New Roman" w:hAnsi="Times New Roman" w:cs="Times New Roman"/>
          <w:sz w:val="24"/>
          <w:szCs w:val="24"/>
        </w:rPr>
        <w:t>Clerk of</w:t>
      </w:r>
      <w:r w:rsidRPr="00EB0E2D">
        <w:rPr>
          <w:rFonts w:ascii="Times New Roman" w:hAnsi="Times New Roman" w:cs="Times New Roman"/>
          <w:sz w:val="24"/>
          <w:szCs w:val="24"/>
        </w:rPr>
        <w:t xml:space="preserve"> Court of the Regional Court </w:t>
      </w:r>
      <w:r w:rsidR="005A1BD1">
        <w:rPr>
          <w:rFonts w:ascii="Times New Roman" w:hAnsi="Times New Roman" w:cs="Times New Roman"/>
          <w:sz w:val="24"/>
          <w:szCs w:val="24"/>
        </w:rPr>
        <w:t xml:space="preserve">in </w:t>
      </w:r>
      <w:r w:rsidRPr="00EB0E2D">
        <w:rPr>
          <w:rFonts w:ascii="Times New Roman" w:hAnsi="Times New Roman" w:cs="Times New Roman"/>
          <w:sz w:val="24"/>
          <w:szCs w:val="24"/>
        </w:rPr>
        <w:t>Har</w:t>
      </w:r>
      <w:r>
        <w:rPr>
          <w:rFonts w:ascii="Times New Roman" w:hAnsi="Times New Roman" w:cs="Times New Roman"/>
          <w:sz w:val="24"/>
          <w:szCs w:val="24"/>
        </w:rPr>
        <w:t>a</w:t>
      </w:r>
      <w:r w:rsidRPr="00EB0E2D">
        <w:rPr>
          <w:rFonts w:ascii="Times New Roman" w:hAnsi="Times New Roman" w:cs="Times New Roman"/>
          <w:sz w:val="24"/>
          <w:szCs w:val="24"/>
        </w:rPr>
        <w:t>re.</w:t>
      </w:r>
    </w:p>
    <w:p w:rsidR="00EB0E2D" w:rsidRDefault="00CE44F0" w:rsidP="00EB0E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EB0E2D">
        <w:rPr>
          <w:rFonts w:ascii="Times New Roman" w:hAnsi="Times New Roman" w:cs="Times New Roman"/>
          <w:sz w:val="24"/>
          <w:szCs w:val="24"/>
        </w:rPr>
        <w:t>e surrenders his passport to the Clerk of Court</w:t>
      </w:r>
    </w:p>
    <w:p w:rsidR="00CE44F0" w:rsidRDefault="00CE44F0" w:rsidP="00EB0E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surrenders his title deeds to Lot 1 of Lot 5 Lot D of Colne Valley of Reitfontein measuring 4047 square metres held under Deed of Transfer 11950/2001 to the Clerk of Court</w:t>
      </w:r>
    </w:p>
    <w:p w:rsidR="00CE44F0" w:rsidRDefault="00CE44F0" w:rsidP="00EB0E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continues residing at 34 Drew Road. Chisipite, H</w:t>
      </w:r>
      <w:r w:rsidR="00C93B71">
        <w:rPr>
          <w:rFonts w:ascii="Times New Roman" w:hAnsi="Times New Roman" w:cs="Times New Roman"/>
          <w:sz w:val="24"/>
          <w:szCs w:val="24"/>
        </w:rPr>
        <w:t>arare until the matter is fi</w:t>
      </w:r>
      <w:r>
        <w:rPr>
          <w:rFonts w:ascii="Times New Roman" w:hAnsi="Times New Roman" w:cs="Times New Roman"/>
          <w:sz w:val="24"/>
          <w:szCs w:val="24"/>
        </w:rPr>
        <w:t>nalised</w:t>
      </w:r>
    </w:p>
    <w:p w:rsidR="00CE44F0" w:rsidRDefault="005A1BD1" w:rsidP="00EB0E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should</w:t>
      </w:r>
      <w:r w:rsidR="00CE44F0">
        <w:rPr>
          <w:rFonts w:ascii="Times New Roman" w:hAnsi="Times New Roman" w:cs="Times New Roman"/>
          <w:sz w:val="24"/>
          <w:szCs w:val="24"/>
        </w:rPr>
        <w:t xml:space="preserve"> not post on his Twitter</w:t>
      </w:r>
      <w:r w:rsidR="00C93B71">
        <w:rPr>
          <w:rFonts w:ascii="Times New Roman" w:hAnsi="Times New Roman" w:cs="Times New Roman"/>
          <w:sz w:val="24"/>
          <w:szCs w:val="24"/>
        </w:rPr>
        <w:t xml:space="preserve"> </w:t>
      </w:r>
      <w:r>
        <w:rPr>
          <w:rFonts w:ascii="Times New Roman" w:hAnsi="Times New Roman" w:cs="Times New Roman"/>
          <w:sz w:val="24"/>
          <w:szCs w:val="24"/>
        </w:rPr>
        <w:t xml:space="preserve">handle </w:t>
      </w:r>
      <w:r w:rsidR="00C93B71">
        <w:rPr>
          <w:rFonts w:ascii="Times New Roman" w:hAnsi="Times New Roman" w:cs="Times New Roman"/>
          <w:sz w:val="24"/>
          <w:szCs w:val="24"/>
        </w:rPr>
        <w:t>or create any new twitter account for</w:t>
      </w:r>
      <w:r w:rsidR="001A176C">
        <w:rPr>
          <w:rFonts w:ascii="Times New Roman" w:hAnsi="Times New Roman" w:cs="Times New Roman"/>
          <w:sz w:val="24"/>
          <w:szCs w:val="24"/>
        </w:rPr>
        <w:t xml:space="preserve"> the use to incite the</w:t>
      </w:r>
      <w:r w:rsidR="00C93B71">
        <w:rPr>
          <w:rFonts w:ascii="Times New Roman" w:hAnsi="Times New Roman" w:cs="Times New Roman"/>
          <w:sz w:val="24"/>
          <w:szCs w:val="24"/>
        </w:rPr>
        <w:t xml:space="preserve"> holding of mass demonstrations for whatever purpose until the matter is finalised</w:t>
      </w:r>
    </w:p>
    <w:p w:rsidR="00C93B71" w:rsidRDefault="005A1BD1" w:rsidP="00EB0E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should</w:t>
      </w:r>
      <w:r w:rsidR="00C93B71">
        <w:rPr>
          <w:rFonts w:ascii="Times New Roman" w:hAnsi="Times New Roman" w:cs="Times New Roman"/>
          <w:sz w:val="24"/>
          <w:szCs w:val="24"/>
        </w:rPr>
        <w:t xml:space="preserve"> report at Highla</w:t>
      </w:r>
      <w:r w:rsidR="001A176C">
        <w:rPr>
          <w:rFonts w:ascii="Times New Roman" w:hAnsi="Times New Roman" w:cs="Times New Roman"/>
          <w:sz w:val="24"/>
          <w:szCs w:val="24"/>
        </w:rPr>
        <w:t>nds Police Station every Monday and Friday</w:t>
      </w:r>
      <w:r w:rsidR="00C93B71">
        <w:rPr>
          <w:rFonts w:ascii="Times New Roman" w:hAnsi="Times New Roman" w:cs="Times New Roman"/>
          <w:sz w:val="24"/>
          <w:szCs w:val="24"/>
        </w:rPr>
        <w:t xml:space="preserve"> between 6 a.m. and 6 p.m.</w:t>
      </w:r>
    </w:p>
    <w:p w:rsidR="00C93B71" w:rsidRDefault="00C93B71"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Pr="00C93B71">
        <w:rPr>
          <w:rFonts w:ascii="Times New Roman" w:hAnsi="Times New Roman" w:cs="Times New Roman"/>
          <w:sz w:val="24"/>
          <w:szCs w:val="24"/>
        </w:rPr>
        <w:t>n 20 November 2</w:t>
      </w:r>
      <w:r w:rsidR="001A176C">
        <w:rPr>
          <w:rFonts w:ascii="Times New Roman" w:hAnsi="Times New Roman" w:cs="Times New Roman"/>
          <w:sz w:val="24"/>
          <w:szCs w:val="24"/>
        </w:rPr>
        <w:t>020 this court ordered that the</w:t>
      </w:r>
      <w:r w:rsidRPr="00C93B71">
        <w:rPr>
          <w:rFonts w:ascii="Times New Roman" w:hAnsi="Times New Roman" w:cs="Times New Roman"/>
          <w:sz w:val="24"/>
          <w:szCs w:val="24"/>
        </w:rPr>
        <w:t xml:space="preserve"> bail conditions in respect of the first matter applied in respect</w:t>
      </w:r>
      <w:r>
        <w:rPr>
          <w:rFonts w:ascii="Times New Roman" w:hAnsi="Times New Roman" w:cs="Times New Roman"/>
          <w:sz w:val="24"/>
          <w:szCs w:val="24"/>
        </w:rPr>
        <w:t xml:space="preserve"> of the second matter. The only additional bail condition was that the applicant should no</w:t>
      </w:r>
      <w:r w:rsidR="005A1BD1">
        <w:rPr>
          <w:rFonts w:ascii="Times New Roman" w:hAnsi="Times New Roman" w:cs="Times New Roman"/>
          <w:sz w:val="24"/>
          <w:szCs w:val="24"/>
        </w:rPr>
        <w:t>t</w:t>
      </w:r>
      <w:r>
        <w:rPr>
          <w:rFonts w:ascii="Times New Roman" w:hAnsi="Times New Roman" w:cs="Times New Roman"/>
          <w:sz w:val="24"/>
          <w:szCs w:val="24"/>
        </w:rPr>
        <w:t xml:space="preserve"> use his tweet platform or account or any other platform or account to disseminate messages which undermine, defeat or obstruct the course of justice explicitly or implicitly.</w:t>
      </w:r>
    </w:p>
    <w:p w:rsidR="00C93B71" w:rsidRDefault="00C93B71"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manner, the bail conditions in the first matter were carried over to apply to</w:t>
      </w:r>
      <w:r w:rsidR="005A1BD1">
        <w:rPr>
          <w:rFonts w:ascii="Times New Roman" w:hAnsi="Times New Roman" w:cs="Times New Roman"/>
          <w:sz w:val="24"/>
          <w:szCs w:val="24"/>
        </w:rPr>
        <w:t xml:space="preserve"> the third matter. However, the</w:t>
      </w:r>
      <w:r>
        <w:rPr>
          <w:rFonts w:ascii="Times New Roman" w:hAnsi="Times New Roman" w:cs="Times New Roman"/>
          <w:sz w:val="24"/>
          <w:szCs w:val="24"/>
        </w:rPr>
        <w:t xml:space="preserve"> applicant was ordered to pay the sum of $20 000 to the Clerk of Court as additional recognisa</w:t>
      </w:r>
      <w:r w:rsidR="005A1BD1">
        <w:rPr>
          <w:rFonts w:ascii="Times New Roman" w:hAnsi="Times New Roman" w:cs="Times New Roman"/>
          <w:sz w:val="24"/>
          <w:szCs w:val="24"/>
        </w:rPr>
        <w:t>nce</w:t>
      </w:r>
      <w:r>
        <w:rPr>
          <w:rFonts w:ascii="Times New Roman" w:hAnsi="Times New Roman" w:cs="Times New Roman"/>
          <w:sz w:val="24"/>
          <w:szCs w:val="24"/>
        </w:rPr>
        <w:t>.</w:t>
      </w:r>
    </w:p>
    <w:p w:rsidR="00C93B71" w:rsidRDefault="00C93B71"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16 December 2020 this court ordered the temporary </w:t>
      </w:r>
      <w:r w:rsidR="005A1BD1">
        <w:rPr>
          <w:rFonts w:ascii="Times New Roman" w:hAnsi="Times New Roman" w:cs="Times New Roman"/>
          <w:sz w:val="24"/>
          <w:szCs w:val="24"/>
        </w:rPr>
        <w:t xml:space="preserve">release </w:t>
      </w:r>
      <w:r>
        <w:rPr>
          <w:rFonts w:ascii="Times New Roman" w:hAnsi="Times New Roman" w:cs="Times New Roman"/>
          <w:sz w:val="24"/>
          <w:szCs w:val="24"/>
        </w:rPr>
        <w:t>of the applicant’s passport and concomitant suspension of the reporting conditions</w:t>
      </w:r>
      <w:r>
        <w:rPr>
          <w:rFonts w:ascii="Times New Roman" w:hAnsi="Times New Roman" w:cs="Times New Roman"/>
          <w:sz w:val="24"/>
          <w:szCs w:val="24"/>
        </w:rPr>
        <w:tab/>
      </w:r>
      <w:r w:rsidR="0086470F">
        <w:rPr>
          <w:rFonts w:ascii="Times New Roman" w:hAnsi="Times New Roman" w:cs="Times New Roman"/>
          <w:sz w:val="24"/>
          <w:szCs w:val="24"/>
        </w:rPr>
        <w:t>for a period</w:t>
      </w:r>
      <w:r w:rsidR="00884192">
        <w:rPr>
          <w:rFonts w:ascii="Times New Roman" w:hAnsi="Times New Roman" w:cs="Times New Roman"/>
          <w:sz w:val="24"/>
          <w:szCs w:val="24"/>
        </w:rPr>
        <w:t xml:space="preserve"> of twenty-one days. This was to enable the applicant to travel to South Africa to seek medical attention.</w:t>
      </w:r>
    </w:p>
    <w:p w:rsidR="00884192" w:rsidRDefault="00884192"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11 February 2021 the court altered his reporting conditions. Instead of reporting every Monday and Friday his conditions were </w:t>
      </w:r>
      <w:r w:rsidR="005A1BD1">
        <w:rPr>
          <w:rFonts w:ascii="Times New Roman" w:hAnsi="Times New Roman" w:cs="Times New Roman"/>
          <w:sz w:val="24"/>
          <w:szCs w:val="24"/>
        </w:rPr>
        <w:t xml:space="preserve">relaxed to the extent that he was </w:t>
      </w:r>
      <w:r>
        <w:rPr>
          <w:rFonts w:ascii="Times New Roman" w:hAnsi="Times New Roman" w:cs="Times New Roman"/>
          <w:sz w:val="24"/>
          <w:szCs w:val="24"/>
        </w:rPr>
        <w:t>required to report once every fortnight.</w:t>
      </w:r>
    </w:p>
    <w:p w:rsidR="00884192" w:rsidRDefault="00884192"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instant application is predicated on the applicant’s need to travel to South Africa again, this time in connection with his work as a journalist. In his bail</w:t>
      </w:r>
      <w:r w:rsidR="00EC4073">
        <w:rPr>
          <w:rFonts w:ascii="Times New Roman" w:hAnsi="Times New Roman" w:cs="Times New Roman"/>
          <w:sz w:val="24"/>
          <w:szCs w:val="24"/>
        </w:rPr>
        <w:t xml:space="preserve"> statement, the applicant states that he has been invited to give the keynote address at the South Afric</w:t>
      </w:r>
      <w:r w:rsidR="005A1BD1">
        <w:rPr>
          <w:rFonts w:ascii="Times New Roman" w:hAnsi="Times New Roman" w:cs="Times New Roman"/>
          <w:sz w:val="24"/>
          <w:szCs w:val="24"/>
        </w:rPr>
        <w:t>an National Editors’ Forum (SAN</w:t>
      </w:r>
      <w:r w:rsidR="00EC4073">
        <w:rPr>
          <w:rFonts w:ascii="Times New Roman" w:hAnsi="Times New Roman" w:cs="Times New Roman"/>
          <w:sz w:val="24"/>
          <w:szCs w:val="24"/>
        </w:rPr>
        <w:t>EF)’s prestigious Nat Nakasa Journalism Awards Gala Dinner on 14 August 2021. He says the event will focus on “the impact of COVID-19 on the work of journalists and the important role media have played.” A copy of the invitation letter is attached to the bail statement.</w:t>
      </w:r>
    </w:p>
    <w:p w:rsidR="00EC4073" w:rsidRDefault="00EC4073"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Mr </w:t>
      </w:r>
      <w:r w:rsidR="005A1BD1">
        <w:rPr>
          <w:rFonts w:ascii="Times New Roman" w:hAnsi="Times New Roman" w:cs="Times New Roman"/>
          <w:i/>
          <w:sz w:val="24"/>
          <w:szCs w:val="24"/>
        </w:rPr>
        <w:t xml:space="preserve">Muziwi, </w:t>
      </w:r>
      <w:r w:rsidR="005A1BD1" w:rsidRPr="005A1BD1">
        <w:rPr>
          <w:rFonts w:ascii="Times New Roman" w:hAnsi="Times New Roman" w:cs="Times New Roman"/>
          <w:sz w:val="24"/>
          <w:szCs w:val="24"/>
        </w:rPr>
        <w:t>for</w:t>
      </w:r>
      <w:r w:rsidR="005A1BD1">
        <w:rPr>
          <w:rFonts w:ascii="Times New Roman" w:hAnsi="Times New Roman" w:cs="Times New Roman"/>
          <w:sz w:val="24"/>
          <w:szCs w:val="24"/>
        </w:rPr>
        <w:t xml:space="preserve"> reasons not material </w:t>
      </w:r>
      <w:r w:rsidR="001A176C">
        <w:rPr>
          <w:rFonts w:ascii="Times New Roman" w:hAnsi="Times New Roman" w:cs="Times New Roman"/>
          <w:sz w:val="24"/>
          <w:szCs w:val="24"/>
        </w:rPr>
        <w:t>to</w:t>
      </w:r>
      <w:r w:rsidR="005A1BD1">
        <w:rPr>
          <w:rFonts w:ascii="Times New Roman" w:hAnsi="Times New Roman" w:cs="Times New Roman"/>
          <w:sz w:val="24"/>
          <w:szCs w:val="24"/>
        </w:rPr>
        <w:t xml:space="preserve"> my dec</w:t>
      </w:r>
      <w:r w:rsidR="005A1BD1" w:rsidRPr="005A1BD1">
        <w:rPr>
          <w:rFonts w:ascii="Times New Roman" w:hAnsi="Times New Roman" w:cs="Times New Roman"/>
          <w:sz w:val="24"/>
          <w:szCs w:val="24"/>
        </w:rPr>
        <w:t>ision,</w:t>
      </w:r>
      <w:r w:rsidR="005A1BD1">
        <w:rPr>
          <w:rFonts w:ascii="Times New Roman" w:hAnsi="Times New Roman" w:cs="Times New Roman"/>
          <w:i/>
          <w:sz w:val="24"/>
          <w:szCs w:val="24"/>
        </w:rPr>
        <w:t xml:space="preserve"> </w:t>
      </w:r>
      <w:r>
        <w:rPr>
          <w:rFonts w:ascii="Times New Roman" w:hAnsi="Times New Roman" w:cs="Times New Roman"/>
          <w:sz w:val="24"/>
          <w:szCs w:val="24"/>
        </w:rPr>
        <w:t>called the invitation letter “a piece of paper which anybody could write.” The invitation letter is not signed. It does not bear the date-stamp of the South African National Editors’ Forum despite the letterhead suggesting that it emanated from that office and was written by one Hopewell Radebe, the Office and Projects Manager of the South African National Editors’ Forum.</w:t>
      </w:r>
    </w:p>
    <w:p w:rsidR="00EC4073" w:rsidRDefault="00EC4073"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Sitting as a court of law, I am unable to place any reliance on the purported </w:t>
      </w:r>
      <w:r w:rsidR="001A176C">
        <w:rPr>
          <w:rFonts w:ascii="Times New Roman" w:hAnsi="Times New Roman" w:cs="Times New Roman"/>
          <w:sz w:val="24"/>
          <w:szCs w:val="24"/>
        </w:rPr>
        <w:t xml:space="preserve">invitation letter. An unsigned </w:t>
      </w:r>
      <w:r w:rsidR="005A1BD1">
        <w:rPr>
          <w:rFonts w:ascii="Times New Roman" w:hAnsi="Times New Roman" w:cs="Times New Roman"/>
          <w:sz w:val="24"/>
          <w:szCs w:val="24"/>
        </w:rPr>
        <w:t xml:space="preserve">“business </w:t>
      </w:r>
      <w:r>
        <w:rPr>
          <w:rFonts w:ascii="Times New Roman" w:hAnsi="Times New Roman" w:cs="Times New Roman"/>
          <w:sz w:val="24"/>
          <w:szCs w:val="24"/>
        </w:rPr>
        <w:t>letter” is not a letter. Assuming that the South African National Editors’ Forum indeed exists, my view is that it</w:t>
      </w:r>
      <w:r w:rsidR="005A1BD1">
        <w:rPr>
          <w:rFonts w:ascii="Times New Roman" w:hAnsi="Times New Roman" w:cs="Times New Roman"/>
          <w:sz w:val="24"/>
          <w:szCs w:val="24"/>
        </w:rPr>
        <w:t xml:space="preserve"> certainly</w:t>
      </w:r>
      <w:r>
        <w:rPr>
          <w:rFonts w:ascii="Times New Roman" w:hAnsi="Times New Roman" w:cs="Times New Roman"/>
          <w:sz w:val="24"/>
          <w:szCs w:val="24"/>
        </w:rPr>
        <w:t xml:space="preserve"> issues duly signed correspondence bearing an official date-stamp.</w:t>
      </w:r>
    </w:p>
    <w:p w:rsidR="00EC4073" w:rsidRDefault="00EC4073"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aware that s 117A(4)(b) of the Criminal Procedure &amp; Evidence Act [</w:t>
      </w:r>
      <w:r w:rsidRPr="00EC4073">
        <w:rPr>
          <w:rFonts w:ascii="Times New Roman" w:hAnsi="Times New Roman" w:cs="Times New Roman"/>
          <w:i/>
          <w:sz w:val="24"/>
          <w:szCs w:val="24"/>
        </w:rPr>
        <w:t>Chapter 9:07</w:t>
      </w:r>
      <w:r>
        <w:rPr>
          <w:rFonts w:ascii="Times New Roman" w:hAnsi="Times New Roman" w:cs="Times New Roman"/>
          <w:sz w:val="24"/>
          <w:szCs w:val="24"/>
        </w:rPr>
        <w:t>] speaks to the informality of bail proceedings. They are more in the nature of an enquiry rather than the formal court proceedings where the strict rules of evidence would apply. Even then, I do not think that the intention of the legisla</w:t>
      </w:r>
      <w:r w:rsidR="005A1BD1">
        <w:rPr>
          <w:rFonts w:ascii="Times New Roman" w:hAnsi="Times New Roman" w:cs="Times New Roman"/>
          <w:sz w:val="24"/>
          <w:szCs w:val="24"/>
        </w:rPr>
        <w:t>ture in enacting that provision</w:t>
      </w:r>
      <w:r>
        <w:rPr>
          <w:rFonts w:ascii="Times New Roman" w:hAnsi="Times New Roman" w:cs="Times New Roman"/>
          <w:sz w:val="24"/>
          <w:szCs w:val="24"/>
        </w:rPr>
        <w:t xml:space="preserve"> was to give a bail court the </w:t>
      </w:r>
      <w:r>
        <w:rPr>
          <w:rFonts w:ascii="Times New Roman" w:hAnsi="Times New Roman" w:cs="Times New Roman"/>
          <w:sz w:val="24"/>
          <w:szCs w:val="24"/>
        </w:rPr>
        <w:lastRenderedPageBreak/>
        <w:t>discretion to determine a matter relating t</w:t>
      </w:r>
      <w:r w:rsidR="005A1BD1">
        <w:rPr>
          <w:rFonts w:ascii="Times New Roman" w:hAnsi="Times New Roman" w:cs="Times New Roman"/>
          <w:sz w:val="24"/>
          <w:szCs w:val="24"/>
        </w:rPr>
        <w:t>o</w:t>
      </w:r>
      <w:r>
        <w:rPr>
          <w:rFonts w:ascii="Times New Roman" w:hAnsi="Times New Roman" w:cs="Times New Roman"/>
          <w:sz w:val="24"/>
          <w:szCs w:val="24"/>
        </w:rPr>
        <w:t xml:space="preserve"> bail on what effectively amounts to nothing more than a piece of paper.</w:t>
      </w:r>
    </w:p>
    <w:p w:rsidR="00160D3A" w:rsidRDefault="00EC4073" w:rsidP="00C93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126(1) of the Criminal Procedure &amp; Evidence Act [</w:t>
      </w:r>
      <w:r w:rsidRPr="00EC4073">
        <w:rPr>
          <w:rFonts w:ascii="Times New Roman" w:hAnsi="Times New Roman" w:cs="Times New Roman"/>
          <w:i/>
          <w:sz w:val="24"/>
          <w:szCs w:val="24"/>
        </w:rPr>
        <w:t>Chapter 9:07</w:t>
      </w:r>
      <w:r>
        <w:rPr>
          <w:rFonts w:ascii="Times New Roman" w:hAnsi="Times New Roman" w:cs="Times New Roman"/>
          <w:sz w:val="24"/>
          <w:szCs w:val="24"/>
        </w:rPr>
        <w:t xml:space="preserve">] </w:t>
      </w:r>
      <w:r w:rsidR="00160D3A">
        <w:rPr>
          <w:rFonts w:ascii="Times New Roman" w:hAnsi="Times New Roman" w:cs="Times New Roman"/>
          <w:sz w:val="24"/>
          <w:szCs w:val="24"/>
        </w:rPr>
        <w:t>reads as follows:</w:t>
      </w:r>
    </w:p>
    <w:p w:rsidR="00160D3A" w:rsidRDefault="00160D3A" w:rsidP="00160D3A">
      <w:pPr>
        <w:spacing w:after="0" w:line="240" w:lineRule="auto"/>
        <w:ind w:firstLine="720"/>
        <w:jc w:val="both"/>
        <w:rPr>
          <w:rFonts w:ascii="Times New Roman" w:hAnsi="Times New Roman" w:cs="Times New Roman"/>
        </w:rPr>
      </w:pPr>
      <w:r>
        <w:rPr>
          <w:rFonts w:ascii="Times New Roman" w:hAnsi="Times New Roman" w:cs="Times New Roman"/>
        </w:rPr>
        <w:t>“126 Alteration of recogni</w:t>
      </w:r>
      <w:r w:rsidR="005A1BD1">
        <w:rPr>
          <w:rFonts w:ascii="Times New Roman" w:hAnsi="Times New Roman" w:cs="Times New Roman"/>
        </w:rPr>
        <w:t>sances or committal of person on</w:t>
      </w:r>
      <w:r>
        <w:rPr>
          <w:rFonts w:ascii="Times New Roman" w:hAnsi="Times New Roman" w:cs="Times New Roman"/>
        </w:rPr>
        <w:t xml:space="preserve"> bail to prison</w:t>
      </w:r>
    </w:p>
    <w:p w:rsidR="00160D3A" w:rsidRDefault="00160D3A" w:rsidP="00160D3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Any judge or magistrate who has granted bail to a person in terms of this part may, if he is of the opinion that it is necessary or advisable in the interests of justice that the conditions of a recognisance entered into by that person should be altered or added to or that that person should be committed to prison, order that the conditions of bail be altered or added to or commit the person to prison, as the case may be…”</w:t>
      </w:r>
    </w:p>
    <w:p w:rsidR="00160D3A" w:rsidRDefault="00160D3A" w:rsidP="00160D3A">
      <w:pPr>
        <w:spacing w:after="0" w:line="240" w:lineRule="auto"/>
        <w:ind w:left="720"/>
        <w:jc w:val="both"/>
        <w:rPr>
          <w:rFonts w:ascii="Times New Roman" w:hAnsi="Times New Roman" w:cs="Times New Roman"/>
        </w:rPr>
      </w:pPr>
    </w:p>
    <w:p w:rsidR="00160D3A" w:rsidRDefault="00160D3A" w:rsidP="00160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Purely on the facts, my view is that the applicant has failed to place any evidence before me </w:t>
      </w:r>
      <w:r w:rsidR="005A1BD1">
        <w:rPr>
          <w:rFonts w:ascii="Times New Roman" w:hAnsi="Times New Roman" w:cs="Times New Roman"/>
          <w:sz w:val="24"/>
          <w:szCs w:val="24"/>
        </w:rPr>
        <w:t xml:space="preserve">to prove </w:t>
      </w:r>
      <w:r>
        <w:rPr>
          <w:rFonts w:ascii="Times New Roman" w:hAnsi="Times New Roman" w:cs="Times New Roman"/>
          <w:sz w:val="24"/>
          <w:szCs w:val="24"/>
        </w:rPr>
        <w:t xml:space="preserve">that he was invited to South Africa to give the alleged keynote address. It matters not that the respondent did not oppose the application on </w:t>
      </w:r>
      <w:r w:rsidR="005A1BD1">
        <w:rPr>
          <w:rFonts w:ascii="Times New Roman" w:hAnsi="Times New Roman" w:cs="Times New Roman"/>
          <w:sz w:val="24"/>
          <w:szCs w:val="24"/>
        </w:rPr>
        <w:t>the merits, choosing instead to</w:t>
      </w:r>
      <w:r>
        <w:rPr>
          <w:rFonts w:ascii="Times New Roman" w:hAnsi="Times New Roman" w:cs="Times New Roman"/>
          <w:sz w:val="24"/>
          <w:szCs w:val="24"/>
        </w:rPr>
        <w:t xml:space="preserve"> rely on procedural and jurisprudential grounds to resist the application.</w:t>
      </w:r>
    </w:p>
    <w:p w:rsidR="00160D3A" w:rsidRDefault="00160D3A" w:rsidP="00160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duty to apply the provisions of s 126(1) of the Act rests on the shoulders of the court. The respondent’</w:t>
      </w:r>
      <w:r w:rsidR="005A1BD1">
        <w:rPr>
          <w:rFonts w:ascii="Times New Roman" w:hAnsi="Times New Roman" w:cs="Times New Roman"/>
          <w:sz w:val="24"/>
          <w:szCs w:val="24"/>
        </w:rPr>
        <w:t>s</w:t>
      </w:r>
      <w:r>
        <w:rPr>
          <w:rFonts w:ascii="Times New Roman" w:hAnsi="Times New Roman" w:cs="Times New Roman"/>
          <w:sz w:val="24"/>
          <w:szCs w:val="24"/>
        </w:rPr>
        <w:t xml:space="preserve"> position is relevant but not decisive.</w:t>
      </w:r>
    </w:p>
    <w:p w:rsidR="00160D3A" w:rsidRDefault="00160D3A" w:rsidP="00160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issue was not squarely before the Supreme Court in </w:t>
      </w:r>
      <w:r w:rsidRPr="00160D3A">
        <w:rPr>
          <w:rFonts w:ascii="Times New Roman" w:hAnsi="Times New Roman" w:cs="Times New Roman"/>
          <w:i/>
          <w:sz w:val="24"/>
          <w:szCs w:val="24"/>
        </w:rPr>
        <w:t xml:space="preserve">Chiwenga </w:t>
      </w:r>
      <w:r>
        <w:rPr>
          <w:rFonts w:ascii="Times New Roman" w:hAnsi="Times New Roman" w:cs="Times New Roman"/>
          <w:sz w:val="24"/>
          <w:szCs w:val="24"/>
        </w:rPr>
        <w:t xml:space="preserve">v </w:t>
      </w:r>
      <w:r w:rsidRPr="00160D3A">
        <w:rPr>
          <w:rFonts w:ascii="Times New Roman" w:hAnsi="Times New Roman" w:cs="Times New Roman"/>
          <w:i/>
          <w:sz w:val="24"/>
          <w:szCs w:val="24"/>
        </w:rPr>
        <w:t>The National Prosecuting Authority and Anor</w:t>
      </w:r>
      <w:r>
        <w:rPr>
          <w:rFonts w:ascii="Times New Roman" w:hAnsi="Times New Roman" w:cs="Times New Roman"/>
          <w:sz w:val="24"/>
          <w:szCs w:val="24"/>
        </w:rPr>
        <w:t xml:space="preserve"> SC </w:t>
      </w:r>
      <w:r>
        <w:rPr>
          <w:rFonts w:ascii="Times New Roman" w:hAnsi="Times New Roman" w:cs="Times New Roman"/>
          <w:sz w:val="24"/>
          <w:szCs w:val="24"/>
        </w:rPr>
        <w:tab/>
        <w:t xml:space="preserve">17/21 my reading of that judgment is that it proceeds from the premise that an application for temporary release </w:t>
      </w:r>
      <w:r w:rsidR="00482866">
        <w:rPr>
          <w:rFonts w:ascii="Times New Roman" w:hAnsi="Times New Roman" w:cs="Times New Roman"/>
          <w:sz w:val="24"/>
          <w:szCs w:val="24"/>
        </w:rPr>
        <w:t xml:space="preserve">of </w:t>
      </w:r>
      <w:r>
        <w:rPr>
          <w:rFonts w:ascii="Times New Roman" w:hAnsi="Times New Roman" w:cs="Times New Roman"/>
          <w:sz w:val="24"/>
          <w:szCs w:val="24"/>
        </w:rPr>
        <w:t>a passport and concomitant suspension of reporting conditions falls w</w:t>
      </w:r>
      <w:r w:rsidR="00482866">
        <w:rPr>
          <w:rFonts w:ascii="Times New Roman" w:hAnsi="Times New Roman" w:cs="Times New Roman"/>
          <w:sz w:val="24"/>
          <w:szCs w:val="24"/>
        </w:rPr>
        <w:t>ithin the parameters of s 126(1)</w:t>
      </w:r>
      <w:r>
        <w:rPr>
          <w:rFonts w:ascii="Times New Roman" w:hAnsi="Times New Roman" w:cs="Times New Roman"/>
          <w:sz w:val="24"/>
          <w:szCs w:val="24"/>
        </w:rPr>
        <w:t xml:space="preserve"> of the Act. Temporary release of a passport held as a bail condition is alteration of a bail condition. Temporary suspension of a reporting condition is alteration of a bail condition. It s</w:t>
      </w:r>
      <w:r w:rsidR="00D857AD">
        <w:rPr>
          <w:rFonts w:ascii="Times New Roman" w:hAnsi="Times New Roman" w:cs="Times New Roman"/>
          <w:sz w:val="24"/>
          <w:szCs w:val="24"/>
        </w:rPr>
        <w:t>hould not matter that the alt</w:t>
      </w:r>
      <w:r>
        <w:rPr>
          <w:rFonts w:ascii="Times New Roman" w:hAnsi="Times New Roman" w:cs="Times New Roman"/>
          <w:sz w:val="24"/>
          <w:szCs w:val="24"/>
        </w:rPr>
        <w:t>eration</w:t>
      </w:r>
      <w:r w:rsidR="00D857AD">
        <w:rPr>
          <w:rFonts w:ascii="Times New Roman" w:hAnsi="Times New Roman" w:cs="Times New Roman"/>
          <w:sz w:val="24"/>
          <w:szCs w:val="24"/>
        </w:rPr>
        <w:t xml:space="preserve"> is fo</w:t>
      </w:r>
      <w:r w:rsidR="00482866">
        <w:rPr>
          <w:rFonts w:ascii="Times New Roman" w:hAnsi="Times New Roman" w:cs="Times New Roman"/>
          <w:sz w:val="24"/>
          <w:szCs w:val="24"/>
        </w:rPr>
        <w:t>r a short period. Section 126(1)</w:t>
      </w:r>
      <w:r w:rsidR="00D857AD">
        <w:rPr>
          <w:rFonts w:ascii="Times New Roman" w:hAnsi="Times New Roman" w:cs="Times New Roman"/>
          <w:sz w:val="24"/>
          <w:szCs w:val="24"/>
        </w:rPr>
        <w:t xml:space="preserve"> of the Act reveals the legislature’s </w:t>
      </w:r>
      <w:r w:rsidR="001A176C">
        <w:rPr>
          <w:rFonts w:ascii="Times New Roman" w:hAnsi="Times New Roman" w:cs="Times New Roman"/>
          <w:sz w:val="24"/>
          <w:szCs w:val="24"/>
        </w:rPr>
        <w:t>intention</w:t>
      </w:r>
      <w:r w:rsidR="00D857AD">
        <w:rPr>
          <w:rFonts w:ascii="Times New Roman" w:hAnsi="Times New Roman" w:cs="Times New Roman"/>
          <w:sz w:val="24"/>
          <w:szCs w:val="24"/>
        </w:rPr>
        <w:t xml:space="preserve"> that bail conditions</w:t>
      </w:r>
      <w:r w:rsidR="001A176C">
        <w:rPr>
          <w:rFonts w:ascii="Times New Roman" w:hAnsi="Times New Roman" w:cs="Times New Roman"/>
          <w:sz w:val="24"/>
          <w:szCs w:val="24"/>
        </w:rPr>
        <w:t xml:space="preserve"> and bail orders</w:t>
      </w:r>
      <w:r w:rsidR="00D857AD">
        <w:rPr>
          <w:rFonts w:ascii="Times New Roman" w:hAnsi="Times New Roman" w:cs="Times New Roman"/>
          <w:sz w:val="24"/>
          <w:szCs w:val="24"/>
        </w:rPr>
        <w:t xml:space="preserve"> are not cast in stone. What Parliament has required the court to do is to assess the facts of each case and then determine whether to alter or add to bail conditions or commit a person </w:t>
      </w:r>
      <w:r w:rsidR="00482866">
        <w:rPr>
          <w:rFonts w:ascii="Times New Roman" w:hAnsi="Times New Roman" w:cs="Times New Roman"/>
          <w:sz w:val="24"/>
          <w:szCs w:val="24"/>
        </w:rPr>
        <w:t xml:space="preserve">on bail </w:t>
      </w:r>
      <w:r w:rsidR="00D857AD">
        <w:rPr>
          <w:rFonts w:ascii="Times New Roman" w:hAnsi="Times New Roman" w:cs="Times New Roman"/>
          <w:sz w:val="24"/>
          <w:szCs w:val="24"/>
        </w:rPr>
        <w:t xml:space="preserve">to prison if the court is of the opinion that it is necessary or advisable in the interests of justice to do so. It follows that I do not agree with Mr </w:t>
      </w:r>
      <w:r w:rsidR="00D857AD" w:rsidRPr="00D857AD">
        <w:rPr>
          <w:rFonts w:ascii="Times New Roman" w:hAnsi="Times New Roman" w:cs="Times New Roman"/>
          <w:i/>
          <w:sz w:val="24"/>
          <w:szCs w:val="24"/>
        </w:rPr>
        <w:t xml:space="preserve">Muziwi </w:t>
      </w:r>
      <w:r w:rsidR="00D857AD">
        <w:rPr>
          <w:rFonts w:ascii="Times New Roman" w:hAnsi="Times New Roman" w:cs="Times New Roman"/>
          <w:sz w:val="24"/>
          <w:szCs w:val="24"/>
        </w:rPr>
        <w:t xml:space="preserve">when he argues that the present application </w:t>
      </w:r>
      <w:r w:rsidR="00D857AD">
        <w:rPr>
          <w:rFonts w:ascii="Times New Roman" w:hAnsi="Times New Roman" w:cs="Times New Roman"/>
          <w:sz w:val="24"/>
          <w:szCs w:val="24"/>
        </w:rPr>
        <w:lastRenderedPageBreak/>
        <w:t xml:space="preserve">is incompetent. I hold a different view from that expressed by this court in </w:t>
      </w:r>
      <w:r w:rsidR="00D857AD" w:rsidRPr="00D857AD">
        <w:rPr>
          <w:rFonts w:ascii="Times New Roman" w:hAnsi="Times New Roman" w:cs="Times New Roman"/>
          <w:i/>
          <w:sz w:val="24"/>
          <w:szCs w:val="24"/>
        </w:rPr>
        <w:t>Kazhanje</w:t>
      </w:r>
      <w:r w:rsidR="00D857AD">
        <w:rPr>
          <w:rFonts w:ascii="Times New Roman" w:hAnsi="Times New Roman" w:cs="Times New Roman"/>
          <w:sz w:val="24"/>
          <w:szCs w:val="24"/>
        </w:rPr>
        <w:t xml:space="preserve"> v </w:t>
      </w:r>
      <w:r w:rsidR="00D857AD" w:rsidRPr="00D857AD">
        <w:rPr>
          <w:rFonts w:ascii="Times New Roman" w:hAnsi="Times New Roman" w:cs="Times New Roman"/>
          <w:i/>
          <w:sz w:val="24"/>
          <w:szCs w:val="24"/>
        </w:rPr>
        <w:t xml:space="preserve">S </w:t>
      </w:r>
      <w:r w:rsidR="00D857AD" w:rsidRPr="00D857AD">
        <w:rPr>
          <w:rFonts w:ascii="Times New Roman" w:hAnsi="Times New Roman" w:cs="Times New Roman"/>
          <w:sz w:val="24"/>
          <w:szCs w:val="24"/>
        </w:rPr>
        <w:t xml:space="preserve">HH </w:t>
      </w:r>
      <w:r w:rsidR="00D857AD">
        <w:rPr>
          <w:rFonts w:ascii="Times New Roman" w:hAnsi="Times New Roman" w:cs="Times New Roman"/>
          <w:sz w:val="24"/>
          <w:szCs w:val="24"/>
        </w:rPr>
        <w:t xml:space="preserve">276/20 and </w:t>
      </w:r>
      <w:r w:rsidR="00D857AD" w:rsidRPr="00D857AD">
        <w:rPr>
          <w:rFonts w:ascii="Times New Roman" w:hAnsi="Times New Roman" w:cs="Times New Roman"/>
          <w:i/>
          <w:sz w:val="24"/>
          <w:szCs w:val="24"/>
        </w:rPr>
        <w:t>Chitukutuku</w:t>
      </w:r>
      <w:r w:rsidR="00D857AD">
        <w:rPr>
          <w:rFonts w:ascii="Times New Roman" w:hAnsi="Times New Roman" w:cs="Times New Roman"/>
          <w:sz w:val="24"/>
          <w:szCs w:val="24"/>
        </w:rPr>
        <w:t xml:space="preserve"> v </w:t>
      </w:r>
      <w:r w:rsidR="00D857AD" w:rsidRPr="00D857AD">
        <w:rPr>
          <w:rFonts w:ascii="Times New Roman" w:hAnsi="Times New Roman" w:cs="Times New Roman"/>
          <w:i/>
          <w:sz w:val="24"/>
          <w:szCs w:val="24"/>
        </w:rPr>
        <w:t>S</w:t>
      </w:r>
      <w:r w:rsidR="00D857AD">
        <w:rPr>
          <w:rFonts w:ascii="Times New Roman" w:hAnsi="Times New Roman" w:cs="Times New Roman"/>
          <w:sz w:val="24"/>
          <w:szCs w:val="24"/>
        </w:rPr>
        <w:t xml:space="preserve"> </w:t>
      </w:r>
      <w:r w:rsidR="00D857AD" w:rsidRPr="00D857AD">
        <w:rPr>
          <w:rFonts w:ascii="Times New Roman" w:hAnsi="Times New Roman" w:cs="Times New Roman"/>
          <w:sz w:val="24"/>
          <w:szCs w:val="24"/>
        </w:rPr>
        <w:t>HH</w:t>
      </w:r>
      <w:r w:rsidR="00D857AD">
        <w:rPr>
          <w:rFonts w:ascii="Times New Roman" w:hAnsi="Times New Roman" w:cs="Times New Roman"/>
          <w:sz w:val="24"/>
          <w:szCs w:val="24"/>
        </w:rPr>
        <w:t xml:space="preserve"> 277/20.</w:t>
      </w:r>
    </w:p>
    <w:p w:rsidR="00D857AD" w:rsidRDefault="00D857AD" w:rsidP="00160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think the legislature deliberately decided to use the word “alter” in s 126(1) instead of </w:t>
      </w:r>
    </w:p>
    <w:p w:rsidR="0017126E" w:rsidRDefault="00482866" w:rsidP="00D8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“amend</w:t>
      </w:r>
      <w:r w:rsidR="00D857AD">
        <w:rPr>
          <w:rFonts w:ascii="Times New Roman" w:hAnsi="Times New Roman" w:cs="Times New Roman"/>
          <w:sz w:val="24"/>
          <w:szCs w:val="24"/>
        </w:rPr>
        <w:t>”. The latter word was used in the old s 114(1) of the then Criminal Procedure &amp; Evidence Act [C</w:t>
      </w:r>
      <w:r w:rsidR="00D857AD" w:rsidRPr="00D857AD">
        <w:rPr>
          <w:rFonts w:ascii="Times New Roman" w:hAnsi="Times New Roman" w:cs="Times New Roman"/>
          <w:i/>
          <w:sz w:val="24"/>
          <w:szCs w:val="24"/>
        </w:rPr>
        <w:t>hapter</w:t>
      </w:r>
      <w:r w:rsidR="00D857AD">
        <w:rPr>
          <w:rFonts w:ascii="Times New Roman" w:hAnsi="Times New Roman" w:cs="Times New Roman"/>
          <w:sz w:val="24"/>
          <w:szCs w:val="24"/>
        </w:rPr>
        <w:t xml:space="preserve"> 59]</w:t>
      </w:r>
      <w:r w:rsidR="00A54394">
        <w:rPr>
          <w:rStyle w:val="FootnoteReference"/>
          <w:rFonts w:ascii="Times New Roman" w:hAnsi="Times New Roman" w:cs="Times New Roman"/>
          <w:sz w:val="24"/>
          <w:szCs w:val="24"/>
        </w:rPr>
        <w:footnoteReference w:id="1"/>
      </w:r>
      <w:r w:rsidR="00D857AD">
        <w:rPr>
          <w:rFonts w:ascii="Times New Roman" w:hAnsi="Times New Roman" w:cs="Times New Roman"/>
          <w:sz w:val="24"/>
          <w:szCs w:val="24"/>
        </w:rPr>
        <w:t>. Unlike an amendment of bail conditions, an alteration of bail conditions</w:t>
      </w:r>
      <w:r>
        <w:rPr>
          <w:rFonts w:ascii="Times New Roman" w:hAnsi="Times New Roman" w:cs="Times New Roman"/>
          <w:sz w:val="24"/>
          <w:szCs w:val="24"/>
        </w:rPr>
        <w:t xml:space="preserve"> (which may be temporary)</w:t>
      </w:r>
      <w:r w:rsidR="00D857AD">
        <w:rPr>
          <w:rFonts w:ascii="Times New Roman" w:hAnsi="Times New Roman" w:cs="Times New Roman"/>
          <w:sz w:val="24"/>
          <w:szCs w:val="24"/>
        </w:rPr>
        <w:t xml:space="preserve"> may still result in the bail conditions reverting to their original state or form after a specific period without the court </w:t>
      </w:r>
      <w:r>
        <w:rPr>
          <w:rFonts w:ascii="Times New Roman" w:hAnsi="Times New Roman" w:cs="Times New Roman"/>
          <w:sz w:val="24"/>
          <w:szCs w:val="24"/>
        </w:rPr>
        <w:t>making any other order during the intervening period. In saying this, I accept that there should be many cases where alteration of bail conditions would have the same meaning and effect as amendment of such conditions.</w:t>
      </w:r>
      <w:r w:rsidR="00C62469">
        <w:rPr>
          <w:rFonts w:ascii="Times New Roman" w:hAnsi="Times New Roman" w:cs="Times New Roman"/>
          <w:sz w:val="24"/>
          <w:szCs w:val="24"/>
        </w:rPr>
        <w:t xml:space="preserve"> </w:t>
      </w:r>
      <w:r w:rsidR="0017126E">
        <w:rPr>
          <w:rFonts w:ascii="Times New Roman" w:hAnsi="Times New Roman" w:cs="Times New Roman"/>
          <w:sz w:val="24"/>
          <w:szCs w:val="24"/>
        </w:rPr>
        <w:t>The conclusion that I have reached in this matter renders it unnecessary to deal with the other grounds on which the application was argued. It suffices to observe that even if I had found t</w:t>
      </w:r>
      <w:r>
        <w:rPr>
          <w:rFonts w:ascii="Times New Roman" w:hAnsi="Times New Roman" w:cs="Times New Roman"/>
          <w:sz w:val="24"/>
          <w:szCs w:val="24"/>
        </w:rPr>
        <w:t>hat the applicant had been invi</w:t>
      </w:r>
      <w:r w:rsidR="0017126E">
        <w:rPr>
          <w:rFonts w:ascii="Times New Roman" w:hAnsi="Times New Roman" w:cs="Times New Roman"/>
          <w:sz w:val="24"/>
          <w:szCs w:val="24"/>
        </w:rPr>
        <w:t xml:space="preserve">ted to South Africa, he may still have had difficulty in persuading me that it was necessary or desirable to alter the bail conditions to allow him to uplift his passport and temporarily suspend the reporting conditions on his mere undertaking that he would </w:t>
      </w:r>
      <w:r w:rsidR="00D33C94">
        <w:rPr>
          <w:rFonts w:ascii="Times New Roman" w:hAnsi="Times New Roman" w:cs="Times New Roman"/>
          <w:sz w:val="24"/>
          <w:szCs w:val="24"/>
        </w:rPr>
        <w:t>not abscond</w:t>
      </w:r>
      <w:r w:rsidR="0017126E">
        <w:rPr>
          <w:rFonts w:ascii="Times New Roman" w:hAnsi="Times New Roman" w:cs="Times New Roman"/>
          <w:sz w:val="24"/>
          <w:szCs w:val="24"/>
        </w:rPr>
        <w:t xml:space="preserve"> trial coupled with his compliance with this court’s order </w:t>
      </w:r>
      <w:r w:rsidR="00D33C94">
        <w:rPr>
          <w:rFonts w:ascii="Times New Roman" w:hAnsi="Times New Roman" w:cs="Times New Roman"/>
          <w:sz w:val="24"/>
          <w:szCs w:val="24"/>
        </w:rPr>
        <w:t>o</w:t>
      </w:r>
      <w:r w:rsidR="0017126E">
        <w:rPr>
          <w:rFonts w:ascii="Times New Roman" w:hAnsi="Times New Roman" w:cs="Times New Roman"/>
          <w:sz w:val="24"/>
          <w:szCs w:val="24"/>
        </w:rPr>
        <w:t>f 20 December 2020. The applicant did not offer any additional security in light of the fact that the relief that he sought was temporary. He did not pray for the cancellation of the reporting condition. He did not pray for the permanent release of his passport.</w:t>
      </w:r>
      <w:r w:rsidR="001A176C">
        <w:rPr>
          <w:rFonts w:ascii="Times New Roman" w:hAnsi="Times New Roman" w:cs="Times New Roman"/>
          <w:sz w:val="24"/>
          <w:szCs w:val="24"/>
        </w:rPr>
        <w:t xml:space="preserve"> This </w:t>
      </w:r>
      <w:r>
        <w:rPr>
          <w:rFonts w:ascii="Times New Roman" w:hAnsi="Times New Roman" w:cs="Times New Roman"/>
          <w:sz w:val="24"/>
          <w:szCs w:val="24"/>
        </w:rPr>
        <w:t>tends to suggest that he accepts that it</w:t>
      </w:r>
      <w:r w:rsidR="001A176C">
        <w:rPr>
          <w:rFonts w:ascii="Times New Roman" w:hAnsi="Times New Roman" w:cs="Times New Roman"/>
          <w:sz w:val="24"/>
          <w:szCs w:val="24"/>
        </w:rPr>
        <w:t xml:space="preserve"> is</w:t>
      </w:r>
      <w:r>
        <w:rPr>
          <w:rFonts w:ascii="Times New Roman" w:hAnsi="Times New Roman" w:cs="Times New Roman"/>
          <w:sz w:val="24"/>
          <w:szCs w:val="24"/>
        </w:rPr>
        <w:t xml:space="preserve"> necessary or desirable in the interests of justice that he needed to offer additional security if he were to be allowed to temporarily up-lift his passport and to obtain a suspension of the reporting condition for the period that he would have been in South Africa</w:t>
      </w:r>
    </w:p>
    <w:p w:rsidR="0017126E" w:rsidRDefault="0017126E" w:rsidP="00D8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for alteration of the bail</w:t>
      </w:r>
      <w:r w:rsidR="001A176C">
        <w:rPr>
          <w:rFonts w:ascii="Times New Roman" w:hAnsi="Times New Roman" w:cs="Times New Roman"/>
          <w:sz w:val="24"/>
          <w:szCs w:val="24"/>
        </w:rPr>
        <w:t xml:space="preserve"> conditions be and is dismissed.</w:t>
      </w:r>
    </w:p>
    <w:p w:rsidR="001A176C" w:rsidRDefault="001A176C" w:rsidP="00D857AD">
      <w:pPr>
        <w:spacing w:after="0" w:line="360" w:lineRule="auto"/>
        <w:jc w:val="both"/>
        <w:rPr>
          <w:rFonts w:ascii="Times New Roman" w:hAnsi="Times New Roman" w:cs="Times New Roman"/>
          <w:sz w:val="24"/>
          <w:szCs w:val="24"/>
        </w:rPr>
      </w:pPr>
    </w:p>
    <w:p w:rsidR="0017126E" w:rsidRDefault="0017126E" w:rsidP="0017126E">
      <w:pPr>
        <w:spacing w:after="0" w:line="240" w:lineRule="auto"/>
        <w:jc w:val="both"/>
        <w:rPr>
          <w:rFonts w:ascii="Times New Roman" w:hAnsi="Times New Roman" w:cs="Times New Roman"/>
          <w:sz w:val="24"/>
          <w:szCs w:val="24"/>
        </w:rPr>
      </w:pPr>
      <w:r w:rsidRPr="0017126E">
        <w:rPr>
          <w:rFonts w:ascii="Times New Roman" w:hAnsi="Times New Roman" w:cs="Times New Roman"/>
          <w:i/>
          <w:sz w:val="24"/>
          <w:szCs w:val="24"/>
        </w:rPr>
        <w:t>Mtetwa &amp; Nyambirai</w:t>
      </w:r>
      <w:r>
        <w:rPr>
          <w:rFonts w:ascii="Times New Roman" w:hAnsi="Times New Roman" w:cs="Times New Roman"/>
          <w:sz w:val="24"/>
          <w:szCs w:val="24"/>
        </w:rPr>
        <w:t>, applicant’s legal practitioners</w:t>
      </w:r>
    </w:p>
    <w:p w:rsidR="0099492C" w:rsidRPr="0099492C" w:rsidRDefault="0017126E" w:rsidP="001A176C">
      <w:pPr>
        <w:spacing w:after="0" w:line="240" w:lineRule="auto"/>
        <w:jc w:val="both"/>
        <w:rPr>
          <w:rFonts w:ascii="Times New Roman" w:hAnsi="Times New Roman" w:cs="Times New Roman"/>
          <w:sz w:val="24"/>
          <w:szCs w:val="24"/>
        </w:rPr>
      </w:pPr>
      <w:r w:rsidRPr="0017126E">
        <w:rPr>
          <w:rFonts w:ascii="Times New Roman" w:hAnsi="Times New Roman" w:cs="Times New Roman"/>
          <w:i/>
          <w:sz w:val="24"/>
          <w:szCs w:val="24"/>
        </w:rPr>
        <w:t>The National Prosecuting Authority</w:t>
      </w:r>
      <w:r>
        <w:rPr>
          <w:rFonts w:ascii="Times New Roman" w:hAnsi="Times New Roman" w:cs="Times New Roman"/>
          <w:sz w:val="24"/>
          <w:szCs w:val="24"/>
        </w:rPr>
        <w:t xml:space="preserve">, </w:t>
      </w:r>
      <w:r w:rsidR="001A176C">
        <w:rPr>
          <w:rFonts w:ascii="Times New Roman" w:hAnsi="Times New Roman" w:cs="Times New Roman"/>
          <w:sz w:val="24"/>
          <w:szCs w:val="24"/>
        </w:rPr>
        <w:t>respondent’s legal practitioners</w:t>
      </w:r>
    </w:p>
    <w:sectPr w:rsidR="0099492C" w:rsidRPr="009949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4F" w:rsidRDefault="00D45B4F" w:rsidP="0099492C">
      <w:pPr>
        <w:spacing w:after="0" w:line="240" w:lineRule="auto"/>
      </w:pPr>
      <w:r>
        <w:separator/>
      </w:r>
    </w:p>
  </w:endnote>
  <w:endnote w:type="continuationSeparator" w:id="0">
    <w:p w:rsidR="00D45B4F" w:rsidRDefault="00D45B4F" w:rsidP="0099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4F" w:rsidRDefault="00D45B4F" w:rsidP="0099492C">
      <w:pPr>
        <w:spacing w:after="0" w:line="240" w:lineRule="auto"/>
      </w:pPr>
      <w:r>
        <w:separator/>
      </w:r>
    </w:p>
  </w:footnote>
  <w:footnote w:type="continuationSeparator" w:id="0">
    <w:p w:rsidR="00D45B4F" w:rsidRDefault="00D45B4F" w:rsidP="0099492C">
      <w:pPr>
        <w:spacing w:after="0" w:line="240" w:lineRule="auto"/>
      </w:pPr>
      <w:r>
        <w:continuationSeparator/>
      </w:r>
    </w:p>
  </w:footnote>
  <w:footnote w:id="1">
    <w:p w:rsidR="00A54394" w:rsidRDefault="00A54394">
      <w:pPr>
        <w:pStyle w:val="FootnoteText"/>
      </w:pPr>
      <w:r>
        <w:rPr>
          <w:rStyle w:val="FootnoteReference"/>
        </w:rPr>
        <w:footnoteRef/>
      </w:r>
      <w:r>
        <w:t xml:space="preserve"> S v Mambo 1992 (1) ZLR 245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30256"/>
      <w:docPartObj>
        <w:docPartGallery w:val="Page Numbers (Top of Page)"/>
        <w:docPartUnique/>
      </w:docPartObj>
    </w:sdtPr>
    <w:sdtEndPr>
      <w:rPr>
        <w:noProof/>
      </w:rPr>
    </w:sdtEndPr>
    <w:sdtContent>
      <w:p w:rsidR="0099492C" w:rsidRDefault="0099492C">
        <w:pPr>
          <w:pStyle w:val="Header"/>
          <w:jc w:val="right"/>
          <w:rPr>
            <w:noProof/>
          </w:rPr>
        </w:pPr>
        <w:r>
          <w:fldChar w:fldCharType="begin"/>
        </w:r>
        <w:r>
          <w:instrText xml:space="preserve"> PAGE   \* MERGEFORMAT </w:instrText>
        </w:r>
        <w:r>
          <w:fldChar w:fldCharType="separate"/>
        </w:r>
        <w:r w:rsidR="00403494">
          <w:rPr>
            <w:noProof/>
          </w:rPr>
          <w:t>1</w:t>
        </w:r>
        <w:r>
          <w:rPr>
            <w:noProof/>
          </w:rPr>
          <w:fldChar w:fldCharType="end"/>
        </w:r>
      </w:p>
      <w:p w:rsidR="0099492C" w:rsidRDefault="0099492C">
        <w:pPr>
          <w:pStyle w:val="Header"/>
          <w:jc w:val="right"/>
          <w:rPr>
            <w:noProof/>
          </w:rPr>
        </w:pPr>
        <w:r>
          <w:rPr>
            <w:noProof/>
          </w:rPr>
          <w:t>HH</w:t>
        </w:r>
        <w:r w:rsidR="00A54394">
          <w:rPr>
            <w:noProof/>
          </w:rPr>
          <w:t xml:space="preserve"> 427-21</w:t>
        </w:r>
      </w:p>
      <w:p w:rsidR="0099492C" w:rsidRDefault="0099492C">
        <w:pPr>
          <w:pStyle w:val="Header"/>
          <w:jc w:val="right"/>
          <w:rPr>
            <w:noProof/>
          </w:rPr>
        </w:pPr>
        <w:r>
          <w:rPr>
            <w:noProof/>
          </w:rPr>
          <w:t>B 1552/21</w:t>
        </w:r>
      </w:p>
      <w:p w:rsidR="0099492C" w:rsidRDefault="005A1BD1">
        <w:pPr>
          <w:pStyle w:val="Header"/>
          <w:jc w:val="right"/>
          <w:rPr>
            <w:noProof/>
          </w:rPr>
        </w:pPr>
        <w:r>
          <w:rPr>
            <w:noProof/>
          </w:rPr>
          <w:t xml:space="preserve">X </w:t>
        </w:r>
        <w:r w:rsidR="0099492C">
          <w:rPr>
            <w:noProof/>
          </w:rPr>
          <w:t>REF C</w:t>
        </w:r>
        <w:r w:rsidR="008534C3">
          <w:rPr>
            <w:noProof/>
          </w:rPr>
          <w:t>A</w:t>
        </w:r>
        <w:r w:rsidR="0099492C">
          <w:rPr>
            <w:noProof/>
          </w:rPr>
          <w:t>SE B 1359/20</w:t>
        </w:r>
      </w:p>
      <w:p w:rsidR="0099492C" w:rsidRDefault="0099492C">
        <w:pPr>
          <w:pStyle w:val="Header"/>
          <w:jc w:val="right"/>
          <w:rPr>
            <w:noProof/>
          </w:rPr>
        </w:pPr>
        <w:r>
          <w:rPr>
            <w:noProof/>
          </w:rPr>
          <w:t>CRB ACC 77/20</w:t>
        </w:r>
      </w:p>
      <w:p w:rsidR="0099492C" w:rsidRDefault="0099492C">
        <w:pPr>
          <w:pStyle w:val="Header"/>
          <w:jc w:val="right"/>
          <w:rPr>
            <w:noProof/>
          </w:rPr>
        </w:pPr>
        <w:r>
          <w:rPr>
            <w:noProof/>
          </w:rPr>
          <w:t>CRB 6801/20</w:t>
        </w:r>
      </w:p>
      <w:p w:rsidR="0099492C" w:rsidRDefault="005A1BD1">
        <w:pPr>
          <w:pStyle w:val="Header"/>
          <w:jc w:val="right"/>
          <w:rPr>
            <w:noProof/>
          </w:rPr>
        </w:pPr>
        <w:r>
          <w:rPr>
            <w:noProof/>
          </w:rPr>
          <w:t xml:space="preserve">X </w:t>
        </w:r>
        <w:r w:rsidR="0099492C">
          <w:rPr>
            <w:noProof/>
          </w:rPr>
          <w:t>REF CASE B 1941/20</w:t>
        </w:r>
      </w:p>
      <w:p w:rsidR="0099492C" w:rsidRDefault="0099492C">
        <w:pPr>
          <w:pStyle w:val="Header"/>
          <w:jc w:val="right"/>
          <w:rPr>
            <w:noProof/>
          </w:rPr>
        </w:pPr>
        <w:r>
          <w:rPr>
            <w:noProof/>
          </w:rPr>
          <w:t>CRB ACC 235/20</w:t>
        </w:r>
      </w:p>
      <w:p w:rsidR="0099492C" w:rsidRDefault="005A1BD1">
        <w:pPr>
          <w:pStyle w:val="Header"/>
          <w:jc w:val="right"/>
          <w:rPr>
            <w:noProof/>
          </w:rPr>
        </w:pPr>
        <w:r>
          <w:rPr>
            <w:noProof/>
          </w:rPr>
          <w:t xml:space="preserve">X </w:t>
        </w:r>
        <w:r w:rsidR="0099492C">
          <w:rPr>
            <w:noProof/>
          </w:rPr>
          <w:t>REF CASE B 95/21</w:t>
        </w:r>
      </w:p>
      <w:p w:rsidR="0099492C" w:rsidRDefault="0099492C">
        <w:pPr>
          <w:pStyle w:val="Header"/>
          <w:jc w:val="right"/>
        </w:pPr>
        <w:r>
          <w:rPr>
            <w:noProof/>
          </w:rPr>
          <w:t>CRB HRE P 353/20</w:t>
        </w:r>
      </w:p>
    </w:sdtContent>
  </w:sdt>
  <w:p w:rsidR="0099492C" w:rsidRDefault="009949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4F5"/>
    <w:multiLevelType w:val="hybridMultilevel"/>
    <w:tmpl w:val="64242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CE41F7"/>
    <w:multiLevelType w:val="hybridMultilevel"/>
    <w:tmpl w:val="15B65044"/>
    <w:lvl w:ilvl="0" w:tplc="EC180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2C"/>
    <w:rsid w:val="0002771E"/>
    <w:rsid w:val="000627FE"/>
    <w:rsid w:val="000A0B28"/>
    <w:rsid w:val="00160D3A"/>
    <w:rsid w:val="0017126E"/>
    <w:rsid w:val="001A176C"/>
    <w:rsid w:val="00215AAC"/>
    <w:rsid w:val="00286C79"/>
    <w:rsid w:val="00403494"/>
    <w:rsid w:val="00480500"/>
    <w:rsid w:val="00482866"/>
    <w:rsid w:val="005020AA"/>
    <w:rsid w:val="005A1BD1"/>
    <w:rsid w:val="007A3A44"/>
    <w:rsid w:val="007F01FE"/>
    <w:rsid w:val="008534C3"/>
    <w:rsid w:val="0086470F"/>
    <w:rsid w:val="00884192"/>
    <w:rsid w:val="0099492C"/>
    <w:rsid w:val="00A54394"/>
    <w:rsid w:val="00AD6786"/>
    <w:rsid w:val="00C62469"/>
    <w:rsid w:val="00C93B71"/>
    <w:rsid w:val="00CE44F0"/>
    <w:rsid w:val="00CF2D7A"/>
    <w:rsid w:val="00D33C94"/>
    <w:rsid w:val="00D45B4F"/>
    <w:rsid w:val="00D857AD"/>
    <w:rsid w:val="00EB0E2D"/>
    <w:rsid w:val="00EC4073"/>
    <w:rsid w:val="00F3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DAFAE-5685-47E1-9B03-C1E58333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2C"/>
  </w:style>
  <w:style w:type="paragraph" w:styleId="Footer">
    <w:name w:val="footer"/>
    <w:basedOn w:val="Normal"/>
    <w:link w:val="FooterChar"/>
    <w:uiPriority w:val="99"/>
    <w:unhideWhenUsed/>
    <w:rsid w:val="00994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2C"/>
  </w:style>
  <w:style w:type="paragraph" w:styleId="ListParagraph">
    <w:name w:val="List Paragraph"/>
    <w:basedOn w:val="Normal"/>
    <w:uiPriority w:val="34"/>
    <w:qFormat/>
    <w:rsid w:val="00EB0E2D"/>
    <w:pPr>
      <w:ind w:left="720"/>
      <w:contextualSpacing/>
    </w:pPr>
  </w:style>
  <w:style w:type="paragraph" w:styleId="BalloonText">
    <w:name w:val="Balloon Text"/>
    <w:basedOn w:val="Normal"/>
    <w:link w:val="BalloonTextChar"/>
    <w:uiPriority w:val="99"/>
    <w:semiHidden/>
    <w:unhideWhenUsed/>
    <w:rsid w:val="00D33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C94"/>
    <w:rPr>
      <w:rFonts w:ascii="Segoe UI" w:hAnsi="Segoe UI" w:cs="Segoe UI"/>
      <w:sz w:val="18"/>
      <w:szCs w:val="18"/>
    </w:rPr>
  </w:style>
  <w:style w:type="paragraph" w:styleId="EndnoteText">
    <w:name w:val="endnote text"/>
    <w:basedOn w:val="Normal"/>
    <w:link w:val="EndnoteTextChar"/>
    <w:uiPriority w:val="99"/>
    <w:semiHidden/>
    <w:unhideWhenUsed/>
    <w:rsid w:val="00A543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394"/>
    <w:rPr>
      <w:sz w:val="20"/>
      <w:szCs w:val="20"/>
    </w:rPr>
  </w:style>
  <w:style w:type="character" w:styleId="EndnoteReference">
    <w:name w:val="endnote reference"/>
    <w:basedOn w:val="DefaultParagraphFont"/>
    <w:uiPriority w:val="99"/>
    <w:semiHidden/>
    <w:unhideWhenUsed/>
    <w:rsid w:val="00A54394"/>
    <w:rPr>
      <w:vertAlign w:val="superscript"/>
    </w:rPr>
  </w:style>
  <w:style w:type="paragraph" w:styleId="FootnoteText">
    <w:name w:val="footnote text"/>
    <w:basedOn w:val="Normal"/>
    <w:link w:val="FootnoteTextChar"/>
    <w:uiPriority w:val="99"/>
    <w:semiHidden/>
    <w:unhideWhenUsed/>
    <w:rsid w:val="00A543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394"/>
    <w:rPr>
      <w:sz w:val="20"/>
      <w:szCs w:val="20"/>
    </w:rPr>
  </w:style>
  <w:style w:type="character" w:styleId="FootnoteReference">
    <w:name w:val="footnote reference"/>
    <w:basedOn w:val="DefaultParagraphFont"/>
    <w:uiPriority w:val="99"/>
    <w:semiHidden/>
    <w:unhideWhenUsed/>
    <w:rsid w:val="00A54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E19C-DCD1-4A83-8E5B-D3ED52BE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2021-08-18T12:38:00Z</cp:lastPrinted>
  <dcterms:created xsi:type="dcterms:W3CDTF">2021-08-27T06:35:00Z</dcterms:created>
  <dcterms:modified xsi:type="dcterms:W3CDTF">2021-08-27T06:35:00Z</dcterms:modified>
</cp:coreProperties>
</file>