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45" w:rsidRDefault="00A93245">
      <w:r>
        <w:tab/>
      </w:r>
      <w:r>
        <w:tab/>
      </w:r>
      <w:r>
        <w:tab/>
      </w:r>
      <w:r>
        <w:tab/>
      </w:r>
      <w:r>
        <w:tab/>
      </w:r>
      <w:r>
        <w:tab/>
      </w:r>
      <w:r>
        <w:tab/>
      </w:r>
      <w:r>
        <w:tab/>
      </w:r>
      <w:r>
        <w:tab/>
      </w:r>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 xml:space="preserve">APEX PENSION FUND </w:t>
      </w:r>
    </w:p>
    <w:p w:rsidR="00A93245" w:rsidRPr="0099698C" w:rsidRDefault="0099698C" w:rsidP="0099698C">
      <w:pPr>
        <w:pStyle w:val="NoSpacing"/>
        <w:rPr>
          <w:rFonts w:ascii="Times New Roman" w:hAnsi="Times New Roman" w:cs="Times New Roman"/>
          <w:sz w:val="24"/>
          <w:szCs w:val="24"/>
        </w:rPr>
      </w:pPr>
      <w:proofErr w:type="gramStart"/>
      <w:r>
        <w:rPr>
          <w:rFonts w:ascii="Times New Roman" w:hAnsi="Times New Roman" w:cs="Times New Roman"/>
          <w:sz w:val="24"/>
          <w:szCs w:val="24"/>
        </w:rPr>
        <w:t>v</w:t>
      </w:r>
      <w:r w:rsidR="00A93245" w:rsidRPr="0099698C">
        <w:rPr>
          <w:rFonts w:ascii="Times New Roman" w:hAnsi="Times New Roman" w:cs="Times New Roman"/>
          <w:sz w:val="24"/>
          <w:szCs w:val="24"/>
        </w:rPr>
        <w:t>ersus</w:t>
      </w:r>
      <w:proofErr w:type="gramEnd"/>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APEX HOLDINGS (PRIVATE) LIMITED</w:t>
      </w:r>
    </w:p>
    <w:p w:rsidR="00A93245" w:rsidRPr="0099698C" w:rsidRDefault="0099698C" w:rsidP="0099698C">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A93245" w:rsidRPr="0099698C">
        <w:rPr>
          <w:rFonts w:ascii="Times New Roman" w:hAnsi="Times New Roman" w:cs="Times New Roman"/>
          <w:sz w:val="24"/>
          <w:szCs w:val="24"/>
        </w:rPr>
        <w:t>nd</w:t>
      </w:r>
      <w:proofErr w:type="gramEnd"/>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VENETIAN BLINDS SPECIALISTS LIMITED</w:t>
      </w:r>
    </w:p>
    <w:p w:rsidR="00A93245" w:rsidRPr="0099698C" w:rsidRDefault="0099698C" w:rsidP="0099698C">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00A93245" w:rsidRPr="0099698C">
        <w:rPr>
          <w:rFonts w:ascii="Times New Roman" w:hAnsi="Times New Roman" w:cs="Times New Roman"/>
          <w:sz w:val="24"/>
          <w:szCs w:val="24"/>
        </w:rPr>
        <w:t>nd</w:t>
      </w:r>
      <w:proofErr w:type="gramEnd"/>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THE DEPUTY SHERIFF HARARE</w:t>
      </w:r>
    </w:p>
    <w:p w:rsidR="00A93245" w:rsidRPr="0099698C" w:rsidRDefault="00A93245" w:rsidP="0099698C">
      <w:pPr>
        <w:pStyle w:val="NoSpacing"/>
        <w:rPr>
          <w:rFonts w:ascii="Times New Roman" w:hAnsi="Times New Roman" w:cs="Times New Roman"/>
          <w:sz w:val="24"/>
          <w:szCs w:val="24"/>
        </w:rPr>
      </w:pPr>
      <w:bookmarkStart w:id="0" w:name="_GoBack"/>
      <w:bookmarkEnd w:id="0"/>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HIGH COURT OF ZIMBABWE</w:t>
      </w:r>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ZHOU J</w:t>
      </w:r>
    </w:p>
    <w:p w:rsidR="00A93245" w:rsidRPr="0099698C" w:rsidRDefault="00A93245"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HARARE, 30 April 2013</w:t>
      </w:r>
    </w:p>
    <w:p w:rsidR="00A93245" w:rsidRDefault="00A93245">
      <w:pPr>
        <w:rPr>
          <w:sz w:val="24"/>
          <w:szCs w:val="24"/>
        </w:rPr>
      </w:pPr>
    </w:p>
    <w:p w:rsidR="00A93245" w:rsidRPr="0099698C" w:rsidRDefault="005F6DA8" w:rsidP="0099698C">
      <w:pPr>
        <w:pStyle w:val="NoSpacing"/>
        <w:rPr>
          <w:rFonts w:ascii="Times New Roman" w:hAnsi="Times New Roman" w:cs="Times New Roman"/>
          <w:sz w:val="24"/>
          <w:szCs w:val="24"/>
        </w:rPr>
      </w:pPr>
      <w:r w:rsidRPr="0099698C">
        <w:rPr>
          <w:rFonts w:ascii="Times New Roman" w:hAnsi="Times New Roman" w:cs="Times New Roman"/>
          <w:i/>
          <w:sz w:val="24"/>
          <w:szCs w:val="24"/>
        </w:rPr>
        <w:t xml:space="preserve">Ms N. P. </w:t>
      </w:r>
      <w:proofErr w:type="spellStart"/>
      <w:r w:rsidRPr="0099698C">
        <w:rPr>
          <w:rFonts w:ascii="Times New Roman" w:hAnsi="Times New Roman" w:cs="Times New Roman"/>
          <w:i/>
          <w:sz w:val="24"/>
          <w:szCs w:val="24"/>
        </w:rPr>
        <w:t>Timba</w:t>
      </w:r>
      <w:proofErr w:type="spellEnd"/>
      <w:r w:rsidR="0099698C">
        <w:rPr>
          <w:rFonts w:ascii="Times New Roman" w:hAnsi="Times New Roman" w:cs="Times New Roman"/>
          <w:i/>
          <w:sz w:val="24"/>
          <w:szCs w:val="24"/>
        </w:rPr>
        <w:t xml:space="preserve">, </w:t>
      </w:r>
      <w:r w:rsidRPr="0099698C">
        <w:rPr>
          <w:rFonts w:ascii="Times New Roman" w:hAnsi="Times New Roman" w:cs="Times New Roman"/>
          <w:sz w:val="24"/>
          <w:szCs w:val="24"/>
        </w:rPr>
        <w:t>for the applicant</w:t>
      </w:r>
    </w:p>
    <w:p w:rsidR="005F6DA8" w:rsidRPr="0099698C" w:rsidRDefault="005F6DA8" w:rsidP="0099698C">
      <w:pPr>
        <w:pStyle w:val="NoSpacing"/>
        <w:rPr>
          <w:rFonts w:ascii="Times New Roman" w:hAnsi="Times New Roman" w:cs="Times New Roman"/>
          <w:sz w:val="24"/>
          <w:szCs w:val="24"/>
        </w:rPr>
      </w:pPr>
      <w:r w:rsidRPr="0099698C">
        <w:rPr>
          <w:rFonts w:ascii="Times New Roman" w:hAnsi="Times New Roman" w:cs="Times New Roman"/>
          <w:i/>
          <w:sz w:val="24"/>
          <w:szCs w:val="24"/>
        </w:rPr>
        <w:t xml:space="preserve">J. R. </w:t>
      </w:r>
      <w:proofErr w:type="spellStart"/>
      <w:r w:rsidRPr="0099698C">
        <w:rPr>
          <w:rFonts w:ascii="Times New Roman" w:hAnsi="Times New Roman" w:cs="Times New Roman"/>
          <w:i/>
          <w:sz w:val="24"/>
          <w:szCs w:val="24"/>
        </w:rPr>
        <w:t>Tsivama</w:t>
      </w:r>
      <w:proofErr w:type="spellEnd"/>
      <w:r w:rsidR="0099698C">
        <w:rPr>
          <w:rFonts w:ascii="Times New Roman" w:hAnsi="Times New Roman" w:cs="Times New Roman"/>
          <w:i/>
          <w:sz w:val="24"/>
          <w:szCs w:val="24"/>
        </w:rPr>
        <w:t xml:space="preserve">, </w:t>
      </w:r>
      <w:r w:rsidRPr="0099698C">
        <w:rPr>
          <w:rFonts w:ascii="Times New Roman" w:hAnsi="Times New Roman" w:cs="Times New Roman"/>
          <w:sz w:val="24"/>
          <w:szCs w:val="24"/>
        </w:rPr>
        <w:t>for the second respondent</w:t>
      </w:r>
    </w:p>
    <w:p w:rsidR="008C2882" w:rsidRDefault="008C2882" w:rsidP="0099698C">
      <w:pPr>
        <w:pStyle w:val="NoSpacing"/>
        <w:rPr>
          <w:rFonts w:ascii="Times New Roman" w:hAnsi="Times New Roman" w:cs="Times New Roman"/>
          <w:sz w:val="24"/>
          <w:szCs w:val="24"/>
        </w:rPr>
      </w:pPr>
      <w:r w:rsidRPr="0099698C">
        <w:rPr>
          <w:rFonts w:ascii="Times New Roman" w:hAnsi="Times New Roman" w:cs="Times New Roman"/>
          <w:sz w:val="24"/>
          <w:szCs w:val="24"/>
        </w:rPr>
        <w:t>No appearance for the first and third respondents</w:t>
      </w:r>
    </w:p>
    <w:p w:rsidR="00AB5456" w:rsidRPr="0099698C" w:rsidRDefault="00AB5456" w:rsidP="0099698C">
      <w:pPr>
        <w:pStyle w:val="NoSpacing"/>
        <w:rPr>
          <w:rFonts w:ascii="Times New Roman" w:hAnsi="Times New Roman" w:cs="Times New Roman"/>
          <w:sz w:val="24"/>
          <w:szCs w:val="24"/>
        </w:rPr>
      </w:pPr>
    </w:p>
    <w:p w:rsidR="005F6DA8" w:rsidRPr="0099698C" w:rsidRDefault="005F6DA8" w:rsidP="0099698C">
      <w:pPr>
        <w:pStyle w:val="NoSpacing"/>
        <w:rPr>
          <w:rFonts w:ascii="Times New Roman" w:hAnsi="Times New Roman" w:cs="Times New Roman"/>
          <w:sz w:val="24"/>
          <w:szCs w:val="24"/>
        </w:rPr>
      </w:pPr>
    </w:p>
    <w:p w:rsidR="005F6DA8" w:rsidRPr="00CB425E" w:rsidRDefault="005F6DA8">
      <w:pPr>
        <w:rPr>
          <w:rFonts w:ascii="Times New Roman" w:hAnsi="Times New Roman" w:cs="Times New Roman"/>
          <w:b/>
          <w:sz w:val="24"/>
          <w:szCs w:val="24"/>
        </w:rPr>
      </w:pPr>
      <w:r w:rsidRPr="00CB425E">
        <w:rPr>
          <w:rFonts w:ascii="Times New Roman" w:hAnsi="Times New Roman" w:cs="Times New Roman"/>
          <w:b/>
          <w:sz w:val="24"/>
          <w:szCs w:val="24"/>
        </w:rPr>
        <w:t>Urgent Chamber Application</w:t>
      </w:r>
    </w:p>
    <w:p w:rsidR="005F6DA8" w:rsidRDefault="005F6DA8">
      <w:pPr>
        <w:rPr>
          <w:b/>
          <w:sz w:val="24"/>
          <w:szCs w:val="24"/>
        </w:rPr>
      </w:pPr>
    </w:p>
    <w:p w:rsidR="005F6DA8" w:rsidRPr="00AB5456" w:rsidRDefault="005F6DA8" w:rsidP="004A79E0">
      <w:pPr>
        <w:spacing w:after="0" w:line="360" w:lineRule="auto"/>
        <w:ind w:firstLine="720"/>
        <w:jc w:val="both"/>
        <w:rPr>
          <w:rFonts w:ascii="Times New Roman" w:hAnsi="Times New Roman" w:cs="Times New Roman"/>
          <w:sz w:val="24"/>
          <w:szCs w:val="24"/>
        </w:rPr>
      </w:pPr>
      <w:r w:rsidRPr="00AB5456">
        <w:rPr>
          <w:rFonts w:ascii="Times New Roman" w:hAnsi="Times New Roman" w:cs="Times New Roman"/>
          <w:sz w:val="24"/>
          <w:szCs w:val="24"/>
        </w:rPr>
        <w:t xml:space="preserve">ZHOU J:  After hearing submissions from counsel representing the applicant and second respondent I dismissed the urgent chamber application </w:t>
      </w:r>
      <w:r w:rsidRPr="00AB5456">
        <w:rPr>
          <w:rFonts w:ascii="Times New Roman" w:hAnsi="Times New Roman" w:cs="Times New Roman"/>
          <w:i/>
          <w:sz w:val="24"/>
          <w:szCs w:val="24"/>
        </w:rPr>
        <w:t xml:space="preserve">in </w:t>
      </w:r>
      <w:proofErr w:type="spellStart"/>
      <w:r w:rsidRPr="00AB5456">
        <w:rPr>
          <w:rFonts w:ascii="Times New Roman" w:hAnsi="Times New Roman" w:cs="Times New Roman"/>
          <w:i/>
          <w:sz w:val="24"/>
          <w:szCs w:val="24"/>
        </w:rPr>
        <w:t>casu</w:t>
      </w:r>
      <w:proofErr w:type="spellEnd"/>
      <w:r w:rsidR="00AB307A" w:rsidRPr="00AB5456">
        <w:rPr>
          <w:rFonts w:ascii="Times New Roman" w:hAnsi="Times New Roman" w:cs="Times New Roman"/>
          <w:sz w:val="24"/>
          <w:szCs w:val="24"/>
        </w:rPr>
        <w:t xml:space="preserve"> with costs.</w:t>
      </w:r>
      <w:r w:rsidR="00887BB6">
        <w:rPr>
          <w:rFonts w:ascii="Times New Roman" w:hAnsi="Times New Roman" w:cs="Times New Roman"/>
          <w:sz w:val="24"/>
          <w:szCs w:val="24"/>
        </w:rPr>
        <w:t xml:space="preserve">  I gave brief reasons. </w:t>
      </w:r>
      <w:r w:rsidRPr="00AB5456">
        <w:rPr>
          <w:rFonts w:ascii="Times New Roman" w:hAnsi="Times New Roman" w:cs="Times New Roman"/>
          <w:sz w:val="24"/>
          <w:szCs w:val="24"/>
        </w:rPr>
        <w:t>I did indicate that my written reasons could be furnished upon request.</w:t>
      </w:r>
      <w:r w:rsidR="00887BB6">
        <w:rPr>
          <w:rFonts w:ascii="Times New Roman" w:hAnsi="Times New Roman" w:cs="Times New Roman"/>
          <w:sz w:val="24"/>
          <w:szCs w:val="24"/>
        </w:rPr>
        <w:t xml:space="preserve"> </w:t>
      </w:r>
      <w:r w:rsidR="00AB307A" w:rsidRPr="00AB5456">
        <w:rPr>
          <w:rFonts w:ascii="Times New Roman" w:hAnsi="Times New Roman" w:cs="Times New Roman"/>
          <w:sz w:val="24"/>
          <w:szCs w:val="24"/>
        </w:rPr>
        <w:t>The applicant thro</w:t>
      </w:r>
      <w:r w:rsidR="000C6D9A" w:rsidRPr="00AB5456">
        <w:rPr>
          <w:rFonts w:ascii="Times New Roman" w:hAnsi="Times New Roman" w:cs="Times New Roman"/>
          <w:sz w:val="24"/>
          <w:szCs w:val="24"/>
        </w:rPr>
        <w:t>ugh its legal practitioners has</w:t>
      </w:r>
      <w:r w:rsidR="00AB307A" w:rsidRPr="00AB5456">
        <w:rPr>
          <w:rFonts w:ascii="Times New Roman" w:hAnsi="Times New Roman" w:cs="Times New Roman"/>
          <w:sz w:val="24"/>
          <w:szCs w:val="24"/>
        </w:rPr>
        <w:t xml:space="preserve"> requested to be furni</w:t>
      </w:r>
      <w:r w:rsidR="00887BB6">
        <w:rPr>
          <w:rFonts w:ascii="Times New Roman" w:hAnsi="Times New Roman" w:cs="Times New Roman"/>
          <w:sz w:val="24"/>
          <w:szCs w:val="24"/>
        </w:rPr>
        <w:t xml:space="preserve">shed with the written reasons. </w:t>
      </w:r>
      <w:r w:rsidR="00AB307A" w:rsidRPr="00AB5456">
        <w:rPr>
          <w:rFonts w:ascii="Times New Roman" w:hAnsi="Times New Roman" w:cs="Times New Roman"/>
          <w:sz w:val="24"/>
          <w:szCs w:val="24"/>
        </w:rPr>
        <w:t>These are the reasons.</w:t>
      </w:r>
    </w:p>
    <w:p w:rsidR="00AB307A" w:rsidRPr="00B40459" w:rsidRDefault="00AB307A" w:rsidP="001F0352">
      <w:pPr>
        <w:spacing w:after="0" w:line="360" w:lineRule="auto"/>
        <w:ind w:firstLine="720"/>
        <w:jc w:val="both"/>
        <w:rPr>
          <w:rFonts w:ascii="Times New Roman" w:hAnsi="Times New Roman" w:cs="Times New Roman"/>
          <w:sz w:val="24"/>
          <w:szCs w:val="24"/>
        </w:rPr>
      </w:pPr>
      <w:r w:rsidRPr="00B40459">
        <w:rPr>
          <w:rFonts w:ascii="Times New Roman" w:hAnsi="Times New Roman" w:cs="Times New Roman"/>
          <w:sz w:val="24"/>
          <w:szCs w:val="24"/>
        </w:rPr>
        <w:t xml:space="preserve">On 8 November 2012 the second respondent was granted a judgment against </w:t>
      </w:r>
      <w:r w:rsidR="00882948" w:rsidRPr="00B40459">
        <w:rPr>
          <w:rFonts w:ascii="Times New Roman" w:hAnsi="Times New Roman" w:cs="Times New Roman"/>
          <w:sz w:val="24"/>
          <w:szCs w:val="24"/>
        </w:rPr>
        <w:t xml:space="preserve">first </w:t>
      </w:r>
      <w:r w:rsidRPr="00B40459">
        <w:rPr>
          <w:rFonts w:ascii="Times New Roman" w:hAnsi="Times New Roman" w:cs="Times New Roman"/>
          <w:sz w:val="24"/>
          <w:szCs w:val="24"/>
        </w:rPr>
        <w:t>resp</w:t>
      </w:r>
      <w:r w:rsidR="00887BB6" w:rsidRPr="00B40459">
        <w:rPr>
          <w:rFonts w:ascii="Times New Roman" w:hAnsi="Times New Roman" w:cs="Times New Roman"/>
          <w:sz w:val="24"/>
          <w:szCs w:val="24"/>
        </w:rPr>
        <w:t xml:space="preserve">ondent in Case No. </w:t>
      </w:r>
      <w:proofErr w:type="gramStart"/>
      <w:r w:rsidR="00887BB6" w:rsidRPr="00B40459">
        <w:rPr>
          <w:rFonts w:ascii="Times New Roman" w:hAnsi="Times New Roman" w:cs="Times New Roman"/>
          <w:sz w:val="24"/>
          <w:szCs w:val="24"/>
        </w:rPr>
        <w:t>HC 1658/08.</w:t>
      </w:r>
      <w:proofErr w:type="gramEnd"/>
      <w:r w:rsidR="00887BB6" w:rsidRPr="00B40459">
        <w:rPr>
          <w:rFonts w:ascii="Times New Roman" w:hAnsi="Times New Roman" w:cs="Times New Roman"/>
          <w:sz w:val="24"/>
          <w:szCs w:val="24"/>
        </w:rPr>
        <w:t xml:space="preserve"> </w:t>
      </w:r>
      <w:r w:rsidRPr="00B40459">
        <w:rPr>
          <w:rFonts w:ascii="Times New Roman" w:hAnsi="Times New Roman" w:cs="Times New Roman"/>
          <w:sz w:val="24"/>
          <w:szCs w:val="24"/>
        </w:rPr>
        <w:t>The judgment was for payment of a sum of US$840 958.11 together with interest at the rate of 5</w:t>
      </w:r>
      <w:r w:rsidR="00887BB6" w:rsidRPr="00B40459">
        <w:rPr>
          <w:rFonts w:ascii="Times New Roman" w:hAnsi="Times New Roman" w:cs="Times New Roman"/>
          <w:sz w:val="24"/>
          <w:szCs w:val="24"/>
        </w:rPr>
        <w:t xml:space="preserve">% per annum and costs of suit. </w:t>
      </w:r>
      <w:r w:rsidRPr="00B40459">
        <w:rPr>
          <w:rFonts w:ascii="Times New Roman" w:hAnsi="Times New Roman" w:cs="Times New Roman"/>
          <w:sz w:val="24"/>
          <w:szCs w:val="24"/>
        </w:rPr>
        <w:t xml:space="preserve">The second respondent caused to be issued a writ of execution </w:t>
      </w:r>
      <w:r w:rsidR="00887BB6" w:rsidRPr="00B40459">
        <w:rPr>
          <w:rFonts w:ascii="Times New Roman" w:hAnsi="Times New Roman" w:cs="Times New Roman"/>
          <w:sz w:val="24"/>
          <w:szCs w:val="24"/>
        </w:rPr>
        <w:t xml:space="preserve">on 19 December 2012. </w:t>
      </w:r>
      <w:r w:rsidR="00882948" w:rsidRPr="00B40459">
        <w:rPr>
          <w:rFonts w:ascii="Times New Roman" w:hAnsi="Times New Roman" w:cs="Times New Roman"/>
          <w:sz w:val="24"/>
          <w:szCs w:val="24"/>
        </w:rPr>
        <w:t>The third</w:t>
      </w:r>
      <w:r w:rsidRPr="00B40459">
        <w:rPr>
          <w:rFonts w:ascii="Times New Roman" w:hAnsi="Times New Roman" w:cs="Times New Roman"/>
          <w:sz w:val="24"/>
          <w:szCs w:val="24"/>
        </w:rPr>
        <w:t xml:space="preserve"> respondent duly attached immovable property </w:t>
      </w:r>
      <w:r w:rsidR="006D4D80" w:rsidRPr="00B40459">
        <w:rPr>
          <w:rFonts w:ascii="Times New Roman" w:hAnsi="Times New Roman" w:cs="Times New Roman"/>
          <w:sz w:val="24"/>
          <w:szCs w:val="24"/>
        </w:rPr>
        <w:t>owned by the first respondent.  The property attached in execution included three immovable properties which are th</w:t>
      </w:r>
      <w:r w:rsidR="00887BB6" w:rsidRPr="00B40459">
        <w:rPr>
          <w:rFonts w:ascii="Times New Roman" w:hAnsi="Times New Roman" w:cs="Times New Roman"/>
          <w:sz w:val="24"/>
          <w:szCs w:val="24"/>
        </w:rPr>
        <w:t xml:space="preserve">e subject of this application. </w:t>
      </w:r>
      <w:r w:rsidR="006D4D80" w:rsidRPr="00B40459">
        <w:rPr>
          <w:rFonts w:ascii="Times New Roman" w:hAnsi="Times New Roman" w:cs="Times New Roman"/>
          <w:sz w:val="24"/>
          <w:szCs w:val="24"/>
        </w:rPr>
        <w:t xml:space="preserve">These are Stand 1724A Salisbury Township also known as 100 Simon </w:t>
      </w:r>
      <w:proofErr w:type="spellStart"/>
      <w:r w:rsidR="006D4D80" w:rsidRPr="00B40459">
        <w:rPr>
          <w:rFonts w:ascii="Times New Roman" w:hAnsi="Times New Roman" w:cs="Times New Roman"/>
          <w:sz w:val="24"/>
          <w:szCs w:val="24"/>
        </w:rPr>
        <w:t>Mazorodze</w:t>
      </w:r>
      <w:proofErr w:type="spellEnd"/>
      <w:r w:rsidR="006D4D80" w:rsidRPr="00B40459">
        <w:rPr>
          <w:rFonts w:ascii="Times New Roman" w:hAnsi="Times New Roman" w:cs="Times New Roman"/>
          <w:sz w:val="24"/>
          <w:szCs w:val="24"/>
        </w:rPr>
        <w:t xml:space="preserve"> Road, Harare, Stand 242 Norton Township also known as 15 Galloway Road, Norton, and Stand 3332 Salisbury Township also known as 25 Birmingham Road, Harare.  </w:t>
      </w:r>
    </w:p>
    <w:p w:rsidR="005A17AE" w:rsidRDefault="006D4D80" w:rsidP="00D766BC">
      <w:pPr>
        <w:spacing w:after="0" w:line="360" w:lineRule="auto"/>
        <w:ind w:firstLine="720"/>
        <w:jc w:val="both"/>
        <w:rPr>
          <w:rFonts w:ascii="Times New Roman" w:hAnsi="Times New Roman" w:cs="Times New Roman"/>
          <w:sz w:val="24"/>
          <w:szCs w:val="24"/>
        </w:rPr>
      </w:pPr>
      <w:r w:rsidRPr="0027227A">
        <w:rPr>
          <w:rFonts w:ascii="Times New Roman" w:hAnsi="Times New Roman" w:cs="Times New Roman"/>
          <w:sz w:val="24"/>
          <w:szCs w:val="24"/>
        </w:rPr>
        <w:t>In response to the attachment t</w:t>
      </w:r>
      <w:r w:rsidR="00882948" w:rsidRPr="0027227A">
        <w:rPr>
          <w:rFonts w:ascii="Times New Roman" w:hAnsi="Times New Roman" w:cs="Times New Roman"/>
          <w:sz w:val="24"/>
          <w:szCs w:val="24"/>
        </w:rPr>
        <w:t>he applicant wrote to the third</w:t>
      </w:r>
      <w:r w:rsidRPr="0027227A">
        <w:rPr>
          <w:rFonts w:ascii="Times New Roman" w:hAnsi="Times New Roman" w:cs="Times New Roman"/>
          <w:sz w:val="24"/>
          <w:szCs w:val="24"/>
        </w:rPr>
        <w:t xml:space="preserve"> respondent on 17 January 2013 asking him to institute interpleader proceedings in respect of the three properties.  The basis of the claim was that the properties were owned by the applicant </w:t>
      </w:r>
      <w:r w:rsidR="00882948" w:rsidRPr="0027227A">
        <w:rPr>
          <w:rFonts w:ascii="Times New Roman" w:hAnsi="Times New Roman" w:cs="Times New Roman"/>
          <w:sz w:val="24"/>
          <w:szCs w:val="24"/>
        </w:rPr>
        <w:t>a</w:t>
      </w:r>
      <w:r w:rsidR="00C911E1">
        <w:rPr>
          <w:rFonts w:ascii="Times New Roman" w:hAnsi="Times New Roman" w:cs="Times New Roman"/>
          <w:sz w:val="24"/>
          <w:szCs w:val="24"/>
        </w:rPr>
        <w:t xml:space="preserve">nd </w:t>
      </w:r>
      <w:r w:rsidR="00C911E1">
        <w:rPr>
          <w:rFonts w:ascii="Times New Roman" w:hAnsi="Times New Roman" w:cs="Times New Roman"/>
          <w:sz w:val="24"/>
          <w:szCs w:val="24"/>
        </w:rPr>
        <w:lastRenderedPageBreak/>
        <w:t xml:space="preserve">not by the judgment debtor. </w:t>
      </w:r>
      <w:r w:rsidR="00882948" w:rsidRPr="0027227A">
        <w:rPr>
          <w:rFonts w:ascii="Times New Roman" w:hAnsi="Times New Roman" w:cs="Times New Roman"/>
          <w:sz w:val="24"/>
          <w:szCs w:val="24"/>
        </w:rPr>
        <w:t xml:space="preserve">On 22 April 2013 an advertisement appeared in a local newspaper advertising the above properties for </w:t>
      </w:r>
      <w:r w:rsidR="00C911E1">
        <w:rPr>
          <w:rFonts w:ascii="Times New Roman" w:hAnsi="Times New Roman" w:cs="Times New Roman"/>
          <w:sz w:val="24"/>
          <w:szCs w:val="24"/>
        </w:rPr>
        <w:t xml:space="preserve">sale. </w:t>
      </w:r>
      <w:r w:rsidR="00882948" w:rsidRPr="0027227A">
        <w:rPr>
          <w:rFonts w:ascii="Times New Roman" w:hAnsi="Times New Roman" w:cs="Times New Roman"/>
          <w:sz w:val="24"/>
          <w:szCs w:val="24"/>
        </w:rPr>
        <w:t>The sale wa</w:t>
      </w:r>
      <w:r w:rsidR="00550F72">
        <w:rPr>
          <w:rFonts w:ascii="Times New Roman" w:hAnsi="Times New Roman" w:cs="Times New Roman"/>
          <w:sz w:val="24"/>
          <w:szCs w:val="24"/>
        </w:rPr>
        <w:t xml:space="preserve">s to take place on 3 May 2013. </w:t>
      </w:r>
      <w:r w:rsidR="00882948" w:rsidRPr="0027227A">
        <w:rPr>
          <w:rFonts w:ascii="Times New Roman" w:hAnsi="Times New Roman" w:cs="Times New Roman"/>
          <w:sz w:val="24"/>
          <w:szCs w:val="24"/>
        </w:rPr>
        <w:t>The applicant approached the third respondent’s legal practitioners when they saw the advertisement.  Interpleader proceedings were then instituted on 24 April 2013.  On 25 April 2013 the applicant instituted the instant urgent chamber application for an order interdicting the third respondent from proceeding with the sale of the properties referred to above o</w:t>
      </w:r>
      <w:r w:rsidR="00550F72">
        <w:rPr>
          <w:rFonts w:ascii="Times New Roman" w:hAnsi="Times New Roman" w:cs="Times New Roman"/>
          <w:sz w:val="24"/>
          <w:szCs w:val="24"/>
        </w:rPr>
        <w:t xml:space="preserve">n 3 May 2013. </w:t>
      </w:r>
      <w:r w:rsidR="00882948" w:rsidRPr="0027227A">
        <w:rPr>
          <w:rFonts w:ascii="Times New Roman" w:hAnsi="Times New Roman" w:cs="Times New Roman"/>
          <w:sz w:val="24"/>
          <w:szCs w:val="24"/>
        </w:rPr>
        <w:t>The application is opposed by the second respondent.</w:t>
      </w:r>
    </w:p>
    <w:p w:rsidR="005A17AE" w:rsidRPr="008439A7" w:rsidRDefault="005A17AE" w:rsidP="008439A7">
      <w:pPr>
        <w:spacing w:after="0" w:line="360" w:lineRule="auto"/>
        <w:ind w:firstLine="720"/>
        <w:jc w:val="both"/>
        <w:rPr>
          <w:rFonts w:ascii="Times New Roman" w:hAnsi="Times New Roman" w:cs="Times New Roman"/>
          <w:sz w:val="24"/>
          <w:szCs w:val="24"/>
        </w:rPr>
      </w:pPr>
      <w:r w:rsidRPr="008439A7">
        <w:rPr>
          <w:rFonts w:ascii="Times New Roman" w:hAnsi="Times New Roman" w:cs="Times New Roman"/>
          <w:sz w:val="24"/>
          <w:szCs w:val="24"/>
        </w:rPr>
        <w:t>The notice of opposition essentially rai</w:t>
      </w:r>
      <w:r w:rsidR="00550F72">
        <w:rPr>
          <w:rFonts w:ascii="Times New Roman" w:hAnsi="Times New Roman" w:cs="Times New Roman"/>
          <w:sz w:val="24"/>
          <w:szCs w:val="24"/>
        </w:rPr>
        <w:t xml:space="preserve">sed two grounds of opposition. </w:t>
      </w:r>
      <w:r w:rsidRPr="008439A7">
        <w:rPr>
          <w:rFonts w:ascii="Times New Roman" w:hAnsi="Times New Roman" w:cs="Times New Roman"/>
          <w:sz w:val="24"/>
          <w:szCs w:val="24"/>
        </w:rPr>
        <w:t xml:space="preserve">The first ground was an objection </w:t>
      </w:r>
      <w:r w:rsidRPr="008439A7">
        <w:rPr>
          <w:rFonts w:ascii="Times New Roman" w:hAnsi="Times New Roman" w:cs="Times New Roman"/>
          <w:i/>
          <w:sz w:val="24"/>
          <w:szCs w:val="24"/>
        </w:rPr>
        <w:t xml:space="preserve">in </w:t>
      </w:r>
      <w:proofErr w:type="spellStart"/>
      <w:r w:rsidRPr="008439A7">
        <w:rPr>
          <w:rFonts w:ascii="Times New Roman" w:hAnsi="Times New Roman" w:cs="Times New Roman"/>
          <w:i/>
          <w:sz w:val="24"/>
          <w:szCs w:val="24"/>
        </w:rPr>
        <w:t>limine</w:t>
      </w:r>
      <w:proofErr w:type="spellEnd"/>
      <w:r w:rsidR="008439A7" w:rsidRPr="008439A7">
        <w:rPr>
          <w:rFonts w:ascii="Times New Roman" w:hAnsi="Times New Roman" w:cs="Times New Roman"/>
          <w:i/>
          <w:sz w:val="24"/>
          <w:szCs w:val="24"/>
        </w:rPr>
        <w:t xml:space="preserve"> </w:t>
      </w:r>
      <w:r w:rsidRPr="008439A7">
        <w:rPr>
          <w:rFonts w:ascii="Times New Roman" w:hAnsi="Times New Roman" w:cs="Times New Roman"/>
          <w:sz w:val="24"/>
          <w:szCs w:val="24"/>
        </w:rPr>
        <w:t>t</w:t>
      </w:r>
      <w:r w:rsidR="00550F72">
        <w:rPr>
          <w:rFonts w:ascii="Times New Roman" w:hAnsi="Times New Roman" w:cs="Times New Roman"/>
          <w:sz w:val="24"/>
          <w:szCs w:val="24"/>
        </w:rPr>
        <w:t xml:space="preserve">hat the matter was not urgent. </w:t>
      </w:r>
      <w:r w:rsidRPr="008439A7">
        <w:rPr>
          <w:rFonts w:ascii="Times New Roman" w:hAnsi="Times New Roman" w:cs="Times New Roman"/>
          <w:sz w:val="24"/>
          <w:szCs w:val="24"/>
        </w:rPr>
        <w:t xml:space="preserve">The second ground of opposition is that the property </w:t>
      </w:r>
      <w:r w:rsidR="00550F72">
        <w:rPr>
          <w:rFonts w:ascii="Times New Roman" w:hAnsi="Times New Roman" w:cs="Times New Roman"/>
          <w:sz w:val="24"/>
          <w:szCs w:val="24"/>
        </w:rPr>
        <w:t xml:space="preserve">is not owned by the applicant. </w:t>
      </w:r>
      <w:r w:rsidRPr="008439A7">
        <w:rPr>
          <w:rFonts w:ascii="Times New Roman" w:hAnsi="Times New Roman" w:cs="Times New Roman"/>
          <w:sz w:val="24"/>
          <w:szCs w:val="24"/>
        </w:rPr>
        <w:t>I determined that the matter could be heard on an urgent basis given that the applicant had acted timeously by asking the third respondent’s office to institute interpleader proceedings through its letter of 17 January 2013.  The delay in instituting those proceedings is attributed to the reorganisation of the third respondent’s office which entailed the termination of the con</w:t>
      </w:r>
      <w:r w:rsidR="00550F72">
        <w:rPr>
          <w:rFonts w:ascii="Times New Roman" w:hAnsi="Times New Roman" w:cs="Times New Roman"/>
          <w:sz w:val="24"/>
          <w:szCs w:val="24"/>
        </w:rPr>
        <w:t xml:space="preserve">tracts of the Deputy Sheriffs. </w:t>
      </w:r>
      <w:r w:rsidRPr="008439A7">
        <w:rPr>
          <w:rFonts w:ascii="Times New Roman" w:hAnsi="Times New Roman" w:cs="Times New Roman"/>
          <w:sz w:val="24"/>
          <w:szCs w:val="24"/>
        </w:rPr>
        <w:t>When the applicant became aware of the impending sale it acted promptly by instit</w:t>
      </w:r>
      <w:r w:rsidR="00550F72">
        <w:rPr>
          <w:rFonts w:ascii="Times New Roman" w:hAnsi="Times New Roman" w:cs="Times New Roman"/>
          <w:sz w:val="24"/>
          <w:szCs w:val="24"/>
        </w:rPr>
        <w:t xml:space="preserve">uting the instant application. </w:t>
      </w:r>
      <w:r w:rsidRPr="008439A7">
        <w:rPr>
          <w:rFonts w:ascii="Times New Roman" w:hAnsi="Times New Roman" w:cs="Times New Roman"/>
          <w:sz w:val="24"/>
          <w:szCs w:val="24"/>
        </w:rPr>
        <w:t>Given those circumstances, I was prepared to entertain the application on an urgent basis.</w:t>
      </w:r>
    </w:p>
    <w:p w:rsidR="00E65EC3" w:rsidRPr="00FA7558" w:rsidRDefault="005A17AE" w:rsidP="00026C7B">
      <w:pPr>
        <w:spacing w:after="0" w:line="360" w:lineRule="auto"/>
        <w:ind w:firstLine="720"/>
        <w:jc w:val="both"/>
        <w:rPr>
          <w:rFonts w:ascii="Times New Roman" w:hAnsi="Times New Roman" w:cs="Times New Roman"/>
          <w:sz w:val="24"/>
          <w:szCs w:val="24"/>
        </w:rPr>
      </w:pPr>
      <w:r w:rsidRPr="00FA7558">
        <w:rPr>
          <w:rFonts w:ascii="Times New Roman" w:hAnsi="Times New Roman" w:cs="Times New Roman"/>
          <w:sz w:val="24"/>
          <w:szCs w:val="24"/>
        </w:rPr>
        <w:t>On the merits, the application is founded upon the sole ground that the applicant is the owner of the properties in question.  In paragraph 8.5 of the affidavit filed in this application it is averred that th</w:t>
      </w:r>
      <w:r w:rsidR="00026C7B" w:rsidRPr="00FA7558">
        <w:rPr>
          <w:rFonts w:ascii="Times New Roman" w:hAnsi="Times New Roman" w:cs="Times New Roman"/>
          <w:sz w:val="24"/>
          <w:szCs w:val="24"/>
        </w:rPr>
        <w:t>e “properties are owned by the a</w:t>
      </w:r>
      <w:r w:rsidRPr="00FA7558">
        <w:rPr>
          <w:rFonts w:ascii="Times New Roman" w:hAnsi="Times New Roman" w:cs="Times New Roman"/>
          <w:sz w:val="24"/>
          <w:szCs w:val="24"/>
        </w:rPr>
        <w:t>pplicant but were mistakenly believed to be the property of the 1</w:t>
      </w:r>
      <w:r w:rsidRPr="00FA7558">
        <w:rPr>
          <w:rFonts w:ascii="Times New Roman" w:hAnsi="Times New Roman" w:cs="Times New Roman"/>
          <w:sz w:val="24"/>
          <w:szCs w:val="24"/>
          <w:vertAlign w:val="superscript"/>
        </w:rPr>
        <w:t>st</w:t>
      </w:r>
      <w:r w:rsidRPr="00FA7558">
        <w:rPr>
          <w:rFonts w:ascii="Times New Roman" w:hAnsi="Times New Roman" w:cs="Times New Roman"/>
          <w:sz w:val="24"/>
          <w:szCs w:val="24"/>
        </w:rPr>
        <w:t xml:space="preserve"> Respondent</w:t>
      </w:r>
      <w:r w:rsidR="00E65EC3" w:rsidRPr="00FA7558">
        <w:rPr>
          <w:rFonts w:ascii="Times New Roman" w:hAnsi="Times New Roman" w:cs="Times New Roman"/>
          <w:sz w:val="24"/>
          <w:szCs w:val="24"/>
        </w:rPr>
        <w:t xml:space="preserve"> (judgment debtor)</w:t>
      </w:r>
      <w:r w:rsidR="00550F72">
        <w:rPr>
          <w:rFonts w:ascii="Times New Roman" w:hAnsi="Times New Roman" w:cs="Times New Roman"/>
          <w:sz w:val="24"/>
          <w:szCs w:val="24"/>
        </w:rPr>
        <w:t>”</w:t>
      </w:r>
      <w:r w:rsidR="00E65EC3" w:rsidRPr="00FA7558">
        <w:rPr>
          <w:rFonts w:ascii="Times New Roman" w:hAnsi="Times New Roman" w:cs="Times New Roman"/>
          <w:sz w:val="24"/>
          <w:szCs w:val="24"/>
        </w:rPr>
        <w:t xml:space="preserve">.  The applicant contends that the properties were sold to it by the first </w:t>
      </w:r>
      <w:r w:rsidR="00C97B1D">
        <w:rPr>
          <w:rFonts w:ascii="Times New Roman" w:hAnsi="Times New Roman" w:cs="Times New Roman"/>
          <w:sz w:val="24"/>
          <w:szCs w:val="24"/>
        </w:rPr>
        <w:t xml:space="preserve">respondent on 26 January 2001. </w:t>
      </w:r>
      <w:r w:rsidR="00E65EC3" w:rsidRPr="00FA7558">
        <w:rPr>
          <w:rFonts w:ascii="Times New Roman" w:hAnsi="Times New Roman" w:cs="Times New Roman"/>
          <w:sz w:val="24"/>
          <w:szCs w:val="24"/>
        </w:rPr>
        <w:t>A copy of an agreement of sale is attached to support that fact.</w:t>
      </w:r>
    </w:p>
    <w:p w:rsidR="00CB4888" w:rsidRPr="00026C7B" w:rsidRDefault="00E65EC3" w:rsidP="00026C7B">
      <w:pPr>
        <w:spacing w:line="360" w:lineRule="auto"/>
        <w:ind w:firstLine="720"/>
        <w:jc w:val="both"/>
        <w:rPr>
          <w:rFonts w:ascii="Times New Roman" w:hAnsi="Times New Roman" w:cs="Times New Roman"/>
          <w:sz w:val="24"/>
          <w:szCs w:val="24"/>
        </w:rPr>
      </w:pPr>
      <w:r w:rsidRPr="00026C7B">
        <w:rPr>
          <w:rFonts w:ascii="Times New Roman" w:hAnsi="Times New Roman" w:cs="Times New Roman"/>
          <w:i/>
          <w:sz w:val="24"/>
          <w:szCs w:val="24"/>
        </w:rPr>
        <w:t xml:space="preserve">Ms </w:t>
      </w:r>
      <w:proofErr w:type="spellStart"/>
      <w:r w:rsidRPr="00026C7B">
        <w:rPr>
          <w:rFonts w:ascii="Times New Roman" w:hAnsi="Times New Roman" w:cs="Times New Roman"/>
          <w:i/>
          <w:sz w:val="24"/>
          <w:szCs w:val="24"/>
        </w:rPr>
        <w:t>Timba</w:t>
      </w:r>
      <w:proofErr w:type="spellEnd"/>
      <w:r w:rsidR="00026C7B" w:rsidRPr="00026C7B">
        <w:rPr>
          <w:rFonts w:ascii="Times New Roman" w:hAnsi="Times New Roman" w:cs="Times New Roman"/>
          <w:i/>
          <w:sz w:val="24"/>
          <w:szCs w:val="24"/>
        </w:rPr>
        <w:t xml:space="preserve"> </w:t>
      </w:r>
      <w:r w:rsidRPr="00026C7B">
        <w:rPr>
          <w:rFonts w:ascii="Times New Roman" w:hAnsi="Times New Roman" w:cs="Times New Roman"/>
          <w:sz w:val="24"/>
          <w:szCs w:val="24"/>
        </w:rPr>
        <w:t>who appeared for the applicant properly conceded that the applicant does not, in fact and at law, own the properties in question.  It is trite that ownership of immovable property is constituted by registrati</w:t>
      </w:r>
      <w:r w:rsidR="00026C7B" w:rsidRPr="00026C7B">
        <w:rPr>
          <w:rFonts w:ascii="Times New Roman" w:hAnsi="Times New Roman" w:cs="Times New Roman"/>
          <w:sz w:val="24"/>
          <w:szCs w:val="24"/>
        </w:rPr>
        <w:t xml:space="preserve">on through a Deed of Transfer. </w:t>
      </w:r>
      <w:r w:rsidRPr="00026C7B">
        <w:rPr>
          <w:rFonts w:ascii="Times New Roman" w:hAnsi="Times New Roman" w:cs="Times New Roman"/>
          <w:sz w:val="24"/>
          <w:szCs w:val="24"/>
        </w:rPr>
        <w:t xml:space="preserve">That is the document which proves ownership.  </w:t>
      </w:r>
      <w:r w:rsidR="00CB4888" w:rsidRPr="00026C7B">
        <w:rPr>
          <w:rFonts w:ascii="Times New Roman" w:hAnsi="Times New Roman" w:cs="Times New Roman"/>
          <w:sz w:val="24"/>
          <w:szCs w:val="24"/>
        </w:rPr>
        <w:t xml:space="preserve">Section 14 of the </w:t>
      </w:r>
      <w:r w:rsidR="00CB4888" w:rsidRPr="00026C7B">
        <w:rPr>
          <w:rFonts w:ascii="Times New Roman" w:hAnsi="Times New Roman" w:cs="Times New Roman"/>
          <w:i/>
          <w:sz w:val="24"/>
          <w:szCs w:val="24"/>
        </w:rPr>
        <w:t>Deeds Registries Act (Chapter 2</w:t>
      </w:r>
      <w:r w:rsidR="000C6D9A" w:rsidRPr="00026C7B">
        <w:rPr>
          <w:rFonts w:ascii="Times New Roman" w:hAnsi="Times New Roman" w:cs="Times New Roman"/>
          <w:i/>
          <w:sz w:val="24"/>
          <w:szCs w:val="24"/>
        </w:rPr>
        <w:t>0:05</w:t>
      </w:r>
      <w:r w:rsidR="00CB4888" w:rsidRPr="00026C7B">
        <w:rPr>
          <w:rFonts w:ascii="Times New Roman" w:hAnsi="Times New Roman" w:cs="Times New Roman"/>
          <w:sz w:val="24"/>
          <w:szCs w:val="24"/>
        </w:rPr>
        <w:t>) provides as follows:</w:t>
      </w:r>
    </w:p>
    <w:p w:rsidR="00CB4888" w:rsidRPr="00026C7B" w:rsidRDefault="00CB4888" w:rsidP="00026C7B">
      <w:pPr>
        <w:spacing w:line="360" w:lineRule="auto"/>
        <w:ind w:left="720" w:firstLine="720"/>
        <w:jc w:val="both"/>
        <w:rPr>
          <w:rFonts w:ascii="Times New Roman" w:hAnsi="Times New Roman" w:cs="Times New Roman"/>
          <w:sz w:val="24"/>
          <w:szCs w:val="24"/>
        </w:rPr>
      </w:pPr>
      <w:r w:rsidRPr="00026C7B">
        <w:rPr>
          <w:rFonts w:ascii="Times New Roman" w:hAnsi="Times New Roman" w:cs="Times New Roman"/>
          <w:sz w:val="24"/>
          <w:szCs w:val="24"/>
        </w:rPr>
        <w:t xml:space="preserve">“Subject to this Act or any other law – </w:t>
      </w:r>
    </w:p>
    <w:p w:rsidR="00CB4888" w:rsidRPr="00354B21" w:rsidRDefault="00CB4888" w:rsidP="00AB5456">
      <w:pPr>
        <w:pStyle w:val="ListParagraph"/>
        <w:numPr>
          <w:ilvl w:val="0"/>
          <w:numId w:val="1"/>
        </w:numPr>
        <w:jc w:val="both"/>
        <w:rPr>
          <w:rFonts w:ascii="Times New Roman" w:hAnsi="Times New Roman" w:cs="Times New Roman"/>
          <w:sz w:val="24"/>
          <w:szCs w:val="24"/>
        </w:rPr>
      </w:pPr>
      <w:r w:rsidRPr="00354B21">
        <w:rPr>
          <w:rFonts w:ascii="Times New Roman" w:hAnsi="Times New Roman" w:cs="Times New Roman"/>
          <w:sz w:val="24"/>
          <w:szCs w:val="24"/>
        </w:rPr>
        <w:t>The ownership of land may be conveyed from one person to another only by means of a deed of transfer executed or attested by a registrar.”</w:t>
      </w:r>
    </w:p>
    <w:p w:rsidR="000C6D9A" w:rsidRPr="00354B21" w:rsidRDefault="000C6D9A" w:rsidP="00AB5456">
      <w:pPr>
        <w:ind w:firstLine="720"/>
        <w:jc w:val="both"/>
        <w:rPr>
          <w:rFonts w:ascii="Times New Roman" w:hAnsi="Times New Roman" w:cs="Times New Roman"/>
          <w:sz w:val="24"/>
          <w:szCs w:val="24"/>
        </w:rPr>
      </w:pPr>
      <w:r w:rsidRPr="00354B21">
        <w:rPr>
          <w:rFonts w:ascii="Times New Roman" w:hAnsi="Times New Roman" w:cs="Times New Roman"/>
          <w:sz w:val="24"/>
          <w:szCs w:val="24"/>
        </w:rPr>
        <w:lastRenderedPageBreak/>
        <w:t xml:space="preserve">In the case of </w:t>
      </w:r>
      <w:proofErr w:type="spellStart"/>
      <w:r w:rsidRPr="00354B21">
        <w:rPr>
          <w:rFonts w:ascii="Times New Roman" w:hAnsi="Times New Roman" w:cs="Times New Roman"/>
          <w:i/>
          <w:sz w:val="24"/>
          <w:szCs w:val="24"/>
        </w:rPr>
        <w:t>Takafuma</w:t>
      </w:r>
      <w:proofErr w:type="spellEnd"/>
      <w:r w:rsidRPr="00354B21">
        <w:rPr>
          <w:rFonts w:ascii="Times New Roman" w:hAnsi="Times New Roman" w:cs="Times New Roman"/>
          <w:i/>
          <w:sz w:val="24"/>
          <w:szCs w:val="24"/>
        </w:rPr>
        <w:t xml:space="preserve"> v </w:t>
      </w:r>
      <w:proofErr w:type="spellStart"/>
      <w:r w:rsidRPr="00354B21">
        <w:rPr>
          <w:rFonts w:ascii="Times New Roman" w:hAnsi="Times New Roman" w:cs="Times New Roman"/>
          <w:i/>
          <w:sz w:val="24"/>
          <w:szCs w:val="24"/>
        </w:rPr>
        <w:t>Takafuma</w:t>
      </w:r>
      <w:proofErr w:type="spellEnd"/>
      <w:r w:rsidRPr="00354B21">
        <w:rPr>
          <w:rFonts w:ascii="Times New Roman" w:hAnsi="Times New Roman" w:cs="Times New Roman"/>
          <w:i/>
          <w:sz w:val="24"/>
          <w:szCs w:val="24"/>
        </w:rPr>
        <w:t xml:space="preserve"> 1994 (2) ZLR 103(S) at 105H-</w:t>
      </w:r>
      <w:r w:rsidRPr="00354B21">
        <w:rPr>
          <w:rFonts w:ascii="Times New Roman" w:hAnsi="Times New Roman" w:cs="Times New Roman"/>
          <w:sz w:val="24"/>
          <w:szCs w:val="24"/>
        </w:rPr>
        <w:t xml:space="preserve">106A, </w:t>
      </w:r>
      <w:proofErr w:type="spellStart"/>
      <w:r w:rsidRPr="00354B21">
        <w:rPr>
          <w:rFonts w:ascii="Times New Roman" w:hAnsi="Times New Roman" w:cs="Times New Roman"/>
          <w:sz w:val="24"/>
          <w:szCs w:val="24"/>
        </w:rPr>
        <w:t>McNALLY</w:t>
      </w:r>
      <w:proofErr w:type="spellEnd"/>
      <w:r w:rsidRPr="00354B21">
        <w:rPr>
          <w:rFonts w:ascii="Times New Roman" w:hAnsi="Times New Roman" w:cs="Times New Roman"/>
          <w:sz w:val="24"/>
          <w:szCs w:val="24"/>
        </w:rPr>
        <w:t xml:space="preserve"> JA said:</w:t>
      </w:r>
    </w:p>
    <w:p w:rsidR="00932BAC" w:rsidRPr="00354B21" w:rsidRDefault="000C6D9A" w:rsidP="00AB5456">
      <w:pPr>
        <w:ind w:left="1440"/>
        <w:jc w:val="both"/>
        <w:rPr>
          <w:rFonts w:ascii="Times New Roman" w:hAnsi="Times New Roman" w:cs="Times New Roman"/>
          <w:sz w:val="24"/>
          <w:szCs w:val="24"/>
        </w:rPr>
      </w:pPr>
      <w:r w:rsidRPr="00354B21">
        <w:rPr>
          <w:rFonts w:ascii="Times New Roman" w:hAnsi="Times New Roman" w:cs="Times New Roman"/>
          <w:sz w:val="24"/>
          <w:szCs w:val="24"/>
        </w:rPr>
        <w:t>“The registration of rights in immovable property in terms of the Deeds Registries Act [</w:t>
      </w:r>
      <w:r w:rsidR="00354B21">
        <w:rPr>
          <w:rFonts w:ascii="Times New Roman" w:hAnsi="Times New Roman" w:cs="Times New Roman"/>
          <w:i/>
          <w:sz w:val="24"/>
          <w:szCs w:val="24"/>
        </w:rPr>
        <w:t>Cap</w:t>
      </w:r>
      <w:r w:rsidRPr="00354B21">
        <w:rPr>
          <w:rFonts w:ascii="Times New Roman" w:hAnsi="Times New Roman" w:cs="Times New Roman"/>
          <w:i/>
          <w:sz w:val="24"/>
          <w:szCs w:val="24"/>
        </w:rPr>
        <w:t xml:space="preserve"> 139</w:t>
      </w:r>
      <w:r w:rsidRPr="00354B21">
        <w:rPr>
          <w:rFonts w:ascii="Times New Roman" w:hAnsi="Times New Roman" w:cs="Times New Roman"/>
          <w:sz w:val="24"/>
          <w:szCs w:val="24"/>
        </w:rPr>
        <w:t>]</w:t>
      </w:r>
      <w:r w:rsidR="003D63D4">
        <w:rPr>
          <w:rFonts w:ascii="Times New Roman" w:hAnsi="Times New Roman" w:cs="Times New Roman"/>
          <w:sz w:val="24"/>
          <w:szCs w:val="24"/>
        </w:rPr>
        <w:t xml:space="preserve"> is not a mere matter of form. </w:t>
      </w:r>
      <w:r w:rsidRPr="00354B21">
        <w:rPr>
          <w:rFonts w:ascii="Times New Roman" w:hAnsi="Times New Roman" w:cs="Times New Roman"/>
          <w:sz w:val="24"/>
          <w:szCs w:val="24"/>
        </w:rPr>
        <w:t xml:space="preserve">Nor is it simply a device to confound creditors or the tax authorities.  It is a matter of substance.  </w:t>
      </w:r>
      <w:proofErr w:type="gramStart"/>
      <w:r w:rsidRPr="00354B21">
        <w:rPr>
          <w:rFonts w:ascii="Times New Roman" w:hAnsi="Times New Roman" w:cs="Times New Roman"/>
          <w:sz w:val="24"/>
          <w:szCs w:val="24"/>
        </w:rPr>
        <w:t xml:space="preserve">It coveys real rights upon those </w:t>
      </w:r>
      <w:r w:rsidR="00970AED" w:rsidRPr="00354B21">
        <w:rPr>
          <w:rFonts w:ascii="Times New Roman" w:hAnsi="Times New Roman" w:cs="Times New Roman"/>
          <w:sz w:val="24"/>
          <w:szCs w:val="24"/>
        </w:rPr>
        <w:t>in whose na</w:t>
      </w:r>
      <w:r w:rsidR="003D63D4">
        <w:rPr>
          <w:rFonts w:ascii="Times New Roman" w:hAnsi="Times New Roman" w:cs="Times New Roman"/>
          <w:sz w:val="24"/>
          <w:szCs w:val="24"/>
        </w:rPr>
        <w:t>me the property is registered.</w:t>
      </w:r>
      <w:proofErr w:type="gramEnd"/>
      <w:r w:rsidR="003D63D4">
        <w:rPr>
          <w:rFonts w:ascii="Times New Roman" w:hAnsi="Times New Roman" w:cs="Times New Roman"/>
          <w:sz w:val="24"/>
          <w:szCs w:val="24"/>
        </w:rPr>
        <w:t xml:space="preserve"> </w:t>
      </w:r>
      <w:r w:rsidR="00970AED" w:rsidRPr="00354B21">
        <w:rPr>
          <w:rFonts w:ascii="Times New Roman" w:hAnsi="Times New Roman" w:cs="Times New Roman"/>
          <w:sz w:val="24"/>
          <w:szCs w:val="24"/>
        </w:rPr>
        <w:t xml:space="preserve">See the definition of ‘real right’ in s 2 of the Act.  The real right of ownership, or </w:t>
      </w:r>
      <w:proofErr w:type="spellStart"/>
      <w:r w:rsidR="00970AED" w:rsidRPr="00354B21">
        <w:rPr>
          <w:rFonts w:ascii="Times New Roman" w:hAnsi="Times New Roman" w:cs="Times New Roman"/>
          <w:i/>
          <w:sz w:val="24"/>
          <w:szCs w:val="24"/>
        </w:rPr>
        <w:t>jus</w:t>
      </w:r>
      <w:proofErr w:type="spellEnd"/>
      <w:r w:rsidR="00970AED" w:rsidRPr="00354B21">
        <w:rPr>
          <w:rFonts w:ascii="Times New Roman" w:hAnsi="Times New Roman" w:cs="Times New Roman"/>
          <w:i/>
          <w:sz w:val="24"/>
          <w:szCs w:val="24"/>
        </w:rPr>
        <w:t xml:space="preserve"> in re </w:t>
      </w:r>
      <w:proofErr w:type="spellStart"/>
      <w:r w:rsidR="00970AED" w:rsidRPr="00354B21">
        <w:rPr>
          <w:rFonts w:ascii="Times New Roman" w:hAnsi="Times New Roman" w:cs="Times New Roman"/>
          <w:i/>
          <w:sz w:val="24"/>
          <w:szCs w:val="24"/>
        </w:rPr>
        <w:t>propria</w:t>
      </w:r>
      <w:proofErr w:type="spellEnd"/>
      <w:r w:rsidR="00970AED" w:rsidRPr="00354B21">
        <w:rPr>
          <w:rFonts w:ascii="Times New Roman" w:hAnsi="Times New Roman" w:cs="Times New Roman"/>
          <w:sz w:val="24"/>
          <w:szCs w:val="24"/>
        </w:rPr>
        <w:t>, is ‘the sum total of all the possible rights in a thing’.”</w:t>
      </w:r>
    </w:p>
    <w:p w:rsidR="000C6D9A" w:rsidRPr="000C6D9A" w:rsidRDefault="00932BAC" w:rsidP="00AB5456">
      <w:pPr>
        <w:ind w:left="1440"/>
        <w:jc w:val="both"/>
        <w:rPr>
          <w:sz w:val="24"/>
          <w:szCs w:val="24"/>
        </w:rPr>
      </w:pPr>
      <w:r>
        <w:rPr>
          <w:sz w:val="24"/>
          <w:szCs w:val="24"/>
        </w:rPr>
        <w:t xml:space="preserve">See also Van der </w:t>
      </w:r>
      <w:proofErr w:type="spellStart"/>
      <w:r>
        <w:rPr>
          <w:sz w:val="24"/>
          <w:szCs w:val="24"/>
        </w:rPr>
        <w:t>Merwe</w:t>
      </w:r>
      <w:proofErr w:type="spellEnd"/>
      <w:r>
        <w:rPr>
          <w:sz w:val="24"/>
          <w:szCs w:val="24"/>
        </w:rPr>
        <w:t xml:space="preserve"> C.G. &amp; M.J. de Waal, </w:t>
      </w:r>
      <w:r>
        <w:rPr>
          <w:i/>
          <w:sz w:val="24"/>
          <w:szCs w:val="24"/>
        </w:rPr>
        <w:t>The Law of Things &amp; Servitudes, p.150</w:t>
      </w:r>
      <w:r>
        <w:rPr>
          <w:sz w:val="24"/>
          <w:szCs w:val="24"/>
        </w:rPr>
        <w:t>.</w:t>
      </w:r>
    </w:p>
    <w:p w:rsidR="00E65EC3" w:rsidRPr="00354B21" w:rsidRDefault="00742F22" w:rsidP="00354B21">
      <w:pPr>
        <w:spacing w:after="0" w:line="360" w:lineRule="auto"/>
        <w:ind w:firstLine="720"/>
        <w:jc w:val="both"/>
        <w:rPr>
          <w:rFonts w:ascii="Times New Roman" w:hAnsi="Times New Roman" w:cs="Times New Roman"/>
          <w:sz w:val="24"/>
          <w:szCs w:val="24"/>
        </w:rPr>
      </w:pPr>
      <w:r w:rsidRPr="00354B21">
        <w:rPr>
          <w:rFonts w:ascii="Times New Roman" w:hAnsi="Times New Roman" w:cs="Times New Roman"/>
          <w:sz w:val="24"/>
          <w:szCs w:val="24"/>
        </w:rPr>
        <w:t>R</w:t>
      </w:r>
      <w:r w:rsidR="00932BAC" w:rsidRPr="00354B21">
        <w:rPr>
          <w:rFonts w:ascii="Times New Roman" w:hAnsi="Times New Roman" w:cs="Times New Roman"/>
          <w:sz w:val="24"/>
          <w:szCs w:val="24"/>
        </w:rPr>
        <w:t xml:space="preserve">egistration is considered at law to be proof of ownership not only as far as the registered owner is concerned, but also with regard to third parties </w:t>
      </w:r>
      <w:r w:rsidR="00354B21">
        <w:rPr>
          <w:rFonts w:ascii="Times New Roman" w:hAnsi="Times New Roman" w:cs="Times New Roman"/>
          <w:sz w:val="24"/>
          <w:szCs w:val="24"/>
        </w:rPr>
        <w:t xml:space="preserve">relying on the deeds registry. </w:t>
      </w:r>
      <w:proofErr w:type="gramStart"/>
      <w:r w:rsidR="00932BAC" w:rsidRPr="00354B21">
        <w:rPr>
          <w:rFonts w:ascii="Times New Roman" w:hAnsi="Times New Roman" w:cs="Times New Roman"/>
          <w:sz w:val="24"/>
          <w:szCs w:val="24"/>
        </w:rPr>
        <w:t xml:space="preserve">Van der </w:t>
      </w:r>
      <w:proofErr w:type="spellStart"/>
      <w:r w:rsidR="00932BAC" w:rsidRPr="00354B21">
        <w:rPr>
          <w:rFonts w:ascii="Times New Roman" w:hAnsi="Times New Roman" w:cs="Times New Roman"/>
          <w:sz w:val="24"/>
          <w:szCs w:val="24"/>
        </w:rPr>
        <w:t>Merwe</w:t>
      </w:r>
      <w:proofErr w:type="spellEnd"/>
      <w:r w:rsidR="00932BAC" w:rsidRPr="00354B21">
        <w:rPr>
          <w:rFonts w:ascii="Times New Roman" w:hAnsi="Times New Roman" w:cs="Times New Roman"/>
          <w:sz w:val="24"/>
          <w:szCs w:val="24"/>
        </w:rPr>
        <w:t xml:space="preserve">&amp; de Waal, </w:t>
      </w:r>
      <w:r w:rsidR="00932BAC" w:rsidRPr="00354B21">
        <w:rPr>
          <w:rFonts w:ascii="Times New Roman" w:hAnsi="Times New Roman" w:cs="Times New Roman"/>
          <w:i/>
          <w:sz w:val="24"/>
          <w:szCs w:val="24"/>
        </w:rPr>
        <w:t xml:space="preserve">The Law of Things &amp; Servitudes, p. </w:t>
      </w:r>
      <w:r w:rsidR="00932BAC" w:rsidRPr="00354B21">
        <w:rPr>
          <w:rFonts w:ascii="Times New Roman" w:hAnsi="Times New Roman" w:cs="Times New Roman"/>
          <w:sz w:val="24"/>
          <w:szCs w:val="24"/>
        </w:rPr>
        <w:t>168</w:t>
      </w:r>
      <w:r w:rsidRPr="00354B21">
        <w:rPr>
          <w:rFonts w:ascii="Times New Roman" w:hAnsi="Times New Roman" w:cs="Times New Roman"/>
          <w:sz w:val="24"/>
          <w:szCs w:val="24"/>
        </w:rPr>
        <w:t>.</w:t>
      </w:r>
      <w:proofErr w:type="gramEnd"/>
      <w:r w:rsidR="00354B21">
        <w:rPr>
          <w:rFonts w:ascii="Times New Roman" w:hAnsi="Times New Roman" w:cs="Times New Roman"/>
          <w:sz w:val="24"/>
          <w:szCs w:val="24"/>
        </w:rPr>
        <w:t xml:space="preserve"> </w:t>
      </w:r>
      <w:r w:rsidR="00E65EC3" w:rsidRPr="00354B21">
        <w:rPr>
          <w:rFonts w:ascii="Times New Roman" w:hAnsi="Times New Roman" w:cs="Times New Roman"/>
          <w:sz w:val="24"/>
          <w:szCs w:val="24"/>
        </w:rPr>
        <w:t>An agreement of sale is not proof of ownership</w:t>
      </w:r>
      <w:r w:rsidR="004976B1" w:rsidRPr="00354B21">
        <w:rPr>
          <w:rFonts w:ascii="Times New Roman" w:hAnsi="Times New Roman" w:cs="Times New Roman"/>
          <w:sz w:val="24"/>
          <w:szCs w:val="24"/>
        </w:rPr>
        <w:t>; neither does it confer the real right of ownership</w:t>
      </w:r>
      <w:r w:rsidR="00E65EC3" w:rsidRPr="00354B21">
        <w:rPr>
          <w:rFonts w:ascii="Times New Roman" w:hAnsi="Times New Roman" w:cs="Times New Roman"/>
          <w:sz w:val="24"/>
          <w:szCs w:val="24"/>
        </w:rPr>
        <w:t xml:space="preserve">.  It merely creates personal rights as between the seller and the purchaser, the first respondent and the </w:t>
      </w:r>
      <w:r w:rsidR="00354B21">
        <w:rPr>
          <w:rFonts w:ascii="Times New Roman" w:hAnsi="Times New Roman" w:cs="Times New Roman"/>
          <w:sz w:val="24"/>
          <w:szCs w:val="24"/>
        </w:rPr>
        <w:t xml:space="preserve">applicant in the instant case. </w:t>
      </w:r>
      <w:r w:rsidR="00E65EC3" w:rsidRPr="00354B21">
        <w:rPr>
          <w:rFonts w:ascii="Times New Roman" w:hAnsi="Times New Roman" w:cs="Times New Roman"/>
          <w:sz w:val="24"/>
          <w:szCs w:val="24"/>
        </w:rPr>
        <w:t>That being the case the applicant’s case crumbled like a house of cards as it was founded upon the ground that the applicant is the owner of the property.</w:t>
      </w:r>
    </w:p>
    <w:p w:rsidR="008C2882" w:rsidRPr="00354B21" w:rsidRDefault="008C2882" w:rsidP="00AB5456">
      <w:pPr>
        <w:ind w:firstLine="720"/>
        <w:jc w:val="both"/>
        <w:rPr>
          <w:rFonts w:ascii="Times New Roman" w:hAnsi="Times New Roman" w:cs="Times New Roman"/>
          <w:sz w:val="24"/>
          <w:szCs w:val="24"/>
        </w:rPr>
      </w:pPr>
      <w:r w:rsidRPr="00354B21">
        <w:rPr>
          <w:rFonts w:ascii="Times New Roman" w:hAnsi="Times New Roman" w:cs="Times New Roman"/>
          <w:sz w:val="24"/>
          <w:szCs w:val="24"/>
        </w:rPr>
        <w:t xml:space="preserve">Although in the notice of opposition the second respondent had asked for costs on an attorney-client scale it did not insist on them at the hearing.  </w:t>
      </w:r>
    </w:p>
    <w:p w:rsidR="008C2882" w:rsidRPr="00354B21" w:rsidRDefault="00E65EC3" w:rsidP="00AB5456">
      <w:pPr>
        <w:ind w:firstLine="720"/>
        <w:jc w:val="both"/>
        <w:rPr>
          <w:rFonts w:ascii="Times New Roman" w:hAnsi="Times New Roman" w:cs="Times New Roman"/>
          <w:sz w:val="24"/>
          <w:szCs w:val="24"/>
        </w:rPr>
      </w:pPr>
      <w:r w:rsidRPr="00354B21">
        <w:rPr>
          <w:rFonts w:ascii="Times New Roman" w:hAnsi="Times New Roman" w:cs="Times New Roman"/>
          <w:sz w:val="24"/>
          <w:szCs w:val="24"/>
        </w:rPr>
        <w:t>In the result, the application has no merit and must be dismissed with costs.</w:t>
      </w:r>
    </w:p>
    <w:p w:rsidR="008C2882" w:rsidRPr="00354B21" w:rsidRDefault="008C2882" w:rsidP="00AB5456">
      <w:pPr>
        <w:jc w:val="both"/>
        <w:rPr>
          <w:rFonts w:ascii="Times New Roman" w:hAnsi="Times New Roman" w:cs="Times New Roman"/>
          <w:sz w:val="24"/>
          <w:szCs w:val="24"/>
        </w:rPr>
      </w:pPr>
    </w:p>
    <w:p w:rsidR="008C2882" w:rsidRDefault="008C2882" w:rsidP="00AB5456">
      <w:pPr>
        <w:jc w:val="both"/>
        <w:rPr>
          <w:sz w:val="24"/>
          <w:szCs w:val="24"/>
        </w:rPr>
      </w:pPr>
      <w:r>
        <w:rPr>
          <w:i/>
          <w:sz w:val="24"/>
          <w:szCs w:val="24"/>
        </w:rPr>
        <w:t>Kantor &amp;</w:t>
      </w:r>
      <w:r w:rsidR="00770EE1">
        <w:rPr>
          <w:i/>
          <w:sz w:val="24"/>
          <w:szCs w:val="24"/>
        </w:rPr>
        <w:t xml:space="preserve"> </w:t>
      </w:r>
      <w:proofErr w:type="spellStart"/>
      <w:r>
        <w:rPr>
          <w:i/>
          <w:sz w:val="24"/>
          <w:szCs w:val="24"/>
        </w:rPr>
        <w:t>Immerman</w:t>
      </w:r>
      <w:proofErr w:type="spellEnd"/>
      <w:r>
        <w:rPr>
          <w:sz w:val="24"/>
          <w:szCs w:val="24"/>
        </w:rPr>
        <w:t>, applicant’s legal practitioners</w:t>
      </w:r>
    </w:p>
    <w:p w:rsidR="006D4D80" w:rsidRPr="005F6DA8" w:rsidRDefault="008C2882" w:rsidP="00AB5456">
      <w:pPr>
        <w:jc w:val="both"/>
        <w:rPr>
          <w:sz w:val="24"/>
          <w:szCs w:val="24"/>
        </w:rPr>
      </w:pPr>
      <w:r>
        <w:rPr>
          <w:i/>
          <w:sz w:val="24"/>
          <w:szCs w:val="24"/>
        </w:rPr>
        <w:t>Sawyer &amp;</w:t>
      </w:r>
      <w:r w:rsidR="00770EE1">
        <w:rPr>
          <w:i/>
          <w:sz w:val="24"/>
          <w:szCs w:val="24"/>
        </w:rPr>
        <w:t xml:space="preserve"> </w:t>
      </w:r>
      <w:proofErr w:type="spellStart"/>
      <w:r>
        <w:rPr>
          <w:i/>
          <w:sz w:val="24"/>
          <w:szCs w:val="24"/>
        </w:rPr>
        <w:t>Mkushi</w:t>
      </w:r>
      <w:proofErr w:type="spellEnd"/>
      <w:r>
        <w:rPr>
          <w:sz w:val="24"/>
          <w:szCs w:val="24"/>
        </w:rPr>
        <w:t>, second respondent’s legal practitioners</w:t>
      </w:r>
    </w:p>
    <w:sectPr w:rsidR="006D4D80" w:rsidRPr="005F6DA8" w:rsidSect="009B1E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39" w:rsidRDefault="00B84939" w:rsidP="00E06EB4">
      <w:pPr>
        <w:spacing w:after="0" w:line="240" w:lineRule="auto"/>
      </w:pPr>
      <w:r>
        <w:separator/>
      </w:r>
    </w:p>
  </w:endnote>
  <w:endnote w:type="continuationSeparator" w:id="0">
    <w:p w:rsidR="00B84939" w:rsidRDefault="00B84939" w:rsidP="00E0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39" w:rsidRDefault="00B84939" w:rsidP="00E06EB4">
      <w:pPr>
        <w:spacing w:after="0" w:line="240" w:lineRule="auto"/>
      </w:pPr>
      <w:r>
        <w:separator/>
      </w:r>
    </w:p>
  </w:footnote>
  <w:footnote w:type="continuationSeparator" w:id="0">
    <w:p w:rsidR="00B84939" w:rsidRDefault="00B84939" w:rsidP="00E06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19"/>
      <w:docPartObj>
        <w:docPartGallery w:val="Page Numbers (Top of Page)"/>
        <w:docPartUnique/>
      </w:docPartObj>
    </w:sdtPr>
    <w:sdtEndPr/>
    <w:sdtContent>
      <w:p w:rsidR="00E06EB4" w:rsidRDefault="00917766" w:rsidP="00E06EB4">
        <w:pPr>
          <w:pStyle w:val="Header"/>
          <w:ind w:left="3240" w:firstLine="4680"/>
        </w:pPr>
        <w:r>
          <w:t xml:space="preserve"> </w:t>
        </w:r>
        <w:r w:rsidR="00B84939">
          <w:fldChar w:fldCharType="begin"/>
        </w:r>
        <w:r w:rsidR="00B84939">
          <w:instrText xml:space="preserve"> PAGE   \* MERGEFORMAT </w:instrText>
        </w:r>
        <w:r w:rsidR="00B84939">
          <w:fldChar w:fldCharType="separate"/>
        </w:r>
        <w:r w:rsidR="006E0796">
          <w:rPr>
            <w:noProof/>
          </w:rPr>
          <w:t>1</w:t>
        </w:r>
        <w:r w:rsidR="00B84939">
          <w:rPr>
            <w:noProof/>
          </w:rPr>
          <w:fldChar w:fldCharType="end"/>
        </w:r>
      </w:p>
      <w:p w:rsidR="00E06EB4" w:rsidRDefault="00E06EB4" w:rsidP="00E06EB4">
        <w:pPr>
          <w:pStyle w:val="Header"/>
          <w:ind w:left="3960"/>
        </w:pPr>
        <w:r>
          <w:t xml:space="preserve">                                     </w:t>
        </w:r>
        <w:r w:rsidR="00917766">
          <w:t xml:space="preserve">                       HH 131/</w:t>
        </w:r>
        <w:r>
          <w:t>2013</w:t>
        </w:r>
      </w:p>
      <w:p w:rsidR="00E06EB4" w:rsidRDefault="00E06EB4" w:rsidP="00E06EB4">
        <w:pPr>
          <w:pStyle w:val="Header"/>
          <w:ind w:left="3960"/>
        </w:pPr>
        <w:r>
          <w:t xml:space="preserve">                                                          HC 3189/2013</w:t>
        </w:r>
      </w:p>
    </w:sdtContent>
  </w:sdt>
  <w:p w:rsidR="00E06EB4" w:rsidRDefault="00E06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2772"/>
    <w:multiLevelType w:val="hybridMultilevel"/>
    <w:tmpl w:val="58E23CD0"/>
    <w:lvl w:ilvl="0" w:tplc="3A4E1BD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3245"/>
    <w:rsid w:val="00026C7B"/>
    <w:rsid w:val="000C6D9A"/>
    <w:rsid w:val="001F0352"/>
    <w:rsid w:val="0027227A"/>
    <w:rsid w:val="00354B21"/>
    <w:rsid w:val="00392C99"/>
    <w:rsid w:val="003D63D4"/>
    <w:rsid w:val="004976B1"/>
    <w:rsid w:val="004A79E0"/>
    <w:rsid w:val="004B1D44"/>
    <w:rsid w:val="004C00FD"/>
    <w:rsid w:val="004D24AA"/>
    <w:rsid w:val="00550F72"/>
    <w:rsid w:val="005A17AE"/>
    <w:rsid w:val="005F6DA8"/>
    <w:rsid w:val="00626DC6"/>
    <w:rsid w:val="006D4D80"/>
    <w:rsid w:val="006E0796"/>
    <w:rsid w:val="00742F22"/>
    <w:rsid w:val="00770EE1"/>
    <w:rsid w:val="008439A7"/>
    <w:rsid w:val="00882948"/>
    <w:rsid w:val="00887BB6"/>
    <w:rsid w:val="008C2882"/>
    <w:rsid w:val="00917766"/>
    <w:rsid w:val="00932BAC"/>
    <w:rsid w:val="00970AED"/>
    <w:rsid w:val="0099698C"/>
    <w:rsid w:val="009B1E56"/>
    <w:rsid w:val="00A5568D"/>
    <w:rsid w:val="00A93245"/>
    <w:rsid w:val="00AB307A"/>
    <w:rsid w:val="00AB5456"/>
    <w:rsid w:val="00B1046C"/>
    <w:rsid w:val="00B40459"/>
    <w:rsid w:val="00B84939"/>
    <w:rsid w:val="00C911E1"/>
    <w:rsid w:val="00C97B1D"/>
    <w:rsid w:val="00CB425E"/>
    <w:rsid w:val="00CB4888"/>
    <w:rsid w:val="00D766BC"/>
    <w:rsid w:val="00DA5E2C"/>
    <w:rsid w:val="00E06EB4"/>
    <w:rsid w:val="00E65EC3"/>
    <w:rsid w:val="00F47736"/>
    <w:rsid w:val="00F540A7"/>
    <w:rsid w:val="00FA75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88"/>
    <w:pPr>
      <w:ind w:left="720"/>
      <w:contextualSpacing/>
    </w:pPr>
  </w:style>
  <w:style w:type="paragraph" w:styleId="NoSpacing">
    <w:name w:val="No Spacing"/>
    <w:uiPriority w:val="1"/>
    <w:qFormat/>
    <w:rsid w:val="0099698C"/>
    <w:pPr>
      <w:spacing w:after="0" w:line="240" w:lineRule="auto"/>
    </w:pPr>
  </w:style>
  <w:style w:type="paragraph" w:styleId="Header">
    <w:name w:val="header"/>
    <w:basedOn w:val="Normal"/>
    <w:link w:val="HeaderChar"/>
    <w:uiPriority w:val="99"/>
    <w:unhideWhenUsed/>
    <w:rsid w:val="00E0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B4"/>
  </w:style>
  <w:style w:type="paragraph" w:styleId="Footer">
    <w:name w:val="footer"/>
    <w:basedOn w:val="Normal"/>
    <w:link w:val="FooterChar"/>
    <w:uiPriority w:val="99"/>
    <w:semiHidden/>
    <w:unhideWhenUsed/>
    <w:rsid w:val="00E06E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6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2013-05-06T13:06:00Z</cp:lastPrinted>
  <dcterms:created xsi:type="dcterms:W3CDTF">2013-05-27T10:50:00Z</dcterms:created>
  <dcterms:modified xsi:type="dcterms:W3CDTF">2013-05-27T10:50:00Z</dcterms:modified>
</cp:coreProperties>
</file>