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C0" w:rsidRDefault="00BA392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ANYWAY CHOTO</w:t>
      </w: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GRAY HOMES (PVT) LTD</w:t>
      </w:r>
    </w:p>
    <w:p w:rsidR="000A30C0" w:rsidRDefault="000A30C0">
      <w:pPr>
        <w:spacing w:after="0" w:line="240" w:lineRule="auto"/>
        <w:jc w:val="both"/>
        <w:rPr>
          <w:rFonts w:ascii="Times New Roman" w:hAnsi="Times New Roman" w:cs="Times New Roman"/>
          <w:sz w:val="24"/>
          <w:szCs w:val="24"/>
        </w:rPr>
      </w:pPr>
    </w:p>
    <w:p w:rsidR="000A30C0" w:rsidRDefault="000A30C0">
      <w:pPr>
        <w:spacing w:after="0" w:line="240" w:lineRule="auto"/>
        <w:jc w:val="both"/>
        <w:rPr>
          <w:rFonts w:ascii="Times New Roman" w:hAnsi="Times New Roman" w:cs="Times New Roman"/>
          <w:sz w:val="24"/>
          <w:szCs w:val="24"/>
        </w:rPr>
      </w:pP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DIVISION</w:t>
      </w: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27 June 2024 &amp; 10 March 2025</w:t>
      </w:r>
    </w:p>
    <w:p w:rsidR="000A30C0" w:rsidRDefault="000A30C0">
      <w:pPr>
        <w:spacing w:after="0" w:line="240" w:lineRule="auto"/>
        <w:jc w:val="both"/>
        <w:rPr>
          <w:rFonts w:ascii="Times New Roman" w:hAnsi="Times New Roman" w:cs="Times New Roman"/>
          <w:b/>
          <w:sz w:val="24"/>
          <w:szCs w:val="24"/>
        </w:rPr>
      </w:pPr>
    </w:p>
    <w:p w:rsidR="000A30C0" w:rsidRDefault="00BA39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0A30C0" w:rsidRDefault="000A30C0">
      <w:pPr>
        <w:spacing w:after="0" w:line="240" w:lineRule="auto"/>
        <w:jc w:val="both"/>
        <w:rPr>
          <w:rFonts w:ascii="Times New Roman" w:hAnsi="Times New Roman" w:cs="Times New Roman"/>
          <w:sz w:val="24"/>
          <w:szCs w:val="24"/>
        </w:rPr>
      </w:pP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 Mabwe</w:t>
      </w:r>
      <w:r>
        <w:rPr>
          <w:rFonts w:ascii="Times New Roman" w:hAnsi="Times New Roman" w:cs="Times New Roman"/>
          <w:sz w:val="24"/>
          <w:szCs w:val="24"/>
        </w:rPr>
        <w:t>, for the plaintiff</w:t>
      </w:r>
    </w:p>
    <w:p w:rsidR="000A30C0" w:rsidRDefault="00BA392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L Mapuranga</w:t>
      </w:r>
      <w:r>
        <w:rPr>
          <w:rFonts w:ascii="Times New Roman" w:hAnsi="Times New Roman" w:cs="Times New Roman"/>
          <w:sz w:val="24"/>
          <w:szCs w:val="24"/>
        </w:rPr>
        <w:t>, for the defendant</w:t>
      </w:r>
    </w:p>
    <w:p w:rsidR="000A30C0" w:rsidRDefault="000A30C0">
      <w:pPr>
        <w:spacing w:after="0" w:line="240" w:lineRule="auto"/>
        <w:jc w:val="both"/>
        <w:rPr>
          <w:rFonts w:ascii="Times New Roman" w:hAnsi="Times New Roman" w:cs="Times New Roman"/>
          <w:sz w:val="24"/>
          <w:szCs w:val="24"/>
        </w:rPr>
      </w:pPr>
    </w:p>
    <w:p w:rsidR="000A30C0" w:rsidRDefault="00BA39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0A30C0" w:rsidRDefault="00BA39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sued </w:t>
      </w:r>
      <w:r>
        <w:rPr>
          <w:rFonts w:ascii="Times New Roman" w:hAnsi="Times New Roman" w:cs="Times New Roman"/>
          <w:sz w:val="24"/>
          <w:szCs w:val="24"/>
        </w:rPr>
        <w:t>the defendant for breach of contract. In its plea the defendant has raised an objection  that the matter ought to be referred for arbitration as per agreement of the parties. That objection has been resisted by the plaintiff who also fights back that the o</w:t>
      </w:r>
      <w:r>
        <w:rPr>
          <w:rFonts w:ascii="Times New Roman" w:hAnsi="Times New Roman" w:cs="Times New Roman"/>
          <w:sz w:val="24"/>
          <w:szCs w:val="24"/>
        </w:rPr>
        <w:t>bjection was not raised procedurally.</w:t>
      </w:r>
    </w:p>
    <w:p w:rsidR="000A30C0" w:rsidRDefault="00BA3927">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rsidR="000A30C0" w:rsidRDefault="00BA39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21st March 2024, the plaintiff issued summons for  payment of US$122 163.00  being a refund of the construction price or project price paid to defendant by the plaintiff in terms of a construction agr</w:t>
      </w:r>
      <w:r>
        <w:rPr>
          <w:rFonts w:ascii="Times New Roman" w:hAnsi="Times New Roman" w:cs="Times New Roman"/>
          <w:sz w:val="24"/>
          <w:szCs w:val="24"/>
        </w:rPr>
        <w:t xml:space="preserve">eement; payment of US$ 135 000.00  being damages for breach of contract; payment of US$ 317 419.12  being loss of profit and </w:t>
      </w:r>
      <w:r>
        <w:rPr>
          <w:rFonts w:ascii="Times New Roman" w:hAnsi="Times New Roman" w:cs="Times New Roman"/>
          <w:sz w:val="24"/>
          <w:szCs w:val="24"/>
          <w:lang w:val="en-US"/>
        </w:rPr>
        <w:t>c</w:t>
      </w:r>
      <w:r>
        <w:rPr>
          <w:rFonts w:ascii="Times New Roman" w:hAnsi="Times New Roman" w:cs="Times New Roman"/>
          <w:sz w:val="24"/>
          <w:szCs w:val="24"/>
        </w:rPr>
        <w:t>osts of suit on a legal practitioner and client scale.</w:t>
      </w:r>
    </w:p>
    <w:p w:rsidR="000A30C0" w:rsidRDefault="000A30C0">
      <w:pPr>
        <w:pStyle w:val="ListParagraph"/>
        <w:spacing w:line="360" w:lineRule="auto"/>
        <w:jc w:val="both"/>
        <w:rPr>
          <w:rFonts w:ascii="Times New Roman" w:hAnsi="Times New Roman" w:cs="Times New Roman"/>
          <w:sz w:val="24"/>
          <w:szCs w:val="24"/>
        </w:rPr>
      </w:pPr>
    </w:p>
    <w:p w:rsidR="000A30C0" w:rsidRDefault="00BA39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10th April 2024 the Defendant filed its plea on the substantive issues </w:t>
      </w:r>
      <w:r>
        <w:rPr>
          <w:rFonts w:ascii="Times New Roman" w:hAnsi="Times New Roman" w:cs="Times New Roman"/>
          <w:sz w:val="24"/>
          <w:szCs w:val="24"/>
        </w:rPr>
        <w:t>and  took a preliminary objection that the claim must be dismissed because it was in the wrong forum as it ought to start with arbitration.</w:t>
      </w:r>
    </w:p>
    <w:p w:rsidR="000A30C0" w:rsidRDefault="000A30C0">
      <w:pPr>
        <w:pStyle w:val="ListParagraph"/>
        <w:spacing w:line="360" w:lineRule="auto"/>
        <w:jc w:val="both"/>
        <w:rPr>
          <w:rFonts w:ascii="Times New Roman" w:hAnsi="Times New Roman" w:cs="Times New Roman"/>
          <w:sz w:val="24"/>
          <w:szCs w:val="24"/>
        </w:rPr>
      </w:pPr>
    </w:p>
    <w:p w:rsidR="000A30C0" w:rsidRDefault="00BA39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close of pleadings, the parties met and at a case management conference agreed on the following issues;</w:t>
      </w:r>
    </w:p>
    <w:p w:rsidR="000A30C0" w:rsidRDefault="00BA39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matter ought to be referred to arbitration.</w:t>
      </w:r>
    </w:p>
    <w:p w:rsidR="000A30C0" w:rsidRDefault="00BA39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defendant breached the contract.</w:t>
      </w:r>
    </w:p>
    <w:p w:rsidR="000A30C0" w:rsidRDefault="00BA39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If so, whether or not the plaintiff is entitled to damages from breach of contract and in that case, how much.</w:t>
      </w:r>
    </w:p>
    <w:p w:rsidR="000A30C0" w:rsidRDefault="000A30C0">
      <w:pPr>
        <w:pStyle w:val="ListParagraph"/>
        <w:spacing w:line="360" w:lineRule="auto"/>
        <w:jc w:val="both"/>
        <w:rPr>
          <w:rFonts w:ascii="Times New Roman" w:hAnsi="Times New Roman" w:cs="Times New Roman"/>
          <w:sz w:val="24"/>
          <w:szCs w:val="24"/>
        </w:rPr>
      </w:pPr>
    </w:p>
    <w:p w:rsidR="000A30C0" w:rsidRDefault="00BA39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directed the parties to</w:t>
      </w:r>
      <w:r>
        <w:rPr>
          <w:rFonts w:ascii="Times New Roman" w:hAnsi="Times New Roman" w:cs="Times New Roman"/>
          <w:sz w:val="24"/>
          <w:szCs w:val="24"/>
        </w:rPr>
        <w:t xml:space="preserve"> file heads on the first issue which was set down for argument on 27 June 2024.</w:t>
      </w:r>
    </w:p>
    <w:p w:rsidR="000A30C0" w:rsidRDefault="00BA392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ISSUES</w:t>
      </w:r>
    </w:p>
    <w:p w:rsidR="000A30C0" w:rsidRDefault="00BA3927">
      <w:pPr>
        <w:spacing w:line="360" w:lineRule="auto"/>
        <w:ind w:left="360" w:firstLine="716"/>
        <w:jc w:val="both"/>
        <w:rPr>
          <w:rFonts w:ascii="Times New Roman" w:hAnsi="Times New Roman" w:cs="Times New Roman"/>
          <w:sz w:val="24"/>
          <w:szCs w:val="24"/>
        </w:rPr>
      </w:pPr>
      <w:r>
        <w:rPr>
          <w:rFonts w:ascii="Times New Roman" w:hAnsi="Times New Roman" w:cs="Times New Roman"/>
          <w:sz w:val="24"/>
          <w:szCs w:val="24"/>
        </w:rPr>
        <w:t>Two issues arise for determination in respect to the objection. These are;</w:t>
      </w:r>
    </w:p>
    <w:p w:rsidR="000A30C0" w:rsidRDefault="00BA392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objection was procedurally taken.</w:t>
      </w:r>
    </w:p>
    <w:p w:rsidR="000A30C0" w:rsidRDefault="00BA392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case should be referred to arbitrati</w:t>
      </w:r>
      <w:r>
        <w:rPr>
          <w:rFonts w:ascii="Times New Roman" w:hAnsi="Times New Roman" w:cs="Times New Roman"/>
          <w:sz w:val="24"/>
          <w:szCs w:val="24"/>
        </w:rPr>
        <w:t>on.</w:t>
      </w:r>
    </w:p>
    <w:p w:rsidR="000A30C0" w:rsidRDefault="00BA3927">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Whether the objection was procedurally taken.</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i/>
          <w:iCs/>
          <w:sz w:val="24"/>
          <w:szCs w:val="24"/>
        </w:rPr>
        <w:t xml:space="preserve"> Mabwe</w:t>
      </w:r>
      <w:r>
        <w:rPr>
          <w:rFonts w:ascii="Times New Roman" w:hAnsi="Times New Roman" w:cs="Times New Roman"/>
          <w:sz w:val="24"/>
          <w:szCs w:val="24"/>
        </w:rPr>
        <w:t xml:space="preserve"> for the plaintiff argued that the  preliminary point was filed outside the provisions of the Rules, in a trial matter that is ripe for hearing and it raises no issues of law and must be treated as invalid. She urged the court to dismiss it and  proceed to</w:t>
      </w:r>
      <w:r>
        <w:rPr>
          <w:rFonts w:ascii="Times New Roman" w:hAnsi="Times New Roman" w:cs="Times New Roman"/>
          <w:sz w:val="24"/>
          <w:szCs w:val="24"/>
        </w:rPr>
        <w:t xml:space="preserve"> trial. </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the above assertions she cited rule 12 of the High Court (Commercial Division) Rules, 2020 which  provides for the filing of an exception, Special Plea or Plea together with the bundle of evidence. Where no Special Plea or exception </w:t>
      </w:r>
      <w:r>
        <w:rPr>
          <w:rFonts w:ascii="Times New Roman" w:hAnsi="Times New Roman" w:cs="Times New Roman"/>
          <w:sz w:val="24"/>
          <w:szCs w:val="24"/>
        </w:rPr>
        <w:t>has been filed, after the conduct of the case management meeting, the matter must be referred for trial in terms of R17 (1) (d), it was further reasoned.</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 for the plaintiff that a special plea cannot be pleaded within a plea for the m</w:t>
      </w:r>
      <w:r>
        <w:rPr>
          <w:rFonts w:ascii="Times New Roman" w:hAnsi="Times New Roman" w:cs="Times New Roman"/>
          <w:sz w:val="24"/>
          <w:szCs w:val="24"/>
        </w:rPr>
        <w:t xml:space="preserve">erits. see </w:t>
      </w:r>
      <w:r>
        <w:rPr>
          <w:rFonts w:ascii="Times New Roman" w:hAnsi="Times New Roman" w:cs="Times New Roman"/>
          <w:i/>
          <w:iCs/>
          <w:sz w:val="24"/>
          <w:szCs w:val="24"/>
        </w:rPr>
        <w:t xml:space="preserve"> Sammys Group (Pvt) Ltd</w:t>
      </w:r>
      <w:r>
        <w:rPr>
          <w:rFonts w:ascii="Times New Roman" w:hAnsi="Times New Roman" w:cs="Times New Roman"/>
          <w:sz w:val="24"/>
          <w:szCs w:val="24"/>
        </w:rPr>
        <w:t xml:space="preserve"> v </w:t>
      </w:r>
      <w:r>
        <w:rPr>
          <w:rFonts w:ascii="Times New Roman" w:hAnsi="Times New Roman" w:cs="Times New Roman"/>
          <w:i/>
          <w:iCs/>
          <w:sz w:val="24"/>
          <w:szCs w:val="24"/>
        </w:rPr>
        <w:t>Meyburgh</w:t>
      </w:r>
      <w:r>
        <w:rPr>
          <w:rFonts w:ascii="Times New Roman" w:hAnsi="Times New Roman" w:cs="Times New Roman"/>
          <w:sz w:val="24"/>
          <w:szCs w:val="24"/>
        </w:rPr>
        <w:t xml:space="preserve"> </w:t>
      </w:r>
      <w:r>
        <w:rPr>
          <w:rFonts w:ascii="Times New Roman" w:hAnsi="Times New Roman" w:cs="Times New Roman"/>
          <w:i/>
          <w:iCs/>
          <w:sz w:val="24"/>
          <w:szCs w:val="24"/>
        </w:rPr>
        <w:t xml:space="preserve">(NO) &amp; Ors </w:t>
      </w:r>
      <w:r>
        <w:rPr>
          <w:rFonts w:ascii="Times New Roman" w:hAnsi="Times New Roman" w:cs="Times New Roman"/>
          <w:sz w:val="24"/>
          <w:szCs w:val="24"/>
        </w:rPr>
        <w:t xml:space="preserve">S-45-15. In the absence of filing a special plea, it was further argued, the matter must be referred to trial and the dispute  will be dealt with during trial.  The plaintiff relied on </w:t>
      </w:r>
      <w:r>
        <w:rPr>
          <w:rFonts w:ascii="Times New Roman" w:hAnsi="Times New Roman" w:cs="Times New Roman"/>
          <w:i/>
          <w:iCs/>
          <w:sz w:val="24"/>
          <w:szCs w:val="24"/>
        </w:rPr>
        <w:t>Allied Bank Lt</w:t>
      </w:r>
      <w:r>
        <w:rPr>
          <w:rFonts w:ascii="Times New Roman" w:hAnsi="Times New Roman" w:cs="Times New Roman"/>
          <w:i/>
          <w:iCs/>
          <w:sz w:val="24"/>
          <w:szCs w:val="24"/>
        </w:rPr>
        <w:t xml:space="preserve">d </w:t>
      </w:r>
      <w:r>
        <w:rPr>
          <w:rFonts w:ascii="Times New Roman" w:hAnsi="Times New Roman" w:cs="Times New Roman"/>
          <w:sz w:val="24"/>
          <w:szCs w:val="24"/>
        </w:rPr>
        <w:t xml:space="preserve">v </w:t>
      </w:r>
      <w:r>
        <w:rPr>
          <w:rFonts w:ascii="Times New Roman" w:hAnsi="Times New Roman" w:cs="Times New Roman"/>
          <w:i/>
          <w:iCs/>
          <w:sz w:val="24"/>
          <w:szCs w:val="24"/>
        </w:rPr>
        <w:t>Dengu &amp; Anor</w:t>
      </w:r>
      <w:r>
        <w:rPr>
          <w:rFonts w:ascii="Times New Roman" w:hAnsi="Times New Roman" w:cs="Times New Roman"/>
          <w:sz w:val="24"/>
          <w:szCs w:val="24"/>
        </w:rPr>
        <w:t xml:space="preserve"> S-52-16, where the court had this to say, </w:t>
      </w:r>
    </w:p>
    <w:p w:rsidR="000A30C0" w:rsidRDefault="00BA3927">
      <w:pPr>
        <w:spacing w:line="240" w:lineRule="auto"/>
        <w:ind w:firstLine="720"/>
        <w:jc w:val="both"/>
        <w:rPr>
          <w:rFonts w:ascii="Times New Roman" w:hAnsi="Times New Roman" w:cs="Times New Roman"/>
          <w:i/>
          <w:sz w:val="24"/>
          <w:szCs w:val="24"/>
          <w:u w:val="single"/>
        </w:rPr>
      </w:pPr>
      <w:r>
        <w:rPr>
          <w:rFonts w:ascii="Times New Roman" w:hAnsi="Times New Roman" w:cs="Times New Roman"/>
          <w:i/>
          <w:sz w:val="24"/>
          <w:szCs w:val="24"/>
        </w:rPr>
        <w:t>“</w:t>
      </w:r>
      <w:r>
        <w:rPr>
          <w:rFonts w:ascii="Times New Roman" w:hAnsi="Times New Roman" w:cs="Times New Roman"/>
          <w:iCs/>
        </w:rPr>
        <w:t xml:space="preserve">The fact that the issue of </w:t>
      </w:r>
      <w:r>
        <w:rPr>
          <w:rFonts w:ascii="Times New Roman" w:hAnsi="Times New Roman" w:cs="Times New Roman"/>
          <w:i/>
        </w:rPr>
        <w:t>locus standi</w:t>
      </w:r>
      <w:r>
        <w:rPr>
          <w:rFonts w:ascii="Times New Roman" w:hAnsi="Times New Roman" w:cs="Times New Roman"/>
          <w:iCs/>
        </w:rPr>
        <w:t xml:space="preserve"> was a point of law which could be taken at any stage in the proceedings could not assist the respondents. Although it is trite that a point of law can be r</w:t>
      </w:r>
      <w:r>
        <w:rPr>
          <w:rFonts w:ascii="Times New Roman" w:hAnsi="Times New Roman" w:cs="Times New Roman"/>
          <w:iCs/>
        </w:rPr>
        <w:t xml:space="preserve">aised at any stage during proceedings, </w:t>
      </w:r>
      <w:r>
        <w:rPr>
          <w:rFonts w:ascii="Times New Roman" w:hAnsi="Times New Roman" w:cs="Times New Roman"/>
          <w:iCs/>
          <w:u w:val="single"/>
        </w:rPr>
        <w:t>that does not mean that the point of law can be raised anyhow</w:t>
      </w:r>
      <w:r>
        <w:rPr>
          <w:rFonts w:ascii="Times New Roman" w:hAnsi="Times New Roman" w:cs="Times New Roman"/>
          <w:iCs/>
        </w:rPr>
        <w:t xml:space="preserve">. In order for one to raise a point of law validly at any stage, </w:t>
      </w:r>
      <w:r>
        <w:rPr>
          <w:rFonts w:ascii="Times New Roman" w:hAnsi="Times New Roman" w:cs="Times New Roman"/>
          <w:iCs/>
          <w:u w:val="single"/>
        </w:rPr>
        <w:t xml:space="preserve">notice must be given to the other party of the intention to raise the point. There must be </w:t>
      </w:r>
      <w:r>
        <w:rPr>
          <w:rFonts w:ascii="Times New Roman" w:hAnsi="Times New Roman" w:cs="Times New Roman"/>
          <w:iCs/>
          <w:u w:val="single"/>
        </w:rPr>
        <w:t>a formal way of raising the point</w:t>
      </w:r>
      <w:r>
        <w:rPr>
          <w:rFonts w:ascii="Times New Roman" w:hAnsi="Times New Roman" w:cs="Times New Roman"/>
          <w:iCs/>
        </w:rPr>
        <w:t xml:space="preserve">. In this case, the issue was raised in correspondence between the parties. The issue of </w:t>
      </w:r>
      <w:r>
        <w:rPr>
          <w:rFonts w:ascii="Times New Roman" w:hAnsi="Times New Roman" w:cs="Times New Roman"/>
          <w:i/>
        </w:rPr>
        <w:t>locus standi</w:t>
      </w:r>
      <w:r>
        <w:rPr>
          <w:rFonts w:ascii="Times New Roman" w:hAnsi="Times New Roman" w:cs="Times New Roman"/>
          <w:iCs/>
        </w:rPr>
        <w:t xml:space="preserve"> was not properly </w:t>
      </w:r>
      <w:r>
        <w:rPr>
          <w:rFonts w:ascii="Times New Roman" w:hAnsi="Times New Roman" w:cs="Times New Roman"/>
          <w:iCs/>
          <w:lang w:val="en-US"/>
        </w:rPr>
        <w:t>p</w:t>
      </w:r>
      <w:r>
        <w:rPr>
          <w:rFonts w:ascii="Times New Roman" w:hAnsi="Times New Roman" w:cs="Times New Roman"/>
          <w:iCs/>
        </w:rPr>
        <w:t xml:space="preserve">leaded by the respondent. </w:t>
      </w:r>
      <w:r>
        <w:rPr>
          <w:rFonts w:ascii="Times New Roman" w:hAnsi="Times New Roman" w:cs="Times New Roman"/>
          <w:iCs/>
          <w:u w:val="single"/>
        </w:rPr>
        <w:t xml:space="preserve">The court </w:t>
      </w:r>
      <w:r>
        <w:rPr>
          <w:rFonts w:ascii="Times New Roman" w:hAnsi="Times New Roman" w:cs="Times New Roman"/>
          <w:i/>
          <w:u w:val="single"/>
        </w:rPr>
        <w:t>a quo</w:t>
      </w:r>
      <w:r>
        <w:rPr>
          <w:rFonts w:ascii="Times New Roman" w:hAnsi="Times New Roman" w:cs="Times New Roman"/>
          <w:iCs/>
          <w:u w:val="single"/>
        </w:rPr>
        <w:t xml:space="preserve"> erred in accepting the </w:t>
      </w:r>
      <w:r>
        <w:rPr>
          <w:rFonts w:ascii="Times New Roman" w:hAnsi="Times New Roman" w:cs="Times New Roman"/>
          <w:iCs/>
          <w:u w:val="single"/>
          <w:lang w:val="en-US"/>
        </w:rPr>
        <w:t>p</w:t>
      </w:r>
      <w:r>
        <w:rPr>
          <w:rFonts w:ascii="Times New Roman" w:hAnsi="Times New Roman" w:cs="Times New Roman"/>
          <w:iCs/>
          <w:u w:val="single"/>
        </w:rPr>
        <w:t xml:space="preserve">lea of lack of </w:t>
      </w:r>
      <w:r>
        <w:rPr>
          <w:rFonts w:ascii="Times New Roman" w:hAnsi="Times New Roman" w:cs="Times New Roman"/>
          <w:i/>
          <w:u w:val="single"/>
        </w:rPr>
        <w:t xml:space="preserve">locus standi </w:t>
      </w:r>
      <w:r>
        <w:rPr>
          <w:rFonts w:ascii="Times New Roman" w:hAnsi="Times New Roman" w:cs="Times New Roman"/>
          <w:iCs/>
          <w:u w:val="single"/>
        </w:rPr>
        <w:t xml:space="preserve">which was not properly raised.” </w:t>
      </w:r>
      <w:r>
        <w:rPr>
          <w:rFonts w:ascii="Times New Roman" w:hAnsi="Times New Roman" w:cs="Times New Roman"/>
          <w:i/>
          <w:sz w:val="24"/>
          <w:szCs w:val="24"/>
          <w:u w:val="single"/>
        </w:rPr>
        <w:t xml:space="preserve"> </w:t>
      </w:r>
      <w:r>
        <w:rPr>
          <w:rFonts w:ascii="Times New Roman" w:hAnsi="Times New Roman" w:cs="Times New Roman"/>
          <w:i/>
          <w:sz w:val="24"/>
          <w:szCs w:val="24"/>
        </w:rPr>
        <w:t>(my emphasis).</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Pr>
          <w:rFonts w:ascii="Times New Roman" w:hAnsi="Times New Roman" w:cs="Times New Roman"/>
          <w:i/>
          <w:iCs/>
          <w:sz w:val="24"/>
          <w:szCs w:val="24"/>
        </w:rPr>
        <w:t>Mapuranga</w:t>
      </w:r>
      <w:r>
        <w:rPr>
          <w:rFonts w:ascii="Times New Roman" w:hAnsi="Times New Roman" w:cs="Times New Roman"/>
          <w:sz w:val="24"/>
          <w:szCs w:val="24"/>
        </w:rPr>
        <w:t xml:space="preserve"> on the contrary argued that it is an established principle of law that a preliminary point challenging the jurisdiction of this Honourable Court to determine the dispute between the parties goes </w:t>
      </w:r>
      <w:r>
        <w:rPr>
          <w:rFonts w:ascii="Times New Roman" w:hAnsi="Times New Roman" w:cs="Times New Roman"/>
          <w:sz w:val="24"/>
          <w:szCs w:val="24"/>
        </w:rPr>
        <w:t xml:space="preserve">to the root of the proceedings. It raises a critical point of law, which can be raised at any point see </w:t>
      </w:r>
      <w:r>
        <w:rPr>
          <w:rFonts w:ascii="Times New Roman" w:hAnsi="Times New Roman" w:cs="Times New Roman"/>
          <w:i/>
          <w:iCs/>
          <w:sz w:val="24"/>
          <w:szCs w:val="24"/>
        </w:rPr>
        <w:t>Muchakati</w:t>
      </w:r>
      <w:r>
        <w:rPr>
          <w:rFonts w:ascii="Times New Roman" w:hAnsi="Times New Roman" w:cs="Times New Roman"/>
          <w:sz w:val="24"/>
          <w:szCs w:val="24"/>
        </w:rPr>
        <w:t xml:space="preserve"> v. </w:t>
      </w:r>
      <w:r>
        <w:rPr>
          <w:rFonts w:ascii="Times New Roman" w:hAnsi="Times New Roman" w:cs="Times New Roman"/>
          <w:i/>
          <w:iCs/>
          <w:sz w:val="24"/>
          <w:szCs w:val="24"/>
        </w:rPr>
        <w:t>Netherburn Mine</w:t>
      </w:r>
      <w:r>
        <w:rPr>
          <w:rFonts w:ascii="Times New Roman" w:hAnsi="Times New Roman" w:cs="Times New Roman"/>
          <w:sz w:val="24"/>
          <w:szCs w:val="24"/>
        </w:rPr>
        <w:t xml:space="preserve"> 1996 (I) ZLR 153 (S) where the Supreme Court confirmed this position to the effect that a point of law that goes to the roo</w:t>
      </w:r>
      <w:r>
        <w:rPr>
          <w:rFonts w:ascii="Times New Roman" w:hAnsi="Times New Roman" w:cs="Times New Roman"/>
          <w:sz w:val="24"/>
          <w:szCs w:val="24"/>
        </w:rPr>
        <w:t xml:space="preserve">t of the matter can be raised at any time.  He further argued that  there is no rule of thumb to how points of law can be raised. He further said there was nothing irregular to raise an objection on a point of law simultaneously with a plea on the merits. </w:t>
      </w:r>
      <w:r>
        <w:rPr>
          <w:rFonts w:ascii="Times New Roman" w:hAnsi="Times New Roman" w:cs="Times New Roman"/>
          <w:sz w:val="24"/>
          <w:szCs w:val="24"/>
        </w:rPr>
        <w:t xml:space="preserve">He cited </w:t>
      </w:r>
      <w:r>
        <w:rPr>
          <w:rFonts w:ascii="Times New Roman" w:hAnsi="Times New Roman" w:cs="Times New Roman"/>
          <w:i/>
          <w:iCs/>
          <w:sz w:val="24"/>
          <w:szCs w:val="24"/>
        </w:rPr>
        <w:t>Cargill Zimbabwe</w:t>
      </w:r>
      <w:r>
        <w:rPr>
          <w:rFonts w:ascii="Times New Roman" w:hAnsi="Times New Roman" w:cs="Times New Roman"/>
          <w:sz w:val="24"/>
          <w:szCs w:val="24"/>
        </w:rPr>
        <w:t xml:space="preserve"> v </w:t>
      </w:r>
      <w:r>
        <w:rPr>
          <w:rFonts w:ascii="Times New Roman" w:hAnsi="Times New Roman" w:cs="Times New Roman"/>
          <w:i/>
          <w:iCs/>
          <w:sz w:val="24"/>
          <w:szCs w:val="24"/>
        </w:rPr>
        <w:t>Culveham Trading (Pvt) Ltd</w:t>
      </w:r>
      <w:r>
        <w:rPr>
          <w:rFonts w:ascii="Times New Roman" w:hAnsi="Times New Roman" w:cs="Times New Roman"/>
          <w:sz w:val="24"/>
          <w:szCs w:val="24"/>
        </w:rPr>
        <w:t xml:space="preserve"> HH 42/06 where the court remarked, </w:t>
      </w:r>
    </w:p>
    <w:p w:rsidR="000A30C0" w:rsidRDefault="00BA3927">
      <w:pPr>
        <w:spacing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Cs/>
        </w:rPr>
        <w:t xml:space="preserve">In case, no plea was filed to meet the claim. In the absence of a plea, no dispute arises between the parties. Secondly, it is my view that the filing of a plea on </w:t>
      </w:r>
      <w:r>
        <w:rPr>
          <w:rFonts w:ascii="Times New Roman" w:hAnsi="Times New Roman" w:cs="Times New Roman"/>
          <w:iCs/>
        </w:rPr>
        <w:t>the merits of the matter does not bar a defendant from simultaneously or thereafter raising the special plea seeking referral of the matter to arbitration.</w:t>
      </w:r>
      <w:r>
        <w:rPr>
          <w:rFonts w:ascii="Times New Roman" w:hAnsi="Times New Roman" w:cs="Times New Roman"/>
          <w:i/>
          <w:sz w:val="24"/>
          <w:szCs w:val="24"/>
        </w:rPr>
        <w:t>”</w:t>
      </w:r>
    </w:p>
    <w:p w:rsidR="000A30C0" w:rsidRDefault="000A30C0">
      <w:pPr>
        <w:spacing w:line="360" w:lineRule="auto"/>
        <w:jc w:val="both"/>
        <w:rPr>
          <w:rFonts w:ascii="Times New Roman" w:hAnsi="Times New Roman" w:cs="Times New Roman"/>
          <w:sz w:val="24"/>
          <w:szCs w:val="24"/>
        </w:rPr>
      </w:pPr>
    </w:p>
    <w:p w:rsidR="000A30C0" w:rsidRDefault="00BA3927">
      <w:pPr>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He urged the court  not to take a slavish approach regarding form but to entertain points of law that go to the root of the matter, regardless of the form in which they come. He further emphasized that the issue of jurisdiction is fundamental throughout th</w:t>
      </w:r>
      <w:r>
        <w:rPr>
          <w:rFonts w:ascii="Times New Roman" w:hAnsi="Times New Roman" w:cs="Times New Roman"/>
          <w:sz w:val="24"/>
          <w:szCs w:val="24"/>
        </w:rPr>
        <w:t xml:space="preserve">e cycle of the proceedings. The authority of </w:t>
      </w:r>
      <w:r>
        <w:rPr>
          <w:rFonts w:ascii="Times New Roman" w:hAnsi="Times New Roman" w:cs="Times New Roman"/>
          <w:i/>
          <w:iCs/>
          <w:sz w:val="24"/>
          <w:szCs w:val="24"/>
        </w:rPr>
        <w:t>Dube</w:t>
      </w:r>
      <w:r>
        <w:rPr>
          <w:rFonts w:ascii="Times New Roman" w:hAnsi="Times New Roman" w:cs="Times New Roman"/>
          <w:sz w:val="24"/>
          <w:szCs w:val="24"/>
        </w:rPr>
        <w:t xml:space="preserve"> v. </w:t>
      </w:r>
      <w:r>
        <w:rPr>
          <w:rFonts w:ascii="Times New Roman" w:hAnsi="Times New Roman" w:cs="Times New Roman"/>
          <w:i/>
          <w:iCs/>
          <w:sz w:val="24"/>
          <w:szCs w:val="24"/>
        </w:rPr>
        <w:t xml:space="preserve">Matseka </w:t>
      </w:r>
      <w:r>
        <w:rPr>
          <w:rFonts w:ascii="Times New Roman" w:hAnsi="Times New Roman" w:cs="Times New Roman"/>
          <w:sz w:val="24"/>
          <w:szCs w:val="24"/>
        </w:rPr>
        <w:t>SC 48-23 was cited which stated</w:t>
      </w:r>
      <w:r>
        <w:rPr>
          <w:rFonts w:ascii="Times New Roman" w:hAnsi="Times New Roman" w:cs="Times New Roman"/>
          <w:sz w:val="24"/>
          <w:szCs w:val="24"/>
          <w:lang w:val="en-US"/>
        </w:rPr>
        <w:t>,</w:t>
      </w:r>
      <w:r>
        <w:rPr>
          <w:rFonts w:ascii="Times New Roman" w:hAnsi="Times New Roman" w:cs="Times New Roman"/>
          <w:color w:val="FF0000"/>
          <w:sz w:val="24"/>
          <w:szCs w:val="24"/>
        </w:rPr>
        <w:t xml:space="preserve"> </w:t>
      </w:r>
    </w:p>
    <w:p w:rsidR="000A30C0" w:rsidRDefault="00BA3927">
      <w:pPr>
        <w:spacing w:line="240" w:lineRule="auto"/>
        <w:ind w:firstLine="720"/>
        <w:jc w:val="both"/>
        <w:rPr>
          <w:rFonts w:ascii="Times New Roman" w:hAnsi="Times New Roman" w:cs="Times New Roman"/>
          <w:iCs/>
          <w:sz w:val="24"/>
          <w:szCs w:val="24"/>
        </w:rPr>
      </w:pPr>
      <w:r>
        <w:rPr>
          <w:rFonts w:ascii="Times New Roman" w:hAnsi="Times New Roman" w:cs="Times New Roman"/>
          <w:i/>
          <w:sz w:val="24"/>
          <w:szCs w:val="24"/>
        </w:rPr>
        <w:t>“</w:t>
      </w:r>
      <w:r>
        <w:rPr>
          <w:rFonts w:ascii="Times New Roman" w:hAnsi="Times New Roman" w:cs="Times New Roman"/>
          <w:iCs/>
        </w:rPr>
        <w:t xml:space="preserve">It is trite that the issue of jurisdiction remains alive between the parties at every stage of the proceedings. It may therefore be raised at any stage of the matter…In any proceedings it is convenient that the issue of jurisdiction be raised right at the </w:t>
      </w:r>
      <w:r>
        <w:rPr>
          <w:rFonts w:ascii="Times New Roman" w:hAnsi="Times New Roman" w:cs="Times New Roman"/>
          <w:iCs/>
        </w:rPr>
        <w:t xml:space="preserve">commencement of proceedings to avoid wasting time and money. It is pointless to proceed with a trial in which the court has no jurisdiction.” </w:t>
      </w:r>
    </w:p>
    <w:p w:rsidR="000A30C0" w:rsidRDefault="00BA3927">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 xml:space="preserve">Article 8(1) of the UNCITRAL Model Law set out in the Arbitration Act [Chapter 7:15], was said to be pertinent </w:t>
      </w:r>
      <w:r>
        <w:rPr>
          <w:rFonts w:ascii="Times New Roman" w:hAnsi="Times New Roman" w:cs="Times New Roman"/>
          <w:sz w:val="24"/>
          <w:szCs w:val="24"/>
        </w:rPr>
        <w:t xml:space="preserve">to the objection. It provides that; </w:t>
      </w:r>
      <w:r>
        <w:rPr>
          <w:rFonts w:ascii="Times New Roman" w:hAnsi="Times New Roman" w:cs="Times New Roman"/>
          <w:iCs/>
        </w:rPr>
        <w:t>“A court before which proceedings are brought in a matter which is the subject of an arbitration agreement shall, if a party so requests not later than when submitting his first statement on the substance of the dispute,</w:t>
      </w:r>
      <w:r>
        <w:rPr>
          <w:rFonts w:ascii="Times New Roman" w:hAnsi="Times New Roman" w:cs="Times New Roman"/>
          <w:iCs/>
        </w:rPr>
        <w:t xml:space="preserve"> stay those proceedings and refer the parties to arbitration unless it finds that the agreement is null and void, inoperative or incapable of being performed.”</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i/>
          <w:iCs/>
          <w:sz w:val="24"/>
          <w:szCs w:val="24"/>
        </w:rPr>
        <w:t xml:space="preserve"> Mabwe</w:t>
      </w:r>
      <w:r>
        <w:rPr>
          <w:rFonts w:ascii="Times New Roman" w:hAnsi="Times New Roman" w:cs="Times New Roman"/>
          <w:sz w:val="24"/>
          <w:szCs w:val="24"/>
        </w:rPr>
        <w:t xml:space="preserve"> urged the court to go into a trial because the defendant pleaded the merits. I do not t</w:t>
      </w:r>
      <w:r>
        <w:rPr>
          <w:rFonts w:ascii="Times New Roman" w:hAnsi="Times New Roman" w:cs="Times New Roman"/>
          <w:sz w:val="24"/>
          <w:szCs w:val="24"/>
        </w:rPr>
        <w:t>hink that is the right approach because the issue of jurisdiction is key and if it succeeds its dispositive of the matter. I do not think it is unprocedural for the court to direct that the issue of jurisdiction be dealt with first because its determinatio</w:t>
      </w:r>
      <w:r>
        <w:rPr>
          <w:rFonts w:ascii="Times New Roman" w:hAnsi="Times New Roman" w:cs="Times New Roman"/>
          <w:sz w:val="24"/>
          <w:szCs w:val="24"/>
        </w:rPr>
        <w:t>n either opens or closes the door to the case.</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 objection to the jurisdiction of the court must be raised through a special plea. A special plea is governed by rule 12 of the High Court (Commercial Division) Rule 2021.  This rule lays down the procedure </w:t>
      </w:r>
      <w:r>
        <w:rPr>
          <w:rFonts w:ascii="Times New Roman" w:hAnsi="Times New Roman" w:cs="Times New Roman"/>
          <w:sz w:val="24"/>
          <w:szCs w:val="24"/>
        </w:rPr>
        <w:t>thus;</w:t>
      </w:r>
    </w:p>
    <w:p w:rsidR="000A30C0" w:rsidRDefault="00BA3927">
      <w:pPr>
        <w:pStyle w:val="Default"/>
        <w:ind w:firstLine="720"/>
        <w:jc w:val="both"/>
        <w:rPr>
          <w:iCs/>
          <w:sz w:val="22"/>
          <w:szCs w:val="22"/>
        </w:rPr>
      </w:pPr>
      <w:r>
        <w:rPr>
          <w:i/>
        </w:rPr>
        <w:t>“</w:t>
      </w:r>
      <w:r>
        <w:rPr>
          <w:iCs/>
          <w:sz w:val="22"/>
          <w:szCs w:val="22"/>
        </w:rPr>
        <w:t xml:space="preserve">(1) The defendant shall file a plea, exception, special plea or other answer within seven days of service of the plaintiff’s summons and declaration issued and served under these rules. </w:t>
      </w:r>
    </w:p>
    <w:p w:rsidR="000A30C0" w:rsidRDefault="00BA3927">
      <w:pPr>
        <w:spacing w:line="240" w:lineRule="auto"/>
        <w:jc w:val="both"/>
        <w:rPr>
          <w:rFonts w:ascii="Times New Roman" w:hAnsi="Times New Roman" w:cs="Times New Roman"/>
          <w:i/>
          <w:sz w:val="24"/>
          <w:szCs w:val="24"/>
        </w:rPr>
      </w:pPr>
      <w:r>
        <w:rPr>
          <w:rFonts w:ascii="Times New Roman" w:hAnsi="Times New Roman" w:cs="Times New Roman"/>
          <w:iCs/>
        </w:rPr>
        <w:t xml:space="preserve">(2) The plea, exception, </w:t>
      </w:r>
      <w:r>
        <w:rPr>
          <w:rFonts w:ascii="Times New Roman" w:hAnsi="Times New Roman" w:cs="Times New Roman"/>
          <w:iCs/>
          <w:u w:val="single"/>
        </w:rPr>
        <w:t>special plea</w:t>
      </w:r>
      <w:r>
        <w:rPr>
          <w:rFonts w:ascii="Times New Roman" w:hAnsi="Times New Roman" w:cs="Times New Roman"/>
          <w:iCs/>
        </w:rPr>
        <w:t xml:space="preserve"> or other answer </w:t>
      </w:r>
      <w:r>
        <w:rPr>
          <w:rFonts w:ascii="Times New Roman" w:hAnsi="Times New Roman" w:cs="Times New Roman"/>
          <w:iCs/>
          <w:u w:val="single"/>
        </w:rPr>
        <w:t>shall be</w:t>
      </w:r>
      <w:r>
        <w:rPr>
          <w:rFonts w:ascii="Times New Roman" w:hAnsi="Times New Roman" w:cs="Times New Roman"/>
          <w:iCs/>
          <w:u w:val="single"/>
        </w:rPr>
        <w:t xml:space="preserve"> supported by a paginated and indexed</w:t>
      </w:r>
      <w:r>
        <w:rPr>
          <w:rFonts w:ascii="Times New Roman" w:hAnsi="Times New Roman" w:cs="Times New Roman"/>
          <w:iCs/>
        </w:rPr>
        <w:t xml:space="preserve"> </w:t>
      </w:r>
      <w:r>
        <w:rPr>
          <w:rFonts w:ascii="Times New Roman" w:hAnsi="Times New Roman" w:cs="Times New Roman"/>
          <w:iCs/>
          <w:u w:val="single"/>
        </w:rPr>
        <w:t>bundle of all relevant and material documentary evidence and a summary of the evidence that the defendant relies on which shall be in Form No. CC 2.</w:t>
      </w:r>
      <w:r>
        <w:rPr>
          <w:rFonts w:ascii="Times New Roman" w:hAnsi="Times New Roman" w:cs="Times New Roman"/>
          <w:iCs/>
          <w:u w:val="single"/>
          <w:lang w:val="en-US"/>
        </w:rPr>
        <w:t>’’</w:t>
      </w:r>
      <w:r>
        <w:rPr>
          <w:rFonts w:ascii="Times New Roman" w:hAnsi="Times New Roman" w:cs="Times New Roman"/>
          <w:iCs/>
          <w:u w:val="single"/>
        </w:rPr>
        <w:t>)</w:t>
      </w:r>
      <w:r>
        <w:rPr>
          <w:rFonts w:ascii="Times New Roman" w:hAnsi="Times New Roman" w:cs="Times New Roman"/>
          <w:i/>
          <w:sz w:val="24"/>
          <w:szCs w:val="24"/>
          <w:u w:val="single"/>
        </w:rPr>
        <w:t xml:space="preserve"> </w:t>
      </w:r>
      <w:r>
        <w:rPr>
          <w:rFonts w:ascii="Times New Roman" w:hAnsi="Times New Roman" w:cs="Times New Roman"/>
          <w:i/>
          <w:sz w:val="24"/>
          <w:szCs w:val="24"/>
        </w:rPr>
        <w:t>(my emphasis).</w:t>
      </w:r>
    </w:p>
    <w:p w:rsidR="000A30C0" w:rsidRDefault="00BA3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w:t>
      </w:r>
      <w:r>
        <w:rPr>
          <w:rFonts w:ascii="Times New Roman" w:hAnsi="Times New Roman" w:cs="Times New Roman"/>
          <w:sz w:val="24"/>
          <w:szCs w:val="24"/>
        </w:rPr>
        <w:t>Ms</w:t>
      </w:r>
      <w:r>
        <w:rPr>
          <w:rFonts w:ascii="Times New Roman" w:hAnsi="Times New Roman" w:cs="Times New Roman"/>
          <w:i/>
          <w:iCs/>
          <w:sz w:val="24"/>
          <w:szCs w:val="24"/>
        </w:rPr>
        <w:t xml:space="preserve"> Mabwe</w:t>
      </w:r>
      <w:r>
        <w:rPr>
          <w:rFonts w:ascii="Times New Roman" w:hAnsi="Times New Roman" w:cs="Times New Roman"/>
          <w:sz w:val="24"/>
          <w:szCs w:val="24"/>
        </w:rPr>
        <w:t xml:space="preserve"> that while the objection to the jurisdiction is not a nullity, it is actually invalid because it does not comply with the rules. Its cure rests with an application for condonation to rectify it through a special plea. That was not done, so it remains inva</w:t>
      </w:r>
      <w:r>
        <w:rPr>
          <w:rFonts w:ascii="Times New Roman" w:hAnsi="Times New Roman" w:cs="Times New Roman"/>
          <w:sz w:val="24"/>
          <w:szCs w:val="24"/>
        </w:rPr>
        <w:t xml:space="preserve">lid.  A litigant who realizes that he has not complied with the requirements of a rule must, as soon as he becomes aware of the noncompliance, apply for condonation of the noncompliance with the rules, see Commissioner for </w:t>
      </w:r>
      <w:r>
        <w:rPr>
          <w:rFonts w:ascii="Times New Roman" w:hAnsi="Times New Roman" w:cs="Times New Roman"/>
          <w:i/>
          <w:iCs/>
          <w:sz w:val="24"/>
          <w:szCs w:val="24"/>
        </w:rPr>
        <w:t>Inland Revenue</w:t>
      </w:r>
      <w:r>
        <w:rPr>
          <w:rFonts w:ascii="Times New Roman" w:hAnsi="Times New Roman" w:cs="Times New Roman"/>
          <w:sz w:val="24"/>
          <w:szCs w:val="24"/>
        </w:rPr>
        <w:t xml:space="preserve"> v </w:t>
      </w:r>
      <w:r>
        <w:rPr>
          <w:rFonts w:ascii="Times New Roman" w:hAnsi="Times New Roman" w:cs="Times New Roman"/>
          <w:i/>
          <w:iCs/>
          <w:sz w:val="24"/>
          <w:szCs w:val="24"/>
        </w:rPr>
        <w:t xml:space="preserve">Burger </w:t>
      </w:r>
      <w:r>
        <w:rPr>
          <w:rFonts w:ascii="Times New Roman" w:hAnsi="Times New Roman" w:cs="Times New Roman"/>
          <w:sz w:val="24"/>
          <w:szCs w:val="24"/>
        </w:rPr>
        <w:t xml:space="preserve">1956 (4) </w:t>
      </w:r>
      <w:r>
        <w:rPr>
          <w:rFonts w:ascii="Times New Roman" w:hAnsi="Times New Roman" w:cs="Times New Roman"/>
          <w:sz w:val="24"/>
          <w:szCs w:val="24"/>
        </w:rPr>
        <w:t>SA.</w:t>
      </w:r>
    </w:p>
    <w:p w:rsidR="000A30C0" w:rsidRDefault="00BA3927">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objection is improperly before the court. In the premise there is no need to deal with the second issue.</w:t>
      </w:r>
    </w:p>
    <w:p w:rsidR="000A30C0" w:rsidRDefault="00BA3927">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0A30C0" w:rsidRDefault="00BA392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objection to the jurisdiction of the court be and is hereby struck out with costs.</w:t>
      </w:r>
    </w:p>
    <w:p w:rsidR="000A30C0" w:rsidRDefault="00BA392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shall proceed to trial in respect </w:t>
      </w:r>
      <w:r>
        <w:rPr>
          <w:rFonts w:ascii="Times New Roman" w:hAnsi="Times New Roman" w:cs="Times New Roman"/>
          <w:sz w:val="24"/>
          <w:szCs w:val="24"/>
        </w:rPr>
        <w:t>of the remaining issues.</w:t>
      </w:r>
    </w:p>
    <w:p w:rsidR="000A30C0" w:rsidRDefault="000A30C0">
      <w:pPr>
        <w:spacing w:line="360" w:lineRule="auto"/>
        <w:jc w:val="both"/>
        <w:rPr>
          <w:rFonts w:ascii="Times New Roman" w:hAnsi="Times New Roman" w:cs="Times New Roman"/>
          <w:sz w:val="24"/>
          <w:szCs w:val="24"/>
          <w:u w:val="single"/>
        </w:rPr>
      </w:pPr>
    </w:p>
    <w:p w:rsidR="000A30C0" w:rsidRDefault="000A30C0">
      <w:pPr>
        <w:spacing w:line="360" w:lineRule="auto"/>
        <w:jc w:val="both"/>
        <w:rPr>
          <w:rFonts w:ascii="Times New Roman" w:hAnsi="Times New Roman" w:cs="Times New Roman"/>
          <w:sz w:val="24"/>
          <w:szCs w:val="24"/>
          <w:u w:val="single"/>
        </w:rPr>
      </w:pPr>
    </w:p>
    <w:p w:rsidR="000A30C0" w:rsidRDefault="00BA392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Musemburi Legal Practice</w:t>
      </w:r>
      <w:r>
        <w:rPr>
          <w:rFonts w:ascii="Times New Roman" w:hAnsi="Times New Roman" w:cs="Times New Roman"/>
          <w:sz w:val="24"/>
          <w:szCs w:val="24"/>
        </w:rPr>
        <w:t>, plaintiff’s Legal Practitioners.</w:t>
      </w:r>
    </w:p>
    <w:p w:rsidR="000A30C0" w:rsidRDefault="00BA392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Saunyama Dondo,</w:t>
      </w:r>
      <w:r>
        <w:rPr>
          <w:rFonts w:ascii="Times New Roman" w:hAnsi="Times New Roman" w:cs="Times New Roman"/>
          <w:sz w:val="24"/>
          <w:szCs w:val="24"/>
        </w:rPr>
        <w:t xml:space="preserve"> defendant’s Legal Practitioners.</w:t>
      </w:r>
    </w:p>
    <w:p w:rsidR="000A30C0" w:rsidRDefault="000A30C0">
      <w:pPr>
        <w:spacing w:line="360" w:lineRule="auto"/>
        <w:jc w:val="both"/>
        <w:rPr>
          <w:rFonts w:ascii="Times New Roman" w:hAnsi="Times New Roman" w:cs="Times New Roman"/>
          <w:i/>
          <w:sz w:val="24"/>
          <w:szCs w:val="24"/>
        </w:rPr>
      </w:pPr>
    </w:p>
    <w:p w:rsidR="000A30C0" w:rsidRDefault="000A30C0">
      <w:pPr>
        <w:spacing w:line="360" w:lineRule="auto"/>
        <w:jc w:val="both"/>
        <w:rPr>
          <w:rFonts w:ascii="Times New Roman" w:hAnsi="Times New Roman" w:cs="Times New Roman"/>
          <w:i/>
          <w:sz w:val="24"/>
          <w:szCs w:val="24"/>
        </w:rPr>
      </w:pPr>
    </w:p>
    <w:p w:rsidR="000A30C0" w:rsidRDefault="000A30C0">
      <w:pPr>
        <w:spacing w:line="360" w:lineRule="auto"/>
        <w:jc w:val="both"/>
        <w:rPr>
          <w:rFonts w:ascii="Times New Roman" w:hAnsi="Times New Roman" w:cs="Times New Roman"/>
          <w:sz w:val="24"/>
          <w:szCs w:val="24"/>
        </w:rPr>
      </w:pPr>
    </w:p>
    <w:p w:rsidR="000A30C0" w:rsidRDefault="000A30C0">
      <w:pPr>
        <w:autoSpaceDE w:val="0"/>
        <w:autoSpaceDN w:val="0"/>
        <w:adjustRightInd w:val="0"/>
        <w:spacing w:after="0" w:line="360" w:lineRule="auto"/>
        <w:jc w:val="both"/>
        <w:rPr>
          <w:rFonts w:ascii="Times New Roman" w:hAnsi="Times New Roman" w:cs="Times New Roman"/>
          <w:bCs/>
          <w:sz w:val="24"/>
          <w:szCs w:val="24"/>
        </w:rPr>
      </w:pPr>
    </w:p>
    <w:p w:rsidR="000A30C0" w:rsidRDefault="000A30C0">
      <w:pPr>
        <w:autoSpaceDE w:val="0"/>
        <w:autoSpaceDN w:val="0"/>
        <w:adjustRightInd w:val="0"/>
        <w:spacing w:after="0" w:line="360" w:lineRule="auto"/>
        <w:jc w:val="both"/>
        <w:rPr>
          <w:rFonts w:ascii="Times New Roman" w:hAnsi="Times New Roman" w:cs="Times New Roman"/>
          <w:sz w:val="24"/>
          <w:szCs w:val="24"/>
          <w:lang w:eastAsia="en-ZW"/>
        </w:rPr>
      </w:pPr>
    </w:p>
    <w:sectPr w:rsidR="000A30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27" w:rsidRDefault="00BA3927">
      <w:pPr>
        <w:spacing w:line="240" w:lineRule="auto"/>
      </w:pPr>
      <w:r>
        <w:separator/>
      </w:r>
    </w:p>
  </w:endnote>
  <w:endnote w:type="continuationSeparator" w:id="0">
    <w:p w:rsidR="00BA3927" w:rsidRDefault="00BA3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27" w:rsidRDefault="00BA3927">
      <w:pPr>
        <w:spacing w:after="0"/>
      </w:pPr>
      <w:r>
        <w:separator/>
      </w:r>
    </w:p>
  </w:footnote>
  <w:footnote w:type="continuationSeparator" w:id="0">
    <w:p w:rsidR="00BA3927" w:rsidRDefault="00BA392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0A30C0" w:rsidRDefault="00BA3927">
        <w:pPr>
          <w:pStyle w:val="Header"/>
          <w:jc w:val="right"/>
        </w:pPr>
        <w:r>
          <w:fldChar w:fldCharType="begin"/>
        </w:r>
        <w:r>
          <w:instrText xml:space="preserve"> PAGE   \* MERGEFORMAT </w:instrText>
        </w:r>
        <w:r>
          <w:fldChar w:fldCharType="separate"/>
        </w:r>
        <w:r w:rsidR="009B0EB6">
          <w:rPr>
            <w:noProof/>
          </w:rPr>
          <w:t>3</w:t>
        </w:r>
        <w:r>
          <w:fldChar w:fldCharType="end"/>
        </w:r>
      </w:p>
      <w:p w:rsidR="000A30C0" w:rsidRDefault="00BA3927">
        <w:pPr>
          <w:pStyle w:val="Header"/>
          <w:jc w:val="right"/>
          <w:rPr>
            <w:lang w:val="en-US"/>
          </w:rPr>
        </w:pPr>
        <w:r>
          <w:rPr>
            <w:lang w:val="en-US"/>
          </w:rPr>
          <w:t>HH 147/25</w:t>
        </w:r>
      </w:p>
      <w:p w:rsidR="000A30C0" w:rsidRDefault="00BA3927">
        <w:pPr>
          <w:pStyle w:val="Header"/>
          <w:jc w:val="right"/>
        </w:pPr>
        <w:r>
          <w:rPr>
            <w:lang w:val="en-US"/>
          </w:rPr>
          <w:t xml:space="preserve">HCHC </w:t>
        </w:r>
        <w:r>
          <w:rPr>
            <w:lang w:val="en-US"/>
          </w:rPr>
          <w:t>211/24</w:t>
        </w:r>
      </w:p>
    </w:sdtContent>
  </w:sdt>
  <w:p w:rsidR="000A30C0" w:rsidRDefault="000A30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1C2"/>
    <w:multiLevelType w:val="multilevel"/>
    <w:tmpl w:val="014551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560763"/>
    <w:multiLevelType w:val="multilevel"/>
    <w:tmpl w:val="0F5607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A10B2"/>
    <w:multiLevelType w:val="multilevel"/>
    <w:tmpl w:val="34AA10B2"/>
    <w:lvl w:ilvl="0">
      <w:start w:val="1"/>
      <w:numFmt w:val="lowerLetter"/>
      <w:lvlText w:val="%1)"/>
      <w:lvlJc w:val="left"/>
      <w:pPr>
        <w:ind w:left="1080" w:hanging="360"/>
      </w:pPr>
      <w:rPr>
        <w:rFonts w:asciiTheme="minorHAnsi" w:hAnsiTheme="minorHAnsi" w:cstheme="minorBidi"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51A0B0E"/>
    <w:multiLevelType w:val="multilevel"/>
    <w:tmpl w:val="551A0B0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A30C0"/>
    <w:rsid w:val="000B1B93"/>
    <w:rsid w:val="000F3C73"/>
    <w:rsid w:val="00271C49"/>
    <w:rsid w:val="002C0F77"/>
    <w:rsid w:val="002D76E1"/>
    <w:rsid w:val="002E09A2"/>
    <w:rsid w:val="002F54D3"/>
    <w:rsid w:val="00357306"/>
    <w:rsid w:val="00375216"/>
    <w:rsid w:val="003763CE"/>
    <w:rsid w:val="003A2A15"/>
    <w:rsid w:val="003B4A3D"/>
    <w:rsid w:val="00481232"/>
    <w:rsid w:val="00493685"/>
    <w:rsid w:val="004C490C"/>
    <w:rsid w:val="005568E2"/>
    <w:rsid w:val="005B5B9D"/>
    <w:rsid w:val="006010CB"/>
    <w:rsid w:val="00643FB9"/>
    <w:rsid w:val="00663A05"/>
    <w:rsid w:val="00675829"/>
    <w:rsid w:val="006C3BCE"/>
    <w:rsid w:val="00737377"/>
    <w:rsid w:val="00757008"/>
    <w:rsid w:val="007C0491"/>
    <w:rsid w:val="007F3A72"/>
    <w:rsid w:val="008C0E78"/>
    <w:rsid w:val="008E666E"/>
    <w:rsid w:val="008F6E30"/>
    <w:rsid w:val="009B0DD6"/>
    <w:rsid w:val="009B0EB6"/>
    <w:rsid w:val="00A828D8"/>
    <w:rsid w:val="00AC7855"/>
    <w:rsid w:val="00B0398A"/>
    <w:rsid w:val="00B13083"/>
    <w:rsid w:val="00B14700"/>
    <w:rsid w:val="00B3430D"/>
    <w:rsid w:val="00BA3927"/>
    <w:rsid w:val="00C1652E"/>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41E3ED0"/>
    <w:rsid w:val="071B07B5"/>
    <w:rsid w:val="07215F41"/>
    <w:rsid w:val="087040DB"/>
    <w:rsid w:val="08AB5A48"/>
    <w:rsid w:val="0F725466"/>
    <w:rsid w:val="10B57E5D"/>
    <w:rsid w:val="10F020EA"/>
    <w:rsid w:val="11670D99"/>
    <w:rsid w:val="12964D0E"/>
    <w:rsid w:val="1A2453EF"/>
    <w:rsid w:val="1FBA6080"/>
    <w:rsid w:val="268009F9"/>
    <w:rsid w:val="26AC2D80"/>
    <w:rsid w:val="285A2EFD"/>
    <w:rsid w:val="2861114D"/>
    <w:rsid w:val="2D7A7BAB"/>
    <w:rsid w:val="2F3017FB"/>
    <w:rsid w:val="3218123E"/>
    <w:rsid w:val="34DB5F68"/>
    <w:rsid w:val="397C259E"/>
    <w:rsid w:val="39B131B3"/>
    <w:rsid w:val="3B3C7B17"/>
    <w:rsid w:val="3C721136"/>
    <w:rsid w:val="3CF735EA"/>
    <w:rsid w:val="3D833971"/>
    <w:rsid w:val="3DB823FF"/>
    <w:rsid w:val="405939A2"/>
    <w:rsid w:val="405C4927"/>
    <w:rsid w:val="42A43D08"/>
    <w:rsid w:val="48452CF3"/>
    <w:rsid w:val="493D0DE9"/>
    <w:rsid w:val="4DB45A88"/>
    <w:rsid w:val="50BB2D6C"/>
    <w:rsid w:val="53D53D19"/>
    <w:rsid w:val="543713F0"/>
    <w:rsid w:val="54F241EB"/>
    <w:rsid w:val="5C380CC4"/>
    <w:rsid w:val="62B74DC4"/>
    <w:rsid w:val="63A074B1"/>
    <w:rsid w:val="67991EE4"/>
    <w:rsid w:val="6D900673"/>
    <w:rsid w:val="6E0A574E"/>
    <w:rsid w:val="6E4F6056"/>
    <w:rsid w:val="72AA0ADE"/>
    <w:rsid w:val="72AB332E"/>
    <w:rsid w:val="753C1C4E"/>
    <w:rsid w:val="75823F55"/>
    <w:rsid w:val="765D5CB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53784-FA19-48F2-A8A4-F3342DAC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5655-A059-4B21-BFB7-EDC8082F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2025-03-14T09:13:00Z</dcterms:created>
  <dcterms:modified xsi:type="dcterms:W3CDTF">2025-03-14T09:13:00Z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4F44F8623AE14948A3CB216215773B5F_13</vt:lpwstr>
  </property>
</Properties>
</file>