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0F" w:rsidRDefault="001B4B0F" w:rsidP="001B4B0F">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NO.LC/H/234/2013</w:t>
      </w:r>
    </w:p>
    <w:p w:rsidR="001B4B0F" w:rsidRPr="005C33B3" w:rsidRDefault="001B4B0F" w:rsidP="001B4B0F">
      <w:pPr>
        <w:spacing w:line="360" w:lineRule="auto"/>
        <w:rPr>
          <w:b/>
          <w:sz w:val="22"/>
          <w:szCs w:val="22"/>
        </w:rPr>
      </w:pPr>
      <w:r w:rsidRPr="005C33B3">
        <w:rPr>
          <w:b/>
          <w:sz w:val="22"/>
          <w:szCs w:val="22"/>
        </w:rPr>
        <w:t xml:space="preserve">HARARE, </w:t>
      </w:r>
      <w:r>
        <w:rPr>
          <w:b/>
          <w:sz w:val="22"/>
          <w:szCs w:val="22"/>
        </w:rPr>
        <w:t>27 S</w:t>
      </w:r>
      <w:r w:rsidR="003D110E">
        <w:rPr>
          <w:b/>
          <w:sz w:val="22"/>
          <w:szCs w:val="22"/>
        </w:rPr>
        <w:t>E</w:t>
      </w:r>
      <w:r w:rsidR="00256C20">
        <w:rPr>
          <w:b/>
          <w:sz w:val="22"/>
          <w:szCs w:val="22"/>
        </w:rPr>
        <w:t>PTEMBER 2012</w:t>
      </w:r>
      <w:r w:rsidRPr="005C33B3">
        <w:rPr>
          <w:b/>
          <w:sz w:val="22"/>
          <w:szCs w:val="22"/>
        </w:rPr>
        <w:tab/>
      </w:r>
      <w:r w:rsidRPr="005C33B3">
        <w:rPr>
          <w:b/>
          <w:sz w:val="22"/>
          <w:szCs w:val="22"/>
        </w:rPr>
        <w:tab/>
      </w:r>
      <w:r>
        <w:rPr>
          <w:b/>
          <w:sz w:val="22"/>
          <w:szCs w:val="22"/>
        </w:rPr>
        <w:tab/>
        <w:t xml:space="preserve">         CASE NO. LC/H/492/2010</w:t>
      </w:r>
    </w:p>
    <w:p w:rsidR="001B4B0F" w:rsidRDefault="001B4B0F" w:rsidP="001B4B0F">
      <w:pPr>
        <w:spacing w:line="360" w:lineRule="auto"/>
      </w:pPr>
      <w:r>
        <w:t>In the matter between</w:t>
      </w:r>
    </w:p>
    <w:p w:rsidR="001B4B0F" w:rsidRDefault="001B4B0F" w:rsidP="001B4B0F">
      <w:pPr>
        <w:spacing w:line="360" w:lineRule="auto"/>
      </w:pPr>
    </w:p>
    <w:p w:rsidR="001B4B0F" w:rsidRDefault="001B4B0F" w:rsidP="001B4B0F">
      <w:pPr>
        <w:spacing w:line="360" w:lineRule="auto"/>
      </w:pPr>
    </w:p>
    <w:p w:rsidR="001B4B0F" w:rsidRPr="00EB5E52" w:rsidRDefault="001B4B0F" w:rsidP="001B4B0F">
      <w:pPr>
        <w:spacing w:line="360" w:lineRule="auto"/>
        <w:rPr>
          <w:b/>
        </w:rPr>
      </w:pPr>
      <w:r>
        <w:rPr>
          <w:b/>
        </w:rPr>
        <w:t>ANDREYA NDIRAYA</w:t>
      </w:r>
      <w:r>
        <w:rPr>
          <w:b/>
        </w:rPr>
        <w:tab/>
      </w:r>
      <w:r>
        <w:rPr>
          <w:b/>
        </w:rPr>
        <w:tab/>
      </w:r>
      <w:r>
        <w:rPr>
          <w:b/>
        </w:rPr>
        <w:tab/>
      </w:r>
      <w:r>
        <w:rPr>
          <w:b/>
        </w:rPr>
        <w:tab/>
      </w:r>
      <w:r w:rsidRPr="00EB5E52">
        <w:rPr>
          <w:b/>
        </w:rPr>
        <w:t>-</w:t>
      </w:r>
      <w:r w:rsidRPr="00EB5E52">
        <w:rPr>
          <w:b/>
        </w:rPr>
        <w:tab/>
      </w:r>
      <w:r>
        <w:rPr>
          <w:b/>
        </w:rPr>
        <w:tab/>
        <w:t>Appellant</w:t>
      </w:r>
    </w:p>
    <w:p w:rsidR="001B4B0F" w:rsidRPr="00C940AD" w:rsidRDefault="001B4B0F" w:rsidP="001B4B0F">
      <w:pPr>
        <w:spacing w:line="360" w:lineRule="auto"/>
        <w:rPr>
          <w:sz w:val="22"/>
          <w:szCs w:val="22"/>
        </w:rPr>
      </w:pPr>
      <w:r>
        <w:rPr>
          <w:sz w:val="22"/>
          <w:szCs w:val="22"/>
        </w:rPr>
        <w:t>And</w:t>
      </w:r>
    </w:p>
    <w:p w:rsidR="001B4B0F" w:rsidRPr="00EB5E52" w:rsidRDefault="001B4B0F" w:rsidP="001B4B0F">
      <w:pPr>
        <w:spacing w:line="360" w:lineRule="auto"/>
        <w:rPr>
          <w:b/>
        </w:rPr>
      </w:pPr>
      <w:r>
        <w:rPr>
          <w:b/>
        </w:rPr>
        <w:t>PRINTFLOW PRIVATE LIMITED</w:t>
      </w:r>
      <w:r>
        <w:rPr>
          <w:b/>
        </w:rPr>
        <w:tab/>
      </w:r>
      <w:r>
        <w:rPr>
          <w:b/>
        </w:rPr>
        <w:tab/>
      </w:r>
      <w:r w:rsidRPr="00EB5E52">
        <w:rPr>
          <w:b/>
        </w:rPr>
        <w:t>-</w:t>
      </w:r>
      <w:r>
        <w:rPr>
          <w:b/>
        </w:rPr>
        <w:tab/>
      </w:r>
      <w:r>
        <w:rPr>
          <w:b/>
        </w:rPr>
        <w:tab/>
      </w:r>
      <w:r w:rsidRPr="00EB5E52">
        <w:rPr>
          <w:b/>
        </w:rPr>
        <w:t>Respondent</w:t>
      </w:r>
    </w:p>
    <w:p w:rsidR="001B4B0F" w:rsidRDefault="001B4B0F" w:rsidP="001B4B0F">
      <w:pPr>
        <w:spacing w:line="360" w:lineRule="auto"/>
        <w:rPr>
          <w:b/>
        </w:rPr>
      </w:pPr>
    </w:p>
    <w:p w:rsidR="001B4B0F" w:rsidRPr="00C940AD" w:rsidRDefault="001B4B0F" w:rsidP="001B4B0F">
      <w:pPr>
        <w:spacing w:line="360" w:lineRule="auto"/>
        <w:rPr>
          <w:b/>
        </w:rPr>
      </w:pPr>
    </w:p>
    <w:p w:rsidR="001B4B0F" w:rsidRDefault="001B4B0F" w:rsidP="001B4B0F">
      <w:pPr>
        <w:spacing w:line="360" w:lineRule="auto"/>
      </w:pPr>
      <w:r w:rsidRPr="005919AB">
        <w:t xml:space="preserve">Before The </w:t>
      </w:r>
      <w:r>
        <w:t xml:space="preserve">Honourable B.T. </w:t>
      </w:r>
      <w:proofErr w:type="spellStart"/>
      <w:r>
        <w:t>Chivizhe</w:t>
      </w:r>
      <w:proofErr w:type="spellEnd"/>
      <w:r>
        <w:t xml:space="preserve">: President </w:t>
      </w:r>
    </w:p>
    <w:p w:rsidR="001B4B0F" w:rsidRDefault="001B4B0F" w:rsidP="001B4B0F">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T. </w:t>
      </w:r>
      <w:proofErr w:type="spellStart"/>
      <w:r>
        <w:rPr>
          <w:b/>
          <w:sz w:val="22"/>
          <w:szCs w:val="22"/>
        </w:rPr>
        <w:t>Katsuro</w:t>
      </w:r>
      <w:proofErr w:type="spellEnd"/>
      <w:r>
        <w:rPr>
          <w:b/>
          <w:sz w:val="22"/>
          <w:szCs w:val="22"/>
        </w:rPr>
        <w:t xml:space="preserve"> (Legal Practitioner)</w:t>
      </w:r>
    </w:p>
    <w:p w:rsidR="001B4B0F" w:rsidRDefault="001B4B0F" w:rsidP="001B4B0F">
      <w:pPr>
        <w:spacing w:line="360" w:lineRule="auto"/>
        <w:rPr>
          <w:b/>
          <w:sz w:val="22"/>
          <w:szCs w:val="22"/>
        </w:rPr>
      </w:pPr>
      <w:r>
        <w:rPr>
          <w:b/>
          <w:sz w:val="22"/>
          <w:szCs w:val="22"/>
        </w:rPr>
        <w:tab/>
      </w:r>
      <w:r>
        <w:rPr>
          <w:b/>
          <w:sz w:val="22"/>
          <w:szCs w:val="22"/>
        </w:rPr>
        <w:tab/>
      </w:r>
      <w:r>
        <w:rPr>
          <w:b/>
          <w:sz w:val="22"/>
          <w:szCs w:val="22"/>
        </w:rPr>
        <w:tab/>
      </w:r>
      <w:r>
        <w:rPr>
          <w:b/>
          <w:sz w:val="22"/>
          <w:szCs w:val="22"/>
        </w:rPr>
        <w:tab/>
        <w:t>Zimbabwe Legal Centre</w:t>
      </w:r>
    </w:p>
    <w:p w:rsidR="001B4B0F" w:rsidRPr="001B37E2" w:rsidRDefault="001B4B0F" w:rsidP="001B4B0F">
      <w:pPr>
        <w:spacing w:line="360" w:lineRule="auto"/>
        <w:rPr>
          <w:b/>
          <w:sz w:val="22"/>
          <w:szCs w:val="22"/>
        </w:rPr>
      </w:pPr>
    </w:p>
    <w:p w:rsidR="001B4B0F" w:rsidRDefault="001B4B0F" w:rsidP="001B4B0F">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T. </w:t>
      </w:r>
      <w:proofErr w:type="spellStart"/>
      <w:r>
        <w:rPr>
          <w:b/>
          <w:sz w:val="22"/>
          <w:szCs w:val="22"/>
        </w:rPr>
        <w:t>Tandi</w:t>
      </w:r>
      <w:proofErr w:type="spellEnd"/>
      <w:r>
        <w:rPr>
          <w:b/>
          <w:sz w:val="22"/>
          <w:szCs w:val="22"/>
        </w:rPr>
        <w:t xml:space="preserve"> – (Legal Practitioner)</w:t>
      </w:r>
    </w:p>
    <w:p w:rsidR="001B4B0F" w:rsidRPr="00F13B84" w:rsidRDefault="001B4B0F" w:rsidP="001B4B0F">
      <w:pPr>
        <w:spacing w:line="360" w:lineRule="auto"/>
        <w:rPr>
          <w:b/>
          <w:sz w:val="22"/>
          <w:szCs w:val="22"/>
        </w:rPr>
      </w:pPr>
      <w:r>
        <w:rPr>
          <w:b/>
          <w:sz w:val="22"/>
          <w:szCs w:val="22"/>
        </w:rPr>
        <w:tab/>
      </w:r>
      <w:r>
        <w:rPr>
          <w:b/>
          <w:sz w:val="22"/>
          <w:szCs w:val="22"/>
        </w:rPr>
        <w:tab/>
      </w:r>
      <w:r>
        <w:rPr>
          <w:b/>
          <w:sz w:val="22"/>
          <w:szCs w:val="22"/>
        </w:rPr>
        <w:tab/>
      </w:r>
      <w:r>
        <w:rPr>
          <w:b/>
          <w:sz w:val="22"/>
          <w:szCs w:val="22"/>
        </w:rPr>
        <w:tab/>
        <w:t xml:space="preserve">Kantor and </w:t>
      </w:r>
      <w:proofErr w:type="spellStart"/>
      <w:r>
        <w:rPr>
          <w:b/>
          <w:sz w:val="22"/>
          <w:szCs w:val="22"/>
        </w:rPr>
        <w:t>Immerman</w:t>
      </w:r>
      <w:proofErr w:type="spellEnd"/>
    </w:p>
    <w:p w:rsidR="001B4B0F" w:rsidRDefault="001B4B0F" w:rsidP="001B4B0F">
      <w:pPr>
        <w:spacing w:line="360" w:lineRule="auto"/>
        <w:rPr>
          <w:b/>
        </w:rPr>
      </w:pPr>
    </w:p>
    <w:p w:rsidR="001B4B0F" w:rsidRDefault="001B4B0F" w:rsidP="001B4B0F">
      <w:pPr>
        <w:spacing w:line="360" w:lineRule="auto"/>
        <w:rPr>
          <w:b/>
          <w:sz w:val="28"/>
          <w:szCs w:val="28"/>
        </w:rPr>
      </w:pPr>
    </w:p>
    <w:p w:rsidR="001B4B0F" w:rsidRDefault="001B4B0F" w:rsidP="001B4B0F">
      <w:pPr>
        <w:spacing w:line="360" w:lineRule="auto"/>
        <w:jc w:val="both"/>
        <w:rPr>
          <w:b/>
          <w:sz w:val="28"/>
          <w:szCs w:val="28"/>
        </w:rPr>
      </w:pPr>
      <w:r>
        <w:rPr>
          <w:b/>
          <w:sz w:val="28"/>
          <w:szCs w:val="28"/>
        </w:rPr>
        <w:t>CHIVIZHE, B.T</w:t>
      </w:r>
      <w:r w:rsidRPr="005919AB">
        <w:rPr>
          <w:b/>
          <w:sz w:val="28"/>
          <w:szCs w:val="28"/>
        </w:rPr>
        <w:t>.:</w:t>
      </w:r>
    </w:p>
    <w:p w:rsidR="001B4B0F" w:rsidRDefault="001B4B0F" w:rsidP="001B4B0F">
      <w:pPr>
        <w:spacing w:line="360" w:lineRule="auto"/>
        <w:jc w:val="both"/>
        <w:rPr>
          <w:b/>
          <w:sz w:val="28"/>
          <w:szCs w:val="28"/>
        </w:rPr>
      </w:pPr>
    </w:p>
    <w:p w:rsidR="001405F9" w:rsidRDefault="001B4B0F" w:rsidP="00293728">
      <w:pPr>
        <w:spacing w:line="360" w:lineRule="auto"/>
        <w:jc w:val="both"/>
      </w:pPr>
      <w:r>
        <w:tab/>
        <w:t xml:space="preserve">The appeal is noted against the arbitral award handed down on 3 May, 2010 </w:t>
      </w:r>
      <w:r w:rsidR="004728B5">
        <w:t>wherein</w:t>
      </w:r>
      <w:r w:rsidR="008D1136">
        <w:t xml:space="preserve"> the Arbitrator upheld the conviction and consequently dismissal of Appellant by the Respondent for violation of the applicable code.</w:t>
      </w:r>
    </w:p>
    <w:p w:rsidR="008D1136" w:rsidRDefault="008D1136" w:rsidP="00293728">
      <w:pPr>
        <w:spacing w:line="360" w:lineRule="auto"/>
        <w:jc w:val="both"/>
      </w:pPr>
    </w:p>
    <w:p w:rsidR="008D1136" w:rsidRDefault="008D1136" w:rsidP="00293728">
      <w:pPr>
        <w:spacing w:line="360" w:lineRule="auto"/>
        <w:jc w:val="both"/>
      </w:pPr>
      <w:r>
        <w:tab/>
        <w:t>The material background facts are as follows:</w:t>
      </w:r>
    </w:p>
    <w:p w:rsidR="008D1136" w:rsidRDefault="008D1136" w:rsidP="00293728">
      <w:pPr>
        <w:spacing w:line="360" w:lineRule="auto"/>
        <w:jc w:val="both"/>
      </w:pPr>
      <w:r>
        <w:t>The Appellant was em</w:t>
      </w:r>
      <w:r w:rsidR="00250CC9">
        <w:t>ployed by the Respondent as a Fo</w:t>
      </w:r>
      <w:r>
        <w:t>reman, a managerial position.  He was arraigned before a disciplinary hearing authority on the 5</w:t>
      </w:r>
      <w:r w:rsidRPr="008D1136">
        <w:rPr>
          <w:vertAlign w:val="superscript"/>
        </w:rPr>
        <w:t>th</w:t>
      </w:r>
      <w:r>
        <w:t xml:space="preserve"> of November, 2009 on allegations of 3 violations of</w:t>
      </w:r>
      <w:r w:rsidR="00B24F0A">
        <w:t xml:space="preserve"> </w:t>
      </w:r>
      <w:r w:rsidR="00B24F0A" w:rsidRPr="00E105DE">
        <w:rPr>
          <w:b/>
        </w:rPr>
        <w:t>Statutory Instrument 15 of 2006</w:t>
      </w:r>
      <w:r w:rsidR="00B24F0A">
        <w:t xml:space="preserve"> </w:t>
      </w:r>
      <w:r w:rsidR="00E74C0E">
        <w:t xml:space="preserve">of the </w:t>
      </w:r>
      <w:r w:rsidR="00E74C0E" w:rsidRPr="00BF776D">
        <w:rPr>
          <w:b/>
        </w:rPr>
        <w:t>National Code</w:t>
      </w:r>
      <w:r w:rsidR="00E74C0E">
        <w:t xml:space="preserve"> </w:t>
      </w:r>
      <w:r w:rsidR="00E74C0E" w:rsidRPr="00E105DE">
        <w:rPr>
          <w:b/>
        </w:rPr>
        <w:t>Section 4 (a)</w:t>
      </w:r>
      <w:r w:rsidR="00E74C0E">
        <w:t xml:space="preserve"> </w:t>
      </w:r>
      <w:r w:rsidR="00B24F0A">
        <w:t>i.e. any act of conduct or omission inconsistent with the fulfillment of the express or implied conditions of his or her contract.  The charges were founded on allegations that Appellant had;</w:t>
      </w:r>
    </w:p>
    <w:p w:rsidR="00B24F0A" w:rsidRDefault="00B24F0A" w:rsidP="00B24F0A">
      <w:pPr>
        <w:pStyle w:val="ListParagraph"/>
        <w:numPr>
          <w:ilvl w:val="0"/>
          <w:numId w:val="1"/>
        </w:numPr>
        <w:spacing w:line="360" w:lineRule="auto"/>
        <w:jc w:val="both"/>
      </w:pPr>
      <w:r>
        <w:t>Operated a private office in the Binding basement.</w:t>
      </w:r>
    </w:p>
    <w:p w:rsidR="00B24F0A" w:rsidRDefault="00B24F0A" w:rsidP="00B24F0A">
      <w:pPr>
        <w:pStyle w:val="ListParagraph"/>
        <w:numPr>
          <w:ilvl w:val="0"/>
          <w:numId w:val="1"/>
        </w:numPr>
        <w:spacing w:line="360" w:lineRule="auto"/>
        <w:jc w:val="both"/>
      </w:pPr>
      <w:r>
        <w:lastRenderedPageBreak/>
        <w:t>Kept a number of publications in the office without authority.</w:t>
      </w:r>
    </w:p>
    <w:p w:rsidR="003E68BF" w:rsidRDefault="00B24F0A" w:rsidP="00B24F0A">
      <w:pPr>
        <w:pStyle w:val="ListParagraph"/>
        <w:numPr>
          <w:ilvl w:val="0"/>
          <w:numId w:val="1"/>
        </w:numPr>
        <w:spacing w:line="360" w:lineRule="auto"/>
        <w:jc w:val="both"/>
      </w:pPr>
      <w:r>
        <w:t xml:space="preserve">When he was approached by External Auditors (Comptroller and Auditor General) to open the door for inspection in the course of their duties Appellant claimed that he had left the keys to the said office at home when he had them in his pocket.  His explanation at the time was that he did not </w:t>
      </w:r>
      <w:r w:rsidR="003940FD">
        <w:t xml:space="preserve">know </w:t>
      </w:r>
      <w:r>
        <w:t>that the persons were auditors not having been in</w:t>
      </w:r>
      <w:r w:rsidR="003E68BF">
        <w:t>formed of their pending visit.</w:t>
      </w:r>
    </w:p>
    <w:p w:rsidR="003E68BF" w:rsidRDefault="003E68BF" w:rsidP="003E68BF">
      <w:pPr>
        <w:pStyle w:val="ListParagraph"/>
        <w:spacing w:line="360" w:lineRule="auto"/>
        <w:jc w:val="both"/>
      </w:pPr>
    </w:p>
    <w:p w:rsidR="00DB6E53" w:rsidRDefault="00B24F0A" w:rsidP="00DB5542">
      <w:pPr>
        <w:spacing w:line="360" w:lineRule="auto"/>
        <w:ind w:firstLine="720"/>
        <w:jc w:val="both"/>
      </w:pPr>
      <w:r>
        <w:t xml:space="preserve">The </w:t>
      </w:r>
      <w:r w:rsidR="004A4297">
        <w:t>Disciplinary</w:t>
      </w:r>
      <w:r>
        <w:t xml:space="preserve"> Committee then imposed a Dismissal penalty.</w:t>
      </w:r>
      <w:r w:rsidR="003E68BF">
        <w:t xml:space="preserve">  </w:t>
      </w:r>
      <w:r w:rsidR="00DA79D5">
        <w:t xml:space="preserve">The Appellant was aggrieved by the decision.  He then approached the Labour officer with a </w:t>
      </w:r>
      <w:r w:rsidR="00315D6B">
        <w:t>complainant</w:t>
      </w:r>
      <w:r w:rsidR="00DA79D5">
        <w:t xml:space="preserve"> of Unfair Dismissal.  When the Labour Officer failed to conciliate he issued a Certificate of No Settlement and referred matter for </w:t>
      </w:r>
      <w:r w:rsidR="00894F3A">
        <w:t>compulsory arbitration.  The Arbitrator’s terms of reference were</w:t>
      </w:r>
      <w:r w:rsidR="00004070">
        <w:t>;</w:t>
      </w:r>
    </w:p>
    <w:p w:rsidR="00894F3A" w:rsidRDefault="00894F3A" w:rsidP="00894F3A">
      <w:pPr>
        <w:spacing w:line="360" w:lineRule="auto"/>
        <w:ind w:left="720"/>
        <w:jc w:val="both"/>
      </w:pPr>
      <w:r w:rsidRPr="00894F3A">
        <w:rPr>
          <w:rFonts w:ascii="Times New Roman" w:hAnsi="Times New Roman"/>
          <w:i/>
        </w:rPr>
        <w:t xml:space="preserve">“To determine whether the dismissal was fair or not.  </w:t>
      </w:r>
      <w:proofErr w:type="gramStart"/>
      <w:r w:rsidRPr="00894F3A">
        <w:rPr>
          <w:rFonts w:ascii="Times New Roman" w:hAnsi="Times New Roman"/>
          <w:i/>
        </w:rPr>
        <w:t>To determine whether the dismissal was procedural or not.</w:t>
      </w:r>
      <w:proofErr w:type="gramEnd"/>
      <w:r w:rsidRPr="00894F3A">
        <w:rPr>
          <w:rFonts w:ascii="Times New Roman" w:hAnsi="Times New Roman"/>
          <w:i/>
        </w:rPr>
        <w:t xml:space="preserve">  To determine the appropriate remedy</w:t>
      </w:r>
      <w:r>
        <w:t>”</w:t>
      </w:r>
    </w:p>
    <w:p w:rsidR="00DB6E53" w:rsidRDefault="00DB6E53" w:rsidP="00293728">
      <w:pPr>
        <w:spacing w:line="360" w:lineRule="auto"/>
        <w:jc w:val="both"/>
      </w:pPr>
    </w:p>
    <w:p w:rsidR="00722A87" w:rsidRDefault="00722A87" w:rsidP="00293728">
      <w:pPr>
        <w:spacing w:line="360" w:lineRule="auto"/>
        <w:jc w:val="both"/>
      </w:pPr>
      <w:r>
        <w:tab/>
        <w:t>The Arbitrator in his award found that the Appellant had been properly dismissed on the charges.  He consequently upheld the dismissal penalty.  Still dissatisfied the Appellant then noted the present appeal against the Arbitrator’s findings.</w:t>
      </w:r>
    </w:p>
    <w:p w:rsidR="00722A87" w:rsidRDefault="00722A87" w:rsidP="00293728">
      <w:pPr>
        <w:spacing w:line="360" w:lineRule="auto"/>
        <w:jc w:val="both"/>
      </w:pPr>
    </w:p>
    <w:p w:rsidR="00722A87" w:rsidRDefault="00722A87" w:rsidP="00293728">
      <w:pPr>
        <w:spacing w:line="360" w:lineRule="auto"/>
        <w:jc w:val="both"/>
      </w:pPr>
      <w:r>
        <w:tab/>
        <w:t>The appeal has been noted on the following grounds;</w:t>
      </w:r>
    </w:p>
    <w:p w:rsidR="00722A87" w:rsidRPr="00D76FDF" w:rsidRDefault="00722A87"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t>The Honourable Arbitrator erred at law misdirected himself by finding that the Appellant had committed the allege</w:t>
      </w:r>
      <w:r w:rsidR="00DB5542">
        <w:rPr>
          <w:rFonts w:ascii="Times New Roman" w:hAnsi="Times New Roman"/>
          <w:i/>
        </w:rPr>
        <w:t>d</w:t>
      </w:r>
      <w:r w:rsidRPr="00D76FDF">
        <w:rPr>
          <w:rFonts w:ascii="Times New Roman" w:hAnsi="Times New Roman"/>
          <w:i/>
        </w:rPr>
        <w:t xml:space="preserve"> misconduct.</w:t>
      </w:r>
    </w:p>
    <w:p w:rsidR="00722A87" w:rsidRPr="00D76FDF" w:rsidRDefault="00722A87"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t>The Honourable Arbitrator erred at law in upholding that the dismissal was fair and procedural.</w:t>
      </w:r>
    </w:p>
    <w:p w:rsidR="00722A87" w:rsidRPr="00D76FDF" w:rsidRDefault="00722A87"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t>The Honourable Arbitrator erred and misdirected himself at law in holding that the Appellant had committed the alleged misconduct whereas there was no substantial evidence linking the Appellant to the alleged misconduct.</w:t>
      </w:r>
    </w:p>
    <w:p w:rsidR="00722A87" w:rsidRPr="00D76FDF" w:rsidRDefault="00722A87"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t xml:space="preserve">The Honourable Arbitrator erred at law in relying on inferences and </w:t>
      </w:r>
      <w:r w:rsidR="00D76FDF" w:rsidRPr="00D76FDF">
        <w:rPr>
          <w:rFonts w:ascii="Times New Roman" w:hAnsi="Times New Roman"/>
          <w:i/>
        </w:rPr>
        <w:t>assumptions</w:t>
      </w:r>
      <w:r w:rsidRPr="00D76FDF">
        <w:rPr>
          <w:rFonts w:ascii="Times New Roman" w:hAnsi="Times New Roman"/>
          <w:i/>
        </w:rPr>
        <w:t xml:space="preserve"> and substantial </w:t>
      </w:r>
      <w:r w:rsidR="00D76FDF" w:rsidRPr="00D76FDF">
        <w:rPr>
          <w:rFonts w:ascii="Times New Roman" w:hAnsi="Times New Roman"/>
          <w:i/>
        </w:rPr>
        <w:t>evidence to come up with his determination.</w:t>
      </w:r>
    </w:p>
    <w:p w:rsidR="00D76FDF" w:rsidRPr="00D76FDF" w:rsidRDefault="00D76FDF"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lastRenderedPageBreak/>
        <w:t>The Honourable Arbitrator also made a glaring error and misdirected himself in finding that the hearing procedure was fair whereas the hearing committee was improperly constituted.</w:t>
      </w:r>
    </w:p>
    <w:p w:rsidR="00D76FDF" w:rsidRPr="00D76FDF" w:rsidRDefault="00FD0A70" w:rsidP="00722A87">
      <w:pPr>
        <w:pStyle w:val="ListParagraph"/>
        <w:numPr>
          <w:ilvl w:val="0"/>
          <w:numId w:val="2"/>
        </w:numPr>
        <w:spacing w:line="360" w:lineRule="auto"/>
        <w:jc w:val="both"/>
        <w:rPr>
          <w:rFonts w:ascii="Times New Roman" w:hAnsi="Times New Roman"/>
          <w:i/>
        </w:rPr>
      </w:pPr>
      <w:r>
        <w:rPr>
          <w:rFonts w:ascii="Times New Roman" w:hAnsi="Times New Roman"/>
          <w:i/>
        </w:rPr>
        <w:t>The Honourable A</w:t>
      </w:r>
      <w:r w:rsidRPr="00D76FDF">
        <w:rPr>
          <w:rFonts w:ascii="Times New Roman" w:hAnsi="Times New Roman"/>
          <w:i/>
        </w:rPr>
        <w:t>rbitrator erred at law in disregarding the fact that the withholding of Minute by the Respondent was fatally defective at law.</w:t>
      </w:r>
    </w:p>
    <w:p w:rsidR="00D76FDF" w:rsidRPr="00D76FDF" w:rsidRDefault="00D76FDF" w:rsidP="00722A87">
      <w:pPr>
        <w:pStyle w:val="ListParagraph"/>
        <w:numPr>
          <w:ilvl w:val="0"/>
          <w:numId w:val="2"/>
        </w:numPr>
        <w:spacing w:line="360" w:lineRule="auto"/>
        <w:jc w:val="both"/>
        <w:rPr>
          <w:rFonts w:ascii="Times New Roman" w:hAnsi="Times New Roman"/>
          <w:i/>
        </w:rPr>
      </w:pPr>
      <w:r w:rsidRPr="00D76FDF">
        <w:rPr>
          <w:rFonts w:ascii="Times New Roman" w:hAnsi="Times New Roman"/>
          <w:i/>
        </w:rPr>
        <w:t>The Arbitrator fatally erred at law to take into account the mitigating factor submitted to it by the Appellant in making the decision.</w:t>
      </w:r>
    </w:p>
    <w:p w:rsidR="00DB6E53" w:rsidRDefault="00DB6E53" w:rsidP="00293728">
      <w:pPr>
        <w:spacing w:line="360" w:lineRule="auto"/>
        <w:jc w:val="both"/>
      </w:pPr>
    </w:p>
    <w:p w:rsidR="002B79AD" w:rsidRDefault="002B79AD" w:rsidP="002B79AD">
      <w:pPr>
        <w:spacing w:line="360" w:lineRule="auto"/>
        <w:ind w:firstLine="720"/>
        <w:jc w:val="both"/>
      </w:pPr>
      <w:r>
        <w:t xml:space="preserve">The Respondent in its response contends that the issues raised in the Appellant’s grounds of appeal are issues of fact and not law.  The submission is based on the premise that by </w:t>
      </w:r>
      <w:r w:rsidR="00BC17A4">
        <w:t xml:space="preserve">virtue of </w:t>
      </w:r>
      <w:r w:rsidRPr="00951637">
        <w:rPr>
          <w:b/>
        </w:rPr>
        <w:t>Section 98 (10)</w:t>
      </w:r>
      <w:r>
        <w:t xml:space="preserve"> of the </w:t>
      </w:r>
      <w:r w:rsidRPr="00951637">
        <w:rPr>
          <w:b/>
        </w:rPr>
        <w:t>Labour Act</w:t>
      </w:r>
      <w:r>
        <w:t xml:space="preserve"> </w:t>
      </w:r>
      <w:r w:rsidR="00BC17A4" w:rsidRPr="00BC17A4">
        <w:rPr>
          <w:b/>
        </w:rPr>
        <w:t>[Chapter 28:01]</w:t>
      </w:r>
      <w:r w:rsidR="00BC17A4">
        <w:t xml:space="preserve"> appeal</w:t>
      </w:r>
      <w:r>
        <w:t xml:space="preserve">s to the Labour Court against </w:t>
      </w:r>
      <w:r w:rsidR="0050279E">
        <w:t xml:space="preserve">an </w:t>
      </w:r>
      <w:r>
        <w:t xml:space="preserve">Arbitrator’s </w:t>
      </w:r>
      <w:r w:rsidR="0050279E">
        <w:t xml:space="preserve">award </w:t>
      </w:r>
      <w:r>
        <w:t>can only be on question of law.</w:t>
      </w:r>
    </w:p>
    <w:p w:rsidR="00DB6E53" w:rsidRDefault="00DB6E53" w:rsidP="002B79AD">
      <w:pPr>
        <w:spacing w:line="360" w:lineRule="auto"/>
        <w:ind w:firstLine="720"/>
        <w:jc w:val="both"/>
      </w:pPr>
    </w:p>
    <w:p w:rsidR="00A86BE2" w:rsidRDefault="00A86BE2" w:rsidP="002B79AD">
      <w:pPr>
        <w:spacing w:line="360" w:lineRule="auto"/>
        <w:ind w:firstLine="720"/>
        <w:jc w:val="both"/>
      </w:pPr>
      <w:r>
        <w:t>The first issue to determine therefore is whether the grounds of appeal as filed by the Appellant do raise issues of law.  The</w:t>
      </w:r>
      <w:r w:rsidR="00346ED1">
        <w:t xml:space="preserve"> meaning of term “q</w:t>
      </w:r>
      <w:r>
        <w:t>uestion of law</w:t>
      </w:r>
      <w:r w:rsidR="00346ED1">
        <w:t>”</w:t>
      </w:r>
      <w:r>
        <w:t xml:space="preserve"> has received considerable </w:t>
      </w:r>
      <w:r w:rsidR="00FB2593">
        <w:t xml:space="preserve">attention </w:t>
      </w:r>
      <w:r>
        <w:t xml:space="preserve">in </w:t>
      </w:r>
      <w:r w:rsidR="00FB2593">
        <w:t>our jurisdiction</w:t>
      </w:r>
      <w:r>
        <w:t xml:space="preserve">.  The leading case is the oft cited case of </w:t>
      </w:r>
      <w:proofErr w:type="spellStart"/>
      <w:r w:rsidRPr="00346ED1">
        <w:rPr>
          <w:b/>
        </w:rPr>
        <w:t>Muzuva</w:t>
      </w:r>
      <w:proofErr w:type="spellEnd"/>
      <w:r w:rsidRPr="00346ED1">
        <w:rPr>
          <w:b/>
        </w:rPr>
        <w:t xml:space="preserve"> </w:t>
      </w:r>
      <w:proofErr w:type="spellStart"/>
      <w:r w:rsidRPr="00346ED1">
        <w:rPr>
          <w:b/>
        </w:rPr>
        <w:t>vs</w:t>
      </w:r>
      <w:proofErr w:type="spellEnd"/>
      <w:r w:rsidRPr="00346ED1">
        <w:rPr>
          <w:b/>
        </w:rPr>
        <w:t xml:space="preserve"> United Bottlers (</w:t>
      </w:r>
      <w:proofErr w:type="spellStart"/>
      <w:r w:rsidRPr="00346ED1">
        <w:rPr>
          <w:b/>
        </w:rPr>
        <w:t>Pvt</w:t>
      </w:r>
      <w:proofErr w:type="spellEnd"/>
      <w:r w:rsidRPr="00346ED1">
        <w:rPr>
          <w:b/>
        </w:rPr>
        <w:t>) Ltd 1994 (I) ZLR 217 (S).</w:t>
      </w:r>
      <w:r>
        <w:t xml:space="preserve">  In that </w:t>
      </w:r>
      <w:r w:rsidR="00346ED1">
        <w:t xml:space="preserve">decision the term “question of </w:t>
      </w:r>
      <w:r>
        <w:t>law</w:t>
      </w:r>
      <w:r w:rsidR="00346ED1">
        <w:t>” is classified into three distinct but related senses.  First it mean</w:t>
      </w:r>
      <w:r w:rsidR="00610F01">
        <w:t>s “a</w:t>
      </w:r>
      <w:r w:rsidR="00346ED1">
        <w:t xml:space="preserve"> question which the law has au</w:t>
      </w:r>
      <w:r w:rsidR="00DD5C3F">
        <w:t>thori</w:t>
      </w:r>
      <w:r w:rsidR="00346ED1">
        <w:t>tatively answered to the exclusion of the right of the court to answer the question as it twists</w:t>
      </w:r>
      <w:r w:rsidR="000D6A7B">
        <w:t xml:space="preserve"> far in accordance with what is considered to be the truth and justice of the matter.”  Second it means “a question to what he law is.  Thus an appeal on a question of law means an appeal in which the question for argument and determination is what the true rule of law </w:t>
      </w:r>
      <w:r w:rsidR="007A5D95">
        <w:t>is</w:t>
      </w:r>
      <w:r w:rsidR="000D6A7B">
        <w:t xml:space="preserve"> on a certain matter.”</w:t>
      </w:r>
      <w:r w:rsidR="00C432B4">
        <w:t xml:space="preserve">  Thirdly</w:t>
      </w:r>
      <w:r w:rsidR="007A5D95">
        <w:t xml:space="preserve"> it means “any question which is with the presence of </w:t>
      </w:r>
      <w:r w:rsidR="00DD5C3F">
        <w:t>the</w:t>
      </w:r>
      <w:r w:rsidR="007A5D95">
        <w:t xml:space="preserve"> Judge instead of the jury is called a question of law.”  The term question of law has also in recent times been discussed in the matter of </w:t>
      </w:r>
      <w:r w:rsidR="007A5D95" w:rsidRPr="007A5D95">
        <w:rPr>
          <w:b/>
        </w:rPr>
        <w:t>Sable Chemical Industries</w:t>
      </w:r>
      <w:r w:rsidR="007A5D95">
        <w:t xml:space="preserve"> </w:t>
      </w:r>
      <w:r w:rsidR="007A5D95" w:rsidRPr="007A5D95">
        <w:rPr>
          <w:b/>
        </w:rPr>
        <w:t xml:space="preserve">Limited </w:t>
      </w:r>
      <w:proofErr w:type="spellStart"/>
      <w:r w:rsidR="007A5D95" w:rsidRPr="007A5D95">
        <w:rPr>
          <w:b/>
        </w:rPr>
        <w:t>vs</w:t>
      </w:r>
      <w:proofErr w:type="spellEnd"/>
      <w:r w:rsidR="007A5D95" w:rsidRPr="007A5D95">
        <w:rPr>
          <w:b/>
        </w:rPr>
        <w:t xml:space="preserve"> David Peter Easterbrook SC 18/10</w:t>
      </w:r>
      <w:r w:rsidR="007A5D95">
        <w:t xml:space="preserve"> aptly cited by the Respondent .  In the matter </w:t>
      </w:r>
      <w:proofErr w:type="spellStart"/>
      <w:r w:rsidR="007A5D95" w:rsidRPr="00860FED">
        <w:rPr>
          <w:b/>
        </w:rPr>
        <w:t>Garwe</w:t>
      </w:r>
      <w:proofErr w:type="spellEnd"/>
      <w:r w:rsidR="007A5D95" w:rsidRPr="00860FED">
        <w:rPr>
          <w:b/>
        </w:rPr>
        <w:t xml:space="preserve"> JA</w:t>
      </w:r>
      <w:r w:rsidR="007A5D95">
        <w:t xml:space="preserve"> in placing reliance on the </w:t>
      </w:r>
      <w:proofErr w:type="spellStart"/>
      <w:r w:rsidR="007A5D95">
        <w:t>Muzuva</w:t>
      </w:r>
      <w:proofErr w:type="spellEnd"/>
      <w:r w:rsidR="007A5D95">
        <w:t xml:space="preserve"> decision adopted the same definition </w:t>
      </w:r>
      <w:r w:rsidR="0019428C">
        <w:t>referred to above</w:t>
      </w:r>
      <w:r w:rsidR="007A5D95">
        <w:t>.</w:t>
      </w:r>
    </w:p>
    <w:p w:rsidR="00860FED" w:rsidRDefault="00860FED" w:rsidP="002B79AD">
      <w:pPr>
        <w:spacing w:line="360" w:lineRule="auto"/>
        <w:ind w:firstLine="720"/>
        <w:jc w:val="both"/>
      </w:pPr>
    </w:p>
    <w:p w:rsidR="00A967B6" w:rsidRDefault="00860FED" w:rsidP="002B79AD">
      <w:pPr>
        <w:spacing w:line="360" w:lineRule="auto"/>
        <w:ind w:firstLine="720"/>
        <w:jc w:val="both"/>
        <w:rPr>
          <w:b/>
        </w:rPr>
      </w:pPr>
      <w:r>
        <w:lastRenderedPageBreak/>
        <w:t xml:space="preserve">There is yet a </w:t>
      </w:r>
      <w:r w:rsidR="00672416">
        <w:t>fourth</w:t>
      </w:r>
      <w:r>
        <w:t xml:space="preserve"> category which is based on gross misdirection on facts which is so unreasonable that no </w:t>
      </w:r>
      <w:r w:rsidR="009B4D2C">
        <w:t>reasonable person</w:t>
      </w:r>
      <w:r w:rsidR="00004070">
        <w:t xml:space="preserve"> who applied his position to th</w:t>
      </w:r>
      <w:r w:rsidR="009B4D2C">
        <w:t>e facts would arri</w:t>
      </w:r>
      <w:r w:rsidR="00D375D5">
        <w:t xml:space="preserve">ve at such a decision.  This was laid down in </w:t>
      </w:r>
      <w:r w:rsidR="009B4D2C" w:rsidRPr="009B4D2C">
        <w:rPr>
          <w:b/>
        </w:rPr>
        <w:t xml:space="preserve">Hama </w:t>
      </w:r>
      <w:proofErr w:type="spellStart"/>
      <w:r w:rsidR="009B4D2C" w:rsidRPr="009B4D2C">
        <w:rPr>
          <w:b/>
        </w:rPr>
        <w:t>vs</w:t>
      </w:r>
      <w:proofErr w:type="spellEnd"/>
      <w:r w:rsidR="009B4D2C" w:rsidRPr="009B4D2C">
        <w:rPr>
          <w:b/>
        </w:rPr>
        <w:t xml:space="preserve"> National Railways of Zimbabwe 1996 (I) ZLR 664 (S) National Foods Limited </w:t>
      </w:r>
      <w:proofErr w:type="spellStart"/>
      <w:r w:rsidR="009B4D2C" w:rsidRPr="009B4D2C">
        <w:rPr>
          <w:b/>
        </w:rPr>
        <w:t>vs</w:t>
      </w:r>
      <w:proofErr w:type="spellEnd"/>
      <w:r w:rsidR="009B4D2C" w:rsidRPr="009B4D2C">
        <w:rPr>
          <w:b/>
        </w:rPr>
        <w:t xml:space="preserve"> Stewart </w:t>
      </w:r>
      <w:proofErr w:type="spellStart"/>
      <w:r w:rsidR="009B4D2C" w:rsidRPr="009B4D2C">
        <w:rPr>
          <w:b/>
        </w:rPr>
        <w:t>Mugadza</w:t>
      </w:r>
      <w:proofErr w:type="spellEnd"/>
      <w:r w:rsidR="009B4D2C" w:rsidRPr="009B4D2C">
        <w:rPr>
          <w:b/>
        </w:rPr>
        <w:t xml:space="preserve"> SC 05/95</w:t>
      </w:r>
      <w:r w:rsidR="00A13FF5">
        <w:rPr>
          <w:b/>
        </w:rPr>
        <w:t>.</w:t>
      </w:r>
    </w:p>
    <w:p w:rsidR="00A967B6" w:rsidRDefault="00A967B6" w:rsidP="002B79AD">
      <w:pPr>
        <w:spacing w:line="360" w:lineRule="auto"/>
        <w:ind w:firstLine="720"/>
        <w:jc w:val="both"/>
        <w:rPr>
          <w:b/>
        </w:rPr>
      </w:pPr>
    </w:p>
    <w:p w:rsidR="00860FED" w:rsidRDefault="00A13FF5" w:rsidP="002B79AD">
      <w:pPr>
        <w:spacing w:line="360" w:lineRule="auto"/>
        <w:ind w:firstLine="720"/>
        <w:jc w:val="both"/>
      </w:pPr>
      <w:r>
        <w:t xml:space="preserve">Applying the principles set out in the cases referred to supra there is no doubt in my mind </w:t>
      </w:r>
      <w:r w:rsidR="00277DF5">
        <w:t xml:space="preserve">that </w:t>
      </w:r>
      <w:r>
        <w:t xml:space="preserve">the present appeal does not raise questions of law.  I find it </w:t>
      </w:r>
      <w:r w:rsidR="00C548A7">
        <w:t>convenient to address</w:t>
      </w:r>
      <w:r>
        <w:t xml:space="preserve"> each of the grounds of appeal in turn.</w:t>
      </w:r>
    </w:p>
    <w:p w:rsidR="00A13FF5" w:rsidRDefault="00A13FF5" w:rsidP="002B79AD">
      <w:pPr>
        <w:spacing w:line="360" w:lineRule="auto"/>
        <w:ind w:firstLine="720"/>
        <w:jc w:val="both"/>
      </w:pPr>
    </w:p>
    <w:p w:rsidR="00A13FF5" w:rsidRDefault="00A13FF5" w:rsidP="002B79AD">
      <w:pPr>
        <w:spacing w:line="360" w:lineRule="auto"/>
        <w:ind w:firstLine="720"/>
        <w:jc w:val="both"/>
      </w:pPr>
      <w:r>
        <w:t>In the first ground of appeal Appellant alleges that the Arbitrator</w:t>
      </w:r>
      <w:r w:rsidR="004D4A9F">
        <w:t xml:space="preserve"> committed misdirection by finding that the Appellant committed the alleged misconduct.  </w:t>
      </w:r>
      <w:r w:rsidR="0007723C">
        <w:t xml:space="preserve">The </w:t>
      </w:r>
      <w:r w:rsidR="00FD0A70">
        <w:t>finding</w:t>
      </w:r>
      <w:r w:rsidR="0007723C">
        <w:t xml:space="preserve"> by the Arbitrator was based on facts.  </w:t>
      </w:r>
      <w:r w:rsidR="009D6EC1">
        <w:t>There h</w:t>
      </w:r>
      <w:r w:rsidR="004D4A9F">
        <w:t xml:space="preserve">as </w:t>
      </w:r>
      <w:r w:rsidR="009D6EC1">
        <w:t xml:space="preserve">been </w:t>
      </w:r>
      <w:r w:rsidR="004D4A9F">
        <w:t xml:space="preserve">no submission </w:t>
      </w:r>
      <w:r w:rsidR="00032AD2">
        <w:t>by the Appellant that the Arbitrator</w:t>
      </w:r>
      <w:r w:rsidR="004D4A9F">
        <w:t xml:space="preserve"> misdirected himself on the facts such that no reasonable person who had applied his mind to the facts would have arrived at such a decision.</w:t>
      </w:r>
    </w:p>
    <w:p w:rsidR="004D4A9F" w:rsidRDefault="004D4A9F" w:rsidP="002B79AD">
      <w:pPr>
        <w:spacing w:line="360" w:lineRule="auto"/>
        <w:ind w:firstLine="720"/>
        <w:jc w:val="both"/>
      </w:pPr>
    </w:p>
    <w:p w:rsidR="004D4A9F" w:rsidRDefault="004D4A9F" w:rsidP="002B79AD">
      <w:pPr>
        <w:spacing w:line="360" w:lineRule="auto"/>
        <w:ind w:firstLine="720"/>
        <w:jc w:val="both"/>
      </w:pPr>
      <w:r>
        <w:t>The second ground of appeal the Appellant alleges the Arbitrator erred at law in upholding that the dismissal was fair and procedural.  The conclusion by the Arbitrator was clearly based on his factual findings that the proceedings were fair and procedural.  There is clearly no question of law raised in that ground.</w:t>
      </w:r>
    </w:p>
    <w:p w:rsidR="004D4A9F" w:rsidRDefault="004D4A9F" w:rsidP="002B79AD">
      <w:pPr>
        <w:spacing w:line="360" w:lineRule="auto"/>
        <w:ind w:firstLine="720"/>
        <w:jc w:val="both"/>
      </w:pPr>
    </w:p>
    <w:p w:rsidR="004D4A9F" w:rsidRDefault="004D4A9F" w:rsidP="002B79AD">
      <w:pPr>
        <w:spacing w:line="360" w:lineRule="auto"/>
        <w:ind w:firstLine="720"/>
        <w:jc w:val="both"/>
      </w:pPr>
      <w:r>
        <w:t>In the third ground the Appellant alleges that the Arbitrator erred and misdirected himself at law in concluding that the Appellant committed the alleged misconduct in the absence of substantial evidence linking Appellant to the misconduct.</w:t>
      </w:r>
      <w:r w:rsidR="00D3635A">
        <w:t xml:space="preserve">  Ground number 4 is more or less the same as Ground 3.</w:t>
      </w:r>
    </w:p>
    <w:p w:rsidR="00D3635A" w:rsidRDefault="00D3635A" w:rsidP="002B79AD">
      <w:pPr>
        <w:spacing w:line="360" w:lineRule="auto"/>
        <w:ind w:firstLine="720"/>
        <w:jc w:val="both"/>
      </w:pPr>
    </w:p>
    <w:p w:rsidR="00D3635A" w:rsidRDefault="00D3635A" w:rsidP="002B79AD">
      <w:pPr>
        <w:spacing w:line="360" w:lineRule="auto"/>
        <w:ind w:firstLine="720"/>
        <w:jc w:val="both"/>
      </w:pPr>
      <w:r>
        <w:t xml:space="preserve">Ground number 5 is that the Arbitrator erred on a question of law in concluding that the hearing procedure was fair whereas the Disciplinary Committee was improperly constituted.  The Respondent position is that the question is one fact and not law and he has relied on the case of </w:t>
      </w:r>
      <w:r w:rsidRPr="00312E5D">
        <w:rPr>
          <w:b/>
        </w:rPr>
        <w:t xml:space="preserve">Sable Chemical Industries Limited </w:t>
      </w:r>
      <w:proofErr w:type="spellStart"/>
      <w:r w:rsidRPr="00312E5D">
        <w:rPr>
          <w:b/>
        </w:rPr>
        <w:t>vs</w:t>
      </w:r>
      <w:proofErr w:type="spellEnd"/>
      <w:r>
        <w:t xml:space="preserve"> </w:t>
      </w:r>
      <w:r w:rsidRPr="00644790">
        <w:rPr>
          <w:b/>
        </w:rPr>
        <w:t>David Peter Easterbrook</w:t>
      </w:r>
      <w:r>
        <w:t xml:space="preserve"> referred to </w:t>
      </w:r>
      <w:r w:rsidRPr="00004070">
        <w:rPr>
          <w:rFonts w:ascii="Times New Roman" w:hAnsi="Times New Roman"/>
        </w:rPr>
        <w:t>supra</w:t>
      </w:r>
      <w:r>
        <w:t xml:space="preserve">.  I agree completely with the </w:t>
      </w:r>
      <w:r>
        <w:lastRenderedPageBreak/>
        <w:t xml:space="preserve">Respondent.  </w:t>
      </w:r>
      <w:r w:rsidR="003138BF">
        <w:t>The finding by the Arbitrator that</w:t>
      </w:r>
      <w:r>
        <w:t xml:space="preserve"> the hearing procedure was fair is a matter of fact and not law.</w:t>
      </w:r>
      <w:r w:rsidR="00C05194">
        <w:t xml:space="preserve">  In the </w:t>
      </w:r>
      <w:r w:rsidR="00C05194" w:rsidRPr="008C180A">
        <w:rPr>
          <w:b/>
        </w:rPr>
        <w:t>Sable Chemical Industries</w:t>
      </w:r>
      <w:r w:rsidR="00C05194">
        <w:t xml:space="preserve"> case referred to by Respondent </w:t>
      </w:r>
      <w:proofErr w:type="spellStart"/>
      <w:r w:rsidR="00C05194" w:rsidRPr="00C05194">
        <w:rPr>
          <w:b/>
        </w:rPr>
        <w:t>Garwe</w:t>
      </w:r>
      <w:proofErr w:type="spellEnd"/>
      <w:r w:rsidR="00C05194" w:rsidRPr="00C05194">
        <w:rPr>
          <w:b/>
        </w:rPr>
        <w:t xml:space="preserve"> J</w:t>
      </w:r>
      <w:r w:rsidR="003F1C27">
        <w:rPr>
          <w:b/>
        </w:rPr>
        <w:t>.</w:t>
      </w:r>
      <w:r w:rsidR="00C05194" w:rsidRPr="00C05194">
        <w:rPr>
          <w:b/>
        </w:rPr>
        <w:t>A</w:t>
      </w:r>
      <w:r w:rsidR="003F1C27">
        <w:rPr>
          <w:b/>
        </w:rPr>
        <w:t>.</w:t>
      </w:r>
      <w:r w:rsidR="00C05194">
        <w:t xml:space="preserve"> specifically found that a ground of appeal challenging a finding based on the improper composition of disciplinary committee raises question of fact and not law.</w:t>
      </w:r>
    </w:p>
    <w:p w:rsidR="00D3635A" w:rsidRDefault="00D3635A" w:rsidP="002B79AD">
      <w:pPr>
        <w:spacing w:line="360" w:lineRule="auto"/>
        <w:ind w:firstLine="720"/>
        <w:jc w:val="both"/>
      </w:pPr>
    </w:p>
    <w:p w:rsidR="00D3635A" w:rsidRDefault="00D3635A" w:rsidP="002B79AD">
      <w:pPr>
        <w:spacing w:line="360" w:lineRule="auto"/>
        <w:ind w:firstLine="720"/>
        <w:jc w:val="both"/>
      </w:pPr>
      <w:r>
        <w:t xml:space="preserve">Ground number 6 and 7 equally raise issues of fact and not law.  In Ground number 6 there is the allegation that the </w:t>
      </w:r>
      <w:r w:rsidR="00312E5D">
        <w:t>Arbitrator</w:t>
      </w:r>
      <w:r>
        <w:t xml:space="preserve"> erred at law in disregarding the fact that the withholding of Minutes by the Respondent was fatally defective at law.  The last ground number 7 </w:t>
      </w:r>
      <w:r w:rsidR="00630199">
        <w:t xml:space="preserve">Appellant </w:t>
      </w:r>
      <w:r>
        <w:t xml:space="preserve">suggests </w:t>
      </w:r>
      <w:r w:rsidR="00630199">
        <w:t xml:space="preserve">the Arbitrator erred at law by failing </w:t>
      </w:r>
      <w:r w:rsidR="00312E5D">
        <w:t xml:space="preserve">to </w:t>
      </w:r>
      <w:r>
        <w:t>con</w:t>
      </w:r>
      <w:r w:rsidR="00312E5D">
        <w:t>sider</w:t>
      </w:r>
      <w:r>
        <w:t xml:space="preserve"> mitigation submitted by Appellant.  The </w:t>
      </w:r>
      <w:r w:rsidR="009D6EC1">
        <w:t>fact that the arbitral award does not seem to address the issues of mitigation and aggravation raised before the Arbitrator does not follow that the Arbitrator did not weigh the two issues.  There is no question of law raised by this ground</w:t>
      </w:r>
      <w:r>
        <w:t>.  There has</w:t>
      </w:r>
      <w:r w:rsidR="009D6EC1">
        <w:t xml:space="preserve"> also</w:t>
      </w:r>
      <w:r>
        <w:t xml:space="preserve"> been no allegation of a gross misdi</w:t>
      </w:r>
      <w:r w:rsidR="009D6EC1">
        <w:t>rection on the facts as to amount</w:t>
      </w:r>
      <w:r>
        <w:t xml:space="preserve"> to misdirection in law.</w:t>
      </w:r>
    </w:p>
    <w:p w:rsidR="00D3635A" w:rsidRDefault="00D3635A" w:rsidP="002B79AD">
      <w:pPr>
        <w:spacing w:line="360" w:lineRule="auto"/>
        <w:ind w:firstLine="720"/>
        <w:jc w:val="both"/>
      </w:pPr>
    </w:p>
    <w:p w:rsidR="00D3635A" w:rsidRDefault="00D3635A" w:rsidP="002B79AD">
      <w:pPr>
        <w:spacing w:line="360" w:lineRule="auto"/>
        <w:ind w:firstLine="720"/>
        <w:jc w:val="both"/>
      </w:pPr>
      <w:r>
        <w:t>The appeal cle</w:t>
      </w:r>
      <w:r w:rsidR="00233A81">
        <w:t>arly fails on the basis that no</w:t>
      </w:r>
      <w:r>
        <w:t>ne of the grounds of appeal raises any issues of law.  It is accordingly ordered as follows;</w:t>
      </w:r>
    </w:p>
    <w:p w:rsidR="00D3635A" w:rsidRDefault="00D3635A" w:rsidP="002B79AD">
      <w:pPr>
        <w:spacing w:line="360" w:lineRule="auto"/>
        <w:ind w:firstLine="720"/>
        <w:jc w:val="both"/>
      </w:pPr>
    </w:p>
    <w:p w:rsidR="00D3635A" w:rsidRDefault="009D6EC1" w:rsidP="009D6EC1">
      <w:pPr>
        <w:spacing w:line="360" w:lineRule="auto"/>
        <w:jc w:val="both"/>
      </w:pPr>
      <w:r>
        <w:tab/>
      </w:r>
    </w:p>
    <w:p w:rsidR="00D3635A" w:rsidRPr="00A13FF5" w:rsidRDefault="00D3635A" w:rsidP="002B79AD">
      <w:pPr>
        <w:spacing w:line="360" w:lineRule="auto"/>
        <w:ind w:firstLine="720"/>
        <w:jc w:val="both"/>
      </w:pPr>
      <w:r>
        <w:t>The appeal be and is hereby dismissed with no order as to costs.</w:t>
      </w:r>
    </w:p>
    <w:p w:rsidR="00DB6E53" w:rsidRPr="009B4D2C" w:rsidRDefault="00DB6E53" w:rsidP="00293728">
      <w:pPr>
        <w:spacing w:line="360" w:lineRule="auto"/>
        <w:jc w:val="both"/>
        <w:rPr>
          <w:b/>
        </w:rPr>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p w:rsidR="00DB6E53" w:rsidRDefault="00DB6E53" w:rsidP="00293728">
      <w:pPr>
        <w:spacing w:line="360" w:lineRule="auto"/>
        <w:jc w:val="both"/>
      </w:pPr>
    </w:p>
    <w:sectPr w:rsidR="00DB6E53" w:rsidSect="0000407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FF" w:rsidRDefault="003A50FF" w:rsidP="00DB6E53">
      <w:r>
        <w:separator/>
      </w:r>
    </w:p>
  </w:endnote>
  <w:endnote w:type="continuationSeparator" w:id="0">
    <w:p w:rsidR="003A50FF" w:rsidRDefault="003A50FF" w:rsidP="00DB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3040"/>
      <w:docPartObj>
        <w:docPartGallery w:val="Page Numbers (Bottom of Page)"/>
        <w:docPartUnique/>
      </w:docPartObj>
    </w:sdtPr>
    <w:sdtEndPr/>
    <w:sdtContent>
      <w:p w:rsidR="00D3635A" w:rsidRDefault="003A50FF">
        <w:pPr>
          <w:pStyle w:val="Footer"/>
          <w:jc w:val="right"/>
        </w:pPr>
        <w:r>
          <w:fldChar w:fldCharType="begin"/>
        </w:r>
        <w:r>
          <w:instrText xml:space="preserve"> PAGE   \* MERGEFORMAT </w:instrText>
        </w:r>
        <w:r>
          <w:fldChar w:fldCharType="separate"/>
        </w:r>
        <w:r w:rsidR="00527092">
          <w:rPr>
            <w:noProof/>
          </w:rPr>
          <w:t>5</w:t>
        </w:r>
        <w:r>
          <w:rPr>
            <w:noProof/>
          </w:rPr>
          <w:fldChar w:fldCharType="end"/>
        </w:r>
      </w:p>
    </w:sdtContent>
  </w:sdt>
  <w:p w:rsidR="00D3635A" w:rsidRDefault="00D3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FF" w:rsidRDefault="003A50FF" w:rsidP="00DB6E53">
      <w:r>
        <w:separator/>
      </w:r>
    </w:p>
  </w:footnote>
  <w:footnote w:type="continuationSeparator" w:id="0">
    <w:p w:rsidR="003A50FF" w:rsidRDefault="003A50FF" w:rsidP="00DB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5A" w:rsidRDefault="00D3635A" w:rsidP="00DB6E53">
    <w:pPr>
      <w:pStyle w:val="Header"/>
      <w:jc w:val="right"/>
    </w:pPr>
    <w:r>
      <w:rPr>
        <w:b/>
        <w:sz w:val="22"/>
        <w:szCs w:val="22"/>
      </w:rPr>
      <w:t>JUDGMENT NO.LC/H/234/2013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F0DB9"/>
    <w:multiLevelType w:val="hybridMultilevel"/>
    <w:tmpl w:val="5896EB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8D4475"/>
    <w:multiLevelType w:val="hybridMultilevel"/>
    <w:tmpl w:val="27C4004A"/>
    <w:lvl w:ilvl="0" w:tplc="491E897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0F"/>
    <w:rsid w:val="0000192B"/>
    <w:rsid w:val="00004070"/>
    <w:rsid w:val="0001459D"/>
    <w:rsid w:val="00032AD2"/>
    <w:rsid w:val="0007723C"/>
    <w:rsid w:val="000C3BFE"/>
    <w:rsid w:val="000D6A7B"/>
    <w:rsid w:val="00131C48"/>
    <w:rsid w:val="001405F9"/>
    <w:rsid w:val="00170320"/>
    <w:rsid w:val="0019428C"/>
    <w:rsid w:val="001B4B0F"/>
    <w:rsid w:val="00233A81"/>
    <w:rsid w:val="00250CC9"/>
    <w:rsid w:val="00256C20"/>
    <w:rsid w:val="00262005"/>
    <w:rsid w:val="00277DF5"/>
    <w:rsid w:val="00293728"/>
    <w:rsid w:val="002B79AD"/>
    <w:rsid w:val="002E4A8F"/>
    <w:rsid w:val="00312E5D"/>
    <w:rsid w:val="003138BF"/>
    <w:rsid w:val="00315D6B"/>
    <w:rsid w:val="00346ED1"/>
    <w:rsid w:val="003940FD"/>
    <w:rsid w:val="003A50FF"/>
    <w:rsid w:val="003D110E"/>
    <w:rsid w:val="003E68BF"/>
    <w:rsid w:val="003F1C27"/>
    <w:rsid w:val="004728B5"/>
    <w:rsid w:val="004A4297"/>
    <w:rsid w:val="004A53CE"/>
    <w:rsid w:val="004C4DBE"/>
    <w:rsid w:val="004D4A9F"/>
    <w:rsid w:val="0050279E"/>
    <w:rsid w:val="00527092"/>
    <w:rsid w:val="005D716A"/>
    <w:rsid w:val="005F11F8"/>
    <w:rsid w:val="0060624D"/>
    <w:rsid w:val="00610F01"/>
    <w:rsid w:val="00630199"/>
    <w:rsid w:val="00644790"/>
    <w:rsid w:val="00645173"/>
    <w:rsid w:val="00672416"/>
    <w:rsid w:val="006D19FA"/>
    <w:rsid w:val="00722A87"/>
    <w:rsid w:val="0077472D"/>
    <w:rsid w:val="00786D9D"/>
    <w:rsid w:val="007A5D95"/>
    <w:rsid w:val="007C3CAA"/>
    <w:rsid w:val="00860FED"/>
    <w:rsid w:val="00872512"/>
    <w:rsid w:val="00882CFE"/>
    <w:rsid w:val="00894F3A"/>
    <w:rsid w:val="008B64FF"/>
    <w:rsid w:val="008C180A"/>
    <w:rsid w:val="008D1136"/>
    <w:rsid w:val="008E3A0C"/>
    <w:rsid w:val="00951637"/>
    <w:rsid w:val="00977539"/>
    <w:rsid w:val="009A4202"/>
    <w:rsid w:val="009B4D2C"/>
    <w:rsid w:val="009D6EC1"/>
    <w:rsid w:val="009E149A"/>
    <w:rsid w:val="00A060F9"/>
    <w:rsid w:val="00A13FF5"/>
    <w:rsid w:val="00A831A6"/>
    <w:rsid w:val="00A86BE2"/>
    <w:rsid w:val="00A967B6"/>
    <w:rsid w:val="00AC70F3"/>
    <w:rsid w:val="00AD0EC3"/>
    <w:rsid w:val="00B24F0A"/>
    <w:rsid w:val="00BC17A4"/>
    <w:rsid w:val="00BC25F4"/>
    <w:rsid w:val="00BF776D"/>
    <w:rsid w:val="00C05194"/>
    <w:rsid w:val="00C432B4"/>
    <w:rsid w:val="00C548A7"/>
    <w:rsid w:val="00CB418F"/>
    <w:rsid w:val="00D144D8"/>
    <w:rsid w:val="00D3635A"/>
    <w:rsid w:val="00D375D5"/>
    <w:rsid w:val="00D76FDF"/>
    <w:rsid w:val="00D91002"/>
    <w:rsid w:val="00D953C7"/>
    <w:rsid w:val="00DA79D5"/>
    <w:rsid w:val="00DB5542"/>
    <w:rsid w:val="00DB6E53"/>
    <w:rsid w:val="00DB715B"/>
    <w:rsid w:val="00DD5C3F"/>
    <w:rsid w:val="00E105DE"/>
    <w:rsid w:val="00E74C0E"/>
    <w:rsid w:val="00F66AE6"/>
    <w:rsid w:val="00FA6D00"/>
    <w:rsid w:val="00FB2593"/>
    <w:rsid w:val="00FD0A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0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6E53"/>
    <w:pPr>
      <w:tabs>
        <w:tab w:val="center" w:pos="4513"/>
        <w:tab w:val="right" w:pos="9026"/>
      </w:tabs>
    </w:pPr>
  </w:style>
  <w:style w:type="character" w:customStyle="1" w:styleId="HeaderChar">
    <w:name w:val="Header Char"/>
    <w:basedOn w:val="DefaultParagraphFont"/>
    <w:link w:val="Header"/>
    <w:uiPriority w:val="99"/>
    <w:semiHidden/>
    <w:rsid w:val="00DB6E53"/>
    <w:rPr>
      <w:rFonts w:ascii="Tahoma" w:eastAsia="Times New Roman" w:hAnsi="Tahoma" w:cs="Times New Roman"/>
      <w:sz w:val="24"/>
      <w:szCs w:val="24"/>
      <w:lang w:val="en-US"/>
    </w:rPr>
  </w:style>
  <w:style w:type="paragraph" w:styleId="Footer">
    <w:name w:val="footer"/>
    <w:basedOn w:val="Normal"/>
    <w:link w:val="FooterChar"/>
    <w:uiPriority w:val="99"/>
    <w:unhideWhenUsed/>
    <w:rsid w:val="00DB6E53"/>
    <w:pPr>
      <w:tabs>
        <w:tab w:val="center" w:pos="4513"/>
        <w:tab w:val="right" w:pos="9026"/>
      </w:tabs>
    </w:pPr>
  </w:style>
  <w:style w:type="character" w:customStyle="1" w:styleId="FooterChar">
    <w:name w:val="Footer Char"/>
    <w:basedOn w:val="DefaultParagraphFont"/>
    <w:link w:val="Footer"/>
    <w:uiPriority w:val="99"/>
    <w:rsid w:val="00DB6E53"/>
    <w:rPr>
      <w:rFonts w:ascii="Tahoma" w:eastAsia="Times New Roman" w:hAnsi="Tahoma" w:cs="Times New Roman"/>
      <w:sz w:val="24"/>
      <w:szCs w:val="24"/>
      <w:lang w:val="en-US"/>
    </w:rPr>
  </w:style>
  <w:style w:type="paragraph" w:styleId="ListParagraph">
    <w:name w:val="List Paragraph"/>
    <w:basedOn w:val="Normal"/>
    <w:uiPriority w:val="34"/>
    <w:qFormat/>
    <w:rsid w:val="00B24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0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6E53"/>
    <w:pPr>
      <w:tabs>
        <w:tab w:val="center" w:pos="4513"/>
        <w:tab w:val="right" w:pos="9026"/>
      </w:tabs>
    </w:pPr>
  </w:style>
  <w:style w:type="character" w:customStyle="1" w:styleId="HeaderChar">
    <w:name w:val="Header Char"/>
    <w:basedOn w:val="DefaultParagraphFont"/>
    <w:link w:val="Header"/>
    <w:uiPriority w:val="99"/>
    <w:semiHidden/>
    <w:rsid w:val="00DB6E53"/>
    <w:rPr>
      <w:rFonts w:ascii="Tahoma" w:eastAsia="Times New Roman" w:hAnsi="Tahoma" w:cs="Times New Roman"/>
      <w:sz w:val="24"/>
      <w:szCs w:val="24"/>
      <w:lang w:val="en-US"/>
    </w:rPr>
  </w:style>
  <w:style w:type="paragraph" w:styleId="Footer">
    <w:name w:val="footer"/>
    <w:basedOn w:val="Normal"/>
    <w:link w:val="FooterChar"/>
    <w:uiPriority w:val="99"/>
    <w:unhideWhenUsed/>
    <w:rsid w:val="00DB6E53"/>
    <w:pPr>
      <w:tabs>
        <w:tab w:val="center" w:pos="4513"/>
        <w:tab w:val="right" w:pos="9026"/>
      </w:tabs>
    </w:pPr>
  </w:style>
  <w:style w:type="character" w:customStyle="1" w:styleId="FooterChar">
    <w:name w:val="Footer Char"/>
    <w:basedOn w:val="DefaultParagraphFont"/>
    <w:link w:val="Footer"/>
    <w:uiPriority w:val="99"/>
    <w:rsid w:val="00DB6E53"/>
    <w:rPr>
      <w:rFonts w:ascii="Tahoma" w:eastAsia="Times New Roman" w:hAnsi="Tahoma" w:cs="Times New Roman"/>
      <w:sz w:val="24"/>
      <w:szCs w:val="24"/>
      <w:lang w:val="en-US"/>
    </w:rPr>
  </w:style>
  <w:style w:type="paragraph" w:styleId="ListParagraph">
    <w:name w:val="List Paragraph"/>
    <w:basedOn w:val="Normal"/>
    <w:uiPriority w:val="34"/>
    <w:qFormat/>
    <w:rsid w:val="00B2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2013-06-13T14:26:00Z</cp:lastPrinted>
  <dcterms:created xsi:type="dcterms:W3CDTF">2017-04-05T13:18:00Z</dcterms:created>
  <dcterms:modified xsi:type="dcterms:W3CDTF">2017-04-05T13:18:00Z</dcterms:modified>
</cp:coreProperties>
</file>