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A" w:rsidRPr="00E648BA" w:rsidRDefault="00E648BA" w:rsidP="00147A9E">
      <w:pPr>
        <w:spacing w:before="0" w:after="160" w:line="240" w:lineRule="auto"/>
        <w:ind w:firstLine="0"/>
        <w:rPr>
          <w:rFonts w:eastAsia="Times New Roman" w:cs="Tahoma"/>
          <w:b/>
          <w:bCs/>
          <w:color w:val="auto"/>
          <w:szCs w:val="24"/>
          <w:lang w:val="en-US"/>
        </w:rPr>
      </w:pPr>
      <w:r w:rsidRPr="00E648BA">
        <w:rPr>
          <w:rFonts w:eastAsia="Times New Roman" w:cs="Tahoma"/>
          <w:b/>
          <w:bCs/>
          <w:color w:val="auto"/>
          <w:szCs w:val="24"/>
          <w:lang w:val="en-US"/>
        </w:rPr>
        <w:t xml:space="preserve">IN THE LABOUR </w:t>
      </w:r>
      <w:r w:rsidR="00147A9E">
        <w:rPr>
          <w:rFonts w:eastAsia="Times New Roman" w:cs="Tahoma"/>
          <w:b/>
          <w:bCs/>
          <w:color w:val="auto"/>
          <w:szCs w:val="24"/>
          <w:lang w:val="en-US"/>
        </w:rPr>
        <w:t xml:space="preserve">COURT OF ZIMBABWE    </w:t>
      </w:r>
      <w:r w:rsidRPr="00E648BA">
        <w:rPr>
          <w:rFonts w:eastAsia="Times New Roman" w:cs="Tahoma"/>
          <w:b/>
          <w:bCs/>
          <w:color w:val="auto"/>
          <w:szCs w:val="24"/>
          <w:lang w:val="en-US"/>
        </w:rPr>
        <w:t>JUDGEMENT NO</w:t>
      </w:r>
      <w:r w:rsidR="004E6E9B">
        <w:rPr>
          <w:rFonts w:eastAsia="Times New Roman" w:cs="Tahoma"/>
          <w:b/>
          <w:bCs/>
          <w:color w:val="auto"/>
          <w:szCs w:val="24"/>
          <w:lang w:val="en-US"/>
        </w:rPr>
        <w:t>. LC/MS/6</w:t>
      </w:r>
      <w:r w:rsidR="00147A9E">
        <w:rPr>
          <w:rFonts w:eastAsia="Times New Roman" w:cs="Tahoma"/>
          <w:b/>
          <w:bCs/>
          <w:color w:val="auto"/>
          <w:szCs w:val="24"/>
          <w:lang w:val="en-US"/>
        </w:rPr>
        <w:t>/2020</w:t>
      </w:r>
    </w:p>
    <w:p w:rsidR="00E648BA" w:rsidRDefault="00147A9E" w:rsidP="00147A9E">
      <w:pPr>
        <w:spacing w:line="240" w:lineRule="auto"/>
        <w:ind w:firstLine="0"/>
        <w:rPr>
          <w:b/>
          <w:color w:val="auto"/>
        </w:rPr>
      </w:pPr>
      <w:r>
        <w:rPr>
          <w:rFonts w:eastAsia="Times New Roman" w:cs="Tahoma"/>
          <w:b/>
          <w:bCs/>
          <w:color w:val="auto"/>
          <w:szCs w:val="24"/>
          <w:lang w:val="en-US"/>
        </w:rPr>
        <w:t xml:space="preserve">MASVINGO, </w:t>
      </w:r>
      <w:r w:rsidR="00E648BA" w:rsidRPr="00E648BA">
        <w:rPr>
          <w:b/>
          <w:color w:val="auto"/>
        </w:rPr>
        <w:t>18 MARCH 2020</w:t>
      </w:r>
      <w:r w:rsidR="00E648BA">
        <w:rPr>
          <w:color w:val="auto"/>
        </w:rPr>
        <w:t xml:space="preserve">                      </w:t>
      </w:r>
      <w:r w:rsidR="00E648BA" w:rsidRPr="00E648BA">
        <w:rPr>
          <w:rFonts w:eastAsia="Times New Roman" w:cs="Tahoma"/>
          <w:b/>
          <w:bCs/>
          <w:color w:val="auto"/>
          <w:szCs w:val="24"/>
          <w:lang w:val="en-US"/>
        </w:rPr>
        <w:t>CASE NO</w:t>
      </w:r>
      <w:r w:rsidR="00E648BA">
        <w:rPr>
          <w:rFonts w:eastAsia="Times New Roman" w:cs="Tahoma"/>
          <w:b/>
          <w:bCs/>
          <w:color w:val="auto"/>
          <w:szCs w:val="24"/>
          <w:lang w:val="en-US"/>
        </w:rPr>
        <w:t>.</w:t>
      </w:r>
      <w:r w:rsidR="00E648BA" w:rsidRPr="00E648BA">
        <w:rPr>
          <w:rFonts w:eastAsia="Times New Roman" w:cs="Tahoma"/>
          <w:b/>
          <w:bCs/>
          <w:color w:val="auto"/>
          <w:szCs w:val="24"/>
          <w:lang w:val="en-US"/>
        </w:rPr>
        <w:t xml:space="preserve"> </w:t>
      </w:r>
      <w:r w:rsidR="00E648BA" w:rsidRPr="00E648BA">
        <w:rPr>
          <w:b/>
          <w:color w:val="auto"/>
        </w:rPr>
        <w:t>LC/MS/REV/05/19</w:t>
      </w:r>
    </w:p>
    <w:p w:rsidR="00A22A52" w:rsidRPr="00E648BA" w:rsidRDefault="00D51446" w:rsidP="00147A9E">
      <w:pPr>
        <w:spacing w:line="240" w:lineRule="auto"/>
        <w:ind w:firstLine="0"/>
        <w:rPr>
          <w:color w:val="auto"/>
        </w:rPr>
      </w:pPr>
      <w:r>
        <w:rPr>
          <w:b/>
          <w:color w:val="auto"/>
        </w:rPr>
        <w:t>AND 19</w:t>
      </w:r>
      <w:r w:rsidR="00A22A52">
        <w:rPr>
          <w:b/>
          <w:color w:val="auto"/>
        </w:rPr>
        <w:t xml:space="preserve"> JUNE 2020</w:t>
      </w:r>
    </w:p>
    <w:p w:rsidR="00E648BA" w:rsidRPr="00147A9E" w:rsidRDefault="00E648BA" w:rsidP="00147A9E">
      <w:pPr>
        <w:spacing w:before="0" w:after="160"/>
        <w:ind w:firstLine="0"/>
        <w:rPr>
          <w:rFonts w:eastAsia="Times New Roman" w:cs="Tahoma"/>
          <w:color w:val="auto"/>
          <w:szCs w:val="24"/>
          <w:lang w:val="en-US"/>
        </w:rPr>
      </w:pPr>
      <w:r w:rsidRPr="00E648BA">
        <w:rPr>
          <w:rFonts w:eastAsia="Times New Roman" w:cs="Tahoma"/>
          <w:color w:val="auto"/>
          <w:szCs w:val="24"/>
          <w:lang w:val="en-US"/>
        </w:rPr>
        <w:t>In the matter between:-</w:t>
      </w:r>
    </w:p>
    <w:p w:rsidR="00521F50" w:rsidRPr="00E648BA" w:rsidRDefault="00E648BA" w:rsidP="00147A9E">
      <w:pPr>
        <w:spacing w:line="240" w:lineRule="auto"/>
        <w:ind w:firstLine="0"/>
        <w:rPr>
          <w:b/>
          <w:color w:val="auto"/>
        </w:rPr>
      </w:pPr>
      <w:r w:rsidRPr="00E648BA">
        <w:rPr>
          <w:b/>
          <w:color w:val="auto"/>
        </w:rPr>
        <w:t>ANDREW MASHIRI</w:t>
      </w:r>
    </w:p>
    <w:p w:rsidR="00521F50" w:rsidRDefault="00521F50" w:rsidP="00147A9E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And </w:t>
      </w:r>
    </w:p>
    <w:p w:rsidR="00521F50" w:rsidRDefault="00E648BA" w:rsidP="00147A9E">
      <w:pPr>
        <w:spacing w:line="240" w:lineRule="auto"/>
        <w:ind w:firstLine="0"/>
        <w:rPr>
          <w:b/>
          <w:color w:val="auto"/>
        </w:rPr>
      </w:pPr>
      <w:r w:rsidRPr="00E648BA">
        <w:rPr>
          <w:b/>
          <w:color w:val="auto"/>
        </w:rPr>
        <w:t xml:space="preserve">DELTA BEVERAGES PRIVATE LIMITED </w:t>
      </w:r>
    </w:p>
    <w:p w:rsidR="00E648BA" w:rsidRPr="00147A9E" w:rsidRDefault="00147A9E" w:rsidP="00147A9E">
      <w:pPr>
        <w:spacing w:line="240" w:lineRule="auto"/>
        <w:ind w:firstLine="0"/>
        <w:rPr>
          <w:color w:val="auto"/>
        </w:rPr>
      </w:pPr>
      <w:r>
        <w:rPr>
          <w:color w:val="auto"/>
        </w:rPr>
        <w:t>Before Honourable B.T. Chivizhe, Judge</w:t>
      </w:r>
    </w:p>
    <w:p w:rsidR="00521F50" w:rsidRPr="00E648BA" w:rsidRDefault="00E648BA" w:rsidP="00147A9E">
      <w:pPr>
        <w:spacing w:line="240" w:lineRule="auto"/>
        <w:ind w:firstLine="0"/>
        <w:rPr>
          <w:b/>
          <w:color w:val="auto"/>
        </w:rPr>
      </w:pPr>
      <w:r w:rsidRPr="00E648BA">
        <w:rPr>
          <w:b/>
          <w:color w:val="auto"/>
        </w:rPr>
        <w:t>For Applicant</w:t>
      </w:r>
      <w:r w:rsidR="00147A9E">
        <w:rPr>
          <w:b/>
          <w:color w:val="auto"/>
        </w:rPr>
        <w:tab/>
      </w:r>
      <w:r w:rsidR="00147A9E">
        <w:rPr>
          <w:b/>
          <w:color w:val="auto"/>
        </w:rPr>
        <w:tab/>
      </w:r>
      <w:r w:rsidRPr="00E648BA">
        <w:rPr>
          <w:b/>
          <w:color w:val="auto"/>
        </w:rPr>
        <w:t xml:space="preserve"> Mr D. Banda (</w:t>
      </w:r>
      <w:r w:rsidR="00521F50" w:rsidRPr="00E648BA">
        <w:rPr>
          <w:b/>
          <w:color w:val="auto"/>
        </w:rPr>
        <w:t>Trade Unionist</w:t>
      </w:r>
      <w:r w:rsidRPr="00E648BA">
        <w:rPr>
          <w:b/>
          <w:color w:val="auto"/>
        </w:rPr>
        <w:t>)</w:t>
      </w:r>
      <w:r w:rsidR="00521F50" w:rsidRPr="00E648BA">
        <w:rPr>
          <w:b/>
          <w:color w:val="auto"/>
        </w:rPr>
        <w:t xml:space="preserve"> </w:t>
      </w:r>
    </w:p>
    <w:p w:rsidR="002D6279" w:rsidRDefault="00E648BA" w:rsidP="00147A9E">
      <w:pPr>
        <w:spacing w:line="240" w:lineRule="auto"/>
        <w:ind w:firstLine="0"/>
        <w:rPr>
          <w:b/>
          <w:color w:val="auto"/>
        </w:rPr>
      </w:pPr>
      <w:r w:rsidRPr="00E648BA">
        <w:rPr>
          <w:b/>
          <w:color w:val="auto"/>
        </w:rPr>
        <w:t>For Respondent</w:t>
      </w:r>
      <w:r w:rsidR="00147A9E">
        <w:rPr>
          <w:b/>
          <w:color w:val="auto"/>
        </w:rPr>
        <w:tab/>
      </w:r>
      <w:r w:rsidR="00147A9E">
        <w:rPr>
          <w:b/>
          <w:color w:val="auto"/>
        </w:rPr>
        <w:tab/>
      </w:r>
      <w:r w:rsidRPr="00E648BA">
        <w:rPr>
          <w:b/>
          <w:color w:val="auto"/>
        </w:rPr>
        <w:t xml:space="preserve"> Mr J. J. Moyo (Legal Practitioner)</w:t>
      </w:r>
      <w:r w:rsidR="002D6279" w:rsidRPr="00E648BA">
        <w:rPr>
          <w:b/>
          <w:color w:val="auto"/>
        </w:rPr>
        <w:t xml:space="preserve"> </w:t>
      </w:r>
    </w:p>
    <w:p w:rsidR="00147A9E" w:rsidRPr="00E648BA" w:rsidRDefault="00147A9E" w:rsidP="00147A9E">
      <w:pPr>
        <w:spacing w:line="240" w:lineRule="auto"/>
        <w:ind w:firstLine="0"/>
        <w:rPr>
          <w:b/>
          <w:color w:val="auto"/>
        </w:rPr>
      </w:pPr>
    </w:p>
    <w:p w:rsidR="002D6279" w:rsidRPr="00147A9E" w:rsidRDefault="002D6279" w:rsidP="00147A9E">
      <w:pPr>
        <w:ind w:firstLine="0"/>
        <w:rPr>
          <w:b/>
          <w:color w:val="auto"/>
        </w:rPr>
      </w:pPr>
      <w:r w:rsidRPr="00147A9E">
        <w:rPr>
          <w:b/>
          <w:color w:val="auto"/>
        </w:rPr>
        <w:t>CHIVIZHE, J:</w:t>
      </w:r>
    </w:p>
    <w:p w:rsidR="002D6279" w:rsidRDefault="002D6279">
      <w:pPr>
        <w:rPr>
          <w:color w:val="auto"/>
        </w:rPr>
      </w:pPr>
      <w:r>
        <w:rPr>
          <w:color w:val="auto"/>
        </w:rPr>
        <w:t xml:space="preserve">This is an application </w:t>
      </w:r>
      <w:r w:rsidR="006469D6">
        <w:rPr>
          <w:color w:val="auto"/>
        </w:rPr>
        <w:t xml:space="preserve">for review of the disciplinary proceedings undertaken by the Respondent at three levels of </w:t>
      </w:r>
      <w:r w:rsidR="001C70FA">
        <w:rPr>
          <w:color w:val="auto"/>
        </w:rPr>
        <w:t xml:space="preserve">Respondent Disciplinary Structure as provided in the relevant Code of Conduct, being Delta Beverages Employment Code of </w:t>
      </w:r>
      <w:r w:rsidR="00FD7E88">
        <w:rPr>
          <w:color w:val="auto"/>
        </w:rPr>
        <w:t>Conduct (</w:t>
      </w:r>
      <w:r w:rsidR="001C70FA">
        <w:rPr>
          <w:color w:val="auto"/>
        </w:rPr>
        <w:t>2003). The Applicant in his prayer seeks for an order to be granted in the following terms;</w:t>
      </w:r>
    </w:p>
    <w:p w:rsidR="00C91551" w:rsidRPr="00147A9E" w:rsidRDefault="00147A9E" w:rsidP="00147A9E">
      <w:pPr>
        <w:spacing w:line="276" w:lineRule="auto"/>
        <w:ind w:left="720" w:firstLine="0"/>
        <w:rPr>
          <w:color w:val="auto"/>
          <w:sz w:val="22"/>
        </w:rPr>
      </w:pPr>
      <w:r>
        <w:rPr>
          <w:color w:val="auto"/>
          <w:sz w:val="22"/>
        </w:rPr>
        <w:t>“1.</w:t>
      </w:r>
      <w:r>
        <w:rPr>
          <w:color w:val="auto"/>
          <w:sz w:val="22"/>
        </w:rPr>
        <w:tab/>
      </w:r>
      <w:r w:rsidR="00C91551" w:rsidRPr="00147A9E">
        <w:rPr>
          <w:color w:val="auto"/>
          <w:sz w:val="22"/>
        </w:rPr>
        <w:t>Applicant’s application for review is granted</w:t>
      </w:r>
    </w:p>
    <w:p w:rsidR="00C91551" w:rsidRPr="00147A9E" w:rsidRDefault="00C91551" w:rsidP="00147A9E">
      <w:pPr>
        <w:spacing w:line="276" w:lineRule="auto"/>
        <w:ind w:left="720" w:firstLine="0"/>
        <w:rPr>
          <w:color w:val="auto"/>
          <w:sz w:val="22"/>
        </w:rPr>
      </w:pPr>
      <w:r w:rsidRPr="00147A9E">
        <w:rPr>
          <w:color w:val="auto"/>
          <w:sz w:val="22"/>
        </w:rPr>
        <w:t xml:space="preserve"> 2</w:t>
      </w:r>
      <w:r w:rsidR="00147A9E">
        <w:rPr>
          <w:color w:val="auto"/>
          <w:sz w:val="22"/>
        </w:rPr>
        <w:t>.</w:t>
      </w:r>
      <w:r w:rsidR="00147A9E">
        <w:rPr>
          <w:color w:val="auto"/>
          <w:sz w:val="22"/>
        </w:rPr>
        <w:tab/>
      </w:r>
      <w:r w:rsidR="005341E5" w:rsidRPr="00147A9E">
        <w:rPr>
          <w:color w:val="auto"/>
          <w:sz w:val="22"/>
        </w:rPr>
        <w:t>T</w:t>
      </w:r>
      <w:r w:rsidRPr="00147A9E">
        <w:rPr>
          <w:color w:val="auto"/>
          <w:sz w:val="22"/>
        </w:rPr>
        <w:t xml:space="preserve">he Applicant is reinstated </w:t>
      </w:r>
      <w:r w:rsidR="005341E5" w:rsidRPr="00147A9E">
        <w:rPr>
          <w:color w:val="auto"/>
          <w:sz w:val="22"/>
        </w:rPr>
        <w:t>(without loss of wages and benefits)</w:t>
      </w:r>
    </w:p>
    <w:p w:rsidR="005341E5" w:rsidRPr="00147A9E" w:rsidRDefault="00147A9E" w:rsidP="00147A9E">
      <w:pPr>
        <w:spacing w:line="276" w:lineRule="auto"/>
        <w:ind w:left="1440" w:hanging="720"/>
        <w:rPr>
          <w:color w:val="auto"/>
          <w:sz w:val="22"/>
        </w:rPr>
      </w:pPr>
      <w:r>
        <w:rPr>
          <w:color w:val="auto"/>
          <w:sz w:val="22"/>
        </w:rPr>
        <w:t xml:space="preserve"> 3.</w:t>
      </w:r>
      <w:r>
        <w:rPr>
          <w:color w:val="auto"/>
          <w:sz w:val="22"/>
        </w:rPr>
        <w:tab/>
      </w:r>
      <w:r w:rsidR="005341E5" w:rsidRPr="00147A9E">
        <w:rPr>
          <w:color w:val="auto"/>
          <w:sz w:val="22"/>
        </w:rPr>
        <w:t xml:space="preserve">The misconduct proceedings instituted in the 1st, 2nd and 3rd Hearing against the Applicant </w:t>
      </w:r>
      <w:r w:rsidR="00511F6A" w:rsidRPr="00147A9E">
        <w:rPr>
          <w:color w:val="auto"/>
          <w:sz w:val="22"/>
        </w:rPr>
        <w:t>together with preference of charges, determination and penalty be and is hereby set aside as null and void.</w:t>
      </w:r>
    </w:p>
    <w:p w:rsidR="00511F6A" w:rsidRPr="00147A9E" w:rsidRDefault="00147A9E" w:rsidP="00147A9E">
      <w:pPr>
        <w:spacing w:line="276" w:lineRule="auto"/>
        <w:ind w:left="1440" w:hanging="645"/>
        <w:rPr>
          <w:color w:val="auto"/>
          <w:sz w:val="22"/>
        </w:rPr>
      </w:pPr>
      <w:r>
        <w:rPr>
          <w:color w:val="auto"/>
          <w:sz w:val="22"/>
        </w:rPr>
        <w:t>4.</w:t>
      </w:r>
      <w:r>
        <w:rPr>
          <w:color w:val="auto"/>
          <w:sz w:val="22"/>
        </w:rPr>
        <w:tab/>
      </w:r>
      <w:r w:rsidR="001E43E5" w:rsidRPr="00147A9E">
        <w:rPr>
          <w:color w:val="auto"/>
          <w:sz w:val="22"/>
        </w:rPr>
        <w:t>The matter bei</w:t>
      </w:r>
      <w:r w:rsidR="00511F6A" w:rsidRPr="00147A9E">
        <w:rPr>
          <w:color w:val="auto"/>
          <w:sz w:val="22"/>
        </w:rPr>
        <w:t>ng remitted back to the Respondent to correct all procedural irregula</w:t>
      </w:r>
      <w:r w:rsidR="001E43E5" w:rsidRPr="00147A9E">
        <w:rPr>
          <w:color w:val="auto"/>
          <w:sz w:val="22"/>
        </w:rPr>
        <w:t>rities and deal with the matter properly.</w:t>
      </w:r>
    </w:p>
    <w:p w:rsidR="001C70FA" w:rsidRPr="00147A9E" w:rsidRDefault="00147A9E" w:rsidP="00147A9E">
      <w:pPr>
        <w:spacing w:line="276" w:lineRule="auto"/>
        <w:ind w:left="720" w:firstLine="0"/>
        <w:rPr>
          <w:color w:val="auto"/>
          <w:sz w:val="22"/>
        </w:rPr>
      </w:pPr>
      <w:r>
        <w:rPr>
          <w:color w:val="auto"/>
          <w:sz w:val="22"/>
        </w:rPr>
        <w:t xml:space="preserve"> 5.</w:t>
      </w:r>
      <w:r>
        <w:rPr>
          <w:color w:val="auto"/>
          <w:sz w:val="22"/>
        </w:rPr>
        <w:tab/>
      </w:r>
      <w:r w:rsidR="001E43E5" w:rsidRPr="00147A9E">
        <w:rPr>
          <w:color w:val="auto"/>
          <w:sz w:val="22"/>
        </w:rPr>
        <w:t>The Respondent to pay the costs of application.</w:t>
      </w:r>
      <w:r w:rsidR="00C91551" w:rsidRPr="00147A9E">
        <w:rPr>
          <w:color w:val="auto"/>
          <w:sz w:val="22"/>
        </w:rPr>
        <w:t>”</w:t>
      </w:r>
    </w:p>
    <w:p w:rsidR="001E43E5" w:rsidRDefault="001E43E5" w:rsidP="001E43E5">
      <w:pPr>
        <w:rPr>
          <w:color w:val="auto"/>
        </w:rPr>
      </w:pPr>
      <w:r>
        <w:rPr>
          <w:color w:val="auto"/>
        </w:rPr>
        <w:t xml:space="preserve">The application is opposed by the Respondent. </w:t>
      </w:r>
    </w:p>
    <w:p w:rsidR="00343E70" w:rsidRDefault="001E43E5" w:rsidP="001E43E5">
      <w:pPr>
        <w:rPr>
          <w:color w:val="auto"/>
        </w:rPr>
      </w:pPr>
      <w:r>
        <w:rPr>
          <w:color w:val="auto"/>
        </w:rPr>
        <w:t>The material</w:t>
      </w:r>
      <w:r w:rsidR="007511B0">
        <w:rPr>
          <w:color w:val="auto"/>
        </w:rPr>
        <w:t xml:space="preserve"> background facts to the matter are as follows. The Applicant was employed by Respondent initially as a packer. He was later </w:t>
      </w:r>
      <w:r w:rsidR="002937C1">
        <w:rPr>
          <w:color w:val="auto"/>
        </w:rPr>
        <w:t xml:space="preserve">elevated to the post of </w:t>
      </w:r>
      <w:r w:rsidR="002937C1">
        <w:rPr>
          <w:color w:val="auto"/>
        </w:rPr>
        <w:lastRenderedPageBreak/>
        <w:t>Depot Controller</w:t>
      </w:r>
      <w:r w:rsidR="00DD268F">
        <w:rPr>
          <w:color w:val="auto"/>
        </w:rPr>
        <w:t xml:space="preserve"> at DBC Chipinge</w:t>
      </w:r>
      <w:r w:rsidR="00A64651">
        <w:rPr>
          <w:color w:val="auto"/>
        </w:rPr>
        <w:t xml:space="preserve">. On the 25th of September the Respondent levelled two charges of misconduct </w:t>
      </w:r>
      <w:r w:rsidR="00C85ED5">
        <w:rPr>
          <w:color w:val="auto"/>
        </w:rPr>
        <w:t>against the Applicant</w:t>
      </w:r>
      <w:r w:rsidR="00343E70">
        <w:rPr>
          <w:color w:val="auto"/>
        </w:rPr>
        <w:t xml:space="preserve"> i.e. neglect of duty</w:t>
      </w:r>
      <w:r w:rsidR="002937C1">
        <w:rPr>
          <w:color w:val="auto"/>
        </w:rPr>
        <w:t>.</w:t>
      </w:r>
      <w:r w:rsidR="00C85ED5">
        <w:rPr>
          <w:color w:val="auto"/>
        </w:rPr>
        <w:t xml:space="preserve"> The allegations were that the Applicant had in his capacity as Depot Controller</w:t>
      </w:r>
      <w:r w:rsidR="00343E70">
        <w:rPr>
          <w:color w:val="auto"/>
        </w:rPr>
        <w:t xml:space="preserve"> neglected to perform his duties when </w:t>
      </w:r>
    </w:p>
    <w:p w:rsidR="00343E70" w:rsidRDefault="00343E70" w:rsidP="001E43E5">
      <w:pPr>
        <w:rPr>
          <w:color w:val="auto"/>
        </w:rPr>
      </w:pPr>
      <w:r>
        <w:rPr>
          <w:color w:val="auto"/>
        </w:rPr>
        <w:t xml:space="preserve">(1) </w:t>
      </w:r>
      <w:proofErr w:type="gramStart"/>
      <w:r>
        <w:rPr>
          <w:color w:val="auto"/>
        </w:rPr>
        <w:t>a</w:t>
      </w:r>
      <w:proofErr w:type="gramEnd"/>
      <w:r>
        <w:rPr>
          <w:color w:val="auto"/>
        </w:rPr>
        <w:t xml:space="preserve"> Foreign POS  machine was used; </w:t>
      </w:r>
    </w:p>
    <w:p w:rsidR="00C85ED5" w:rsidRDefault="00343E70" w:rsidP="001E43E5">
      <w:pPr>
        <w:rPr>
          <w:color w:val="auto"/>
        </w:rPr>
      </w:pPr>
      <w:r>
        <w:rPr>
          <w:color w:val="auto"/>
        </w:rPr>
        <w:t xml:space="preserve">(2) </w:t>
      </w:r>
      <w:proofErr w:type="gramStart"/>
      <w:r>
        <w:rPr>
          <w:color w:val="auto"/>
        </w:rPr>
        <w:t>he</w:t>
      </w:r>
      <w:proofErr w:type="gramEnd"/>
      <w:r>
        <w:rPr>
          <w:color w:val="auto"/>
        </w:rPr>
        <w:t xml:space="preserve"> failed to investigate and record faulty equipment and</w:t>
      </w:r>
    </w:p>
    <w:p w:rsidR="00343E70" w:rsidRDefault="009A5D79" w:rsidP="001E43E5">
      <w:pPr>
        <w:rPr>
          <w:color w:val="auto"/>
        </w:rPr>
      </w:pPr>
      <w:r>
        <w:rPr>
          <w:color w:val="auto"/>
        </w:rPr>
        <w:t xml:space="preserve">(3) </w:t>
      </w:r>
      <w:proofErr w:type="gramStart"/>
      <w:r>
        <w:rPr>
          <w:color w:val="auto"/>
        </w:rPr>
        <w:t>he</w:t>
      </w:r>
      <w:proofErr w:type="gramEnd"/>
      <w:r>
        <w:rPr>
          <w:color w:val="auto"/>
        </w:rPr>
        <w:t xml:space="preserve"> failed to carry out</w:t>
      </w:r>
      <w:r w:rsidR="00343E70">
        <w:rPr>
          <w:color w:val="auto"/>
        </w:rPr>
        <w:t xml:space="preserve"> certain reconciliation</w:t>
      </w:r>
      <w:r>
        <w:rPr>
          <w:color w:val="auto"/>
        </w:rPr>
        <w:t>s</w:t>
      </w:r>
      <w:bookmarkStart w:id="0" w:name="_GoBack"/>
      <w:bookmarkEnd w:id="0"/>
      <w:r w:rsidR="00343E70">
        <w:rPr>
          <w:color w:val="auto"/>
        </w:rPr>
        <w:t xml:space="preserve"> on 7 August 2019.</w:t>
      </w:r>
    </w:p>
    <w:p w:rsidR="001E43E5" w:rsidRDefault="00C85ED5" w:rsidP="001E43E5">
      <w:pPr>
        <w:rPr>
          <w:color w:val="auto"/>
        </w:rPr>
      </w:pPr>
      <w:r>
        <w:rPr>
          <w:color w:val="auto"/>
        </w:rPr>
        <w:t>The Applicant was summoned to attend the initial hearing at immediate Su</w:t>
      </w:r>
      <w:r w:rsidR="006551B1">
        <w:rPr>
          <w:color w:val="auto"/>
        </w:rPr>
        <w:t xml:space="preserve">perior level on the 30th September. After </w:t>
      </w:r>
      <w:r w:rsidR="00506D21">
        <w:rPr>
          <w:color w:val="auto"/>
        </w:rPr>
        <w:t>a full hearing in which</w:t>
      </w:r>
      <w:r w:rsidR="006551B1">
        <w:rPr>
          <w:color w:val="auto"/>
        </w:rPr>
        <w:t xml:space="preserve"> the Respondent led evidence from several witnesses, the Applicant </w:t>
      </w:r>
      <w:r w:rsidR="00506D21">
        <w:rPr>
          <w:color w:val="auto"/>
        </w:rPr>
        <w:t>was found guilty on both charges. A penalty of dismissal from employment was subsequently imposed on him</w:t>
      </w:r>
      <w:r w:rsidR="00E22F6F">
        <w:rPr>
          <w:color w:val="auto"/>
        </w:rPr>
        <w:t>. His appeals to the Head of Department and the Work’s Council</w:t>
      </w:r>
      <w:r w:rsidR="00C808D0">
        <w:rPr>
          <w:color w:val="auto"/>
        </w:rPr>
        <w:t xml:space="preserve"> </w:t>
      </w:r>
      <w:r w:rsidR="00E22F6F">
        <w:rPr>
          <w:color w:val="auto"/>
        </w:rPr>
        <w:t xml:space="preserve">were both unsuccessful. Dissatisfied </w:t>
      </w:r>
      <w:r w:rsidR="00C808D0">
        <w:rPr>
          <w:color w:val="auto"/>
        </w:rPr>
        <w:t>with the determination by the Respondent</w:t>
      </w:r>
      <w:r w:rsidR="00FD7E88">
        <w:rPr>
          <w:color w:val="auto"/>
        </w:rPr>
        <w:t xml:space="preserve"> Disciplinary functionaries </w:t>
      </w:r>
      <w:r w:rsidR="00FC1F90">
        <w:rPr>
          <w:color w:val="auto"/>
        </w:rPr>
        <w:t>the</w:t>
      </w:r>
      <w:r w:rsidR="00C808D0">
        <w:rPr>
          <w:color w:val="auto"/>
        </w:rPr>
        <w:t xml:space="preserve"> Applicant noted an appeal as well as an application for review. The appeal which has been filed un</w:t>
      </w:r>
      <w:r w:rsidR="00CB5C46">
        <w:rPr>
          <w:color w:val="auto"/>
        </w:rPr>
        <w:t>d</w:t>
      </w:r>
      <w:r w:rsidR="00C808D0">
        <w:rPr>
          <w:color w:val="auto"/>
        </w:rPr>
        <w:t>er a d</w:t>
      </w:r>
      <w:r w:rsidR="00CB5C46">
        <w:rPr>
          <w:color w:val="auto"/>
        </w:rPr>
        <w:t>ifferent case number is yet to be determined. This court is only seized with the application for review.</w:t>
      </w:r>
    </w:p>
    <w:p w:rsidR="0092237E" w:rsidRPr="00FD7E88" w:rsidRDefault="0092237E" w:rsidP="001E43E5">
      <w:pPr>
        <w:rPr>
          <w:b/>
          <w:color w:val="auto"/>
        </w:rPr>
      </w:pPr>
      <w:r w:rsidRPr="00FD7E88">
        <w:rPr>
          <w:b/>
          <w:color w:val="auto"/>
        </w:rPr>
        <w:t>PRELIMINARY POINTS</w:t>
      </w:r>
    </w:p>
    <w:p w:rsidR="0092237E" w:rsidRDefault="0092237E" w:rsidP="00FD7E88">
      <w:pPr>
        <w:rPr>
          <w:color w:val="auto"/>
        </w:rPr>
      </w:pPr>
      <w:r>
        <w:rPr>
          <w:color w:val="auto"/>
        </w:rPr>
        <w:t>At the commencement of the hearing the Applicant rai</w:t>
      </w:r>
      <w:r w:rsidR="00FD7E88">
        <w:rPr>
          <w:color w:val="auto"/>
        </w:rPr>
        <w:t>sed two preliminary points where</w:t>
      </w:r>
      <w:r>
        <w:rPr>
          <w:color w:val="auto"/>
        </w:rPr>
        <w:t xml:space="preserve"> he believed the court was </w:t>
      </w:r>
      <w:r w:rsidR="006F2986">
        <w:rPr>
          <w:color w:val="auto"/>
        </w:rPr>
        <w:t xml:space="preserve">duty bound to address initially. The first was </w:t>
      </w:r>
      <w:r w:rsidR="00D96AAA">
        <w:rPr>
          <w:color w:val="auto"/>
        </w:rPr>
        <w:t xml:space="preserve">one </w:t>
      </w:r>
      <w:r w:rsidR="006F2986">
        <w:rPr>
          <w:color w:val="auto"/>
        </w:rPr>
        <w:t xml:space="preserve">which he believed was </w:t>
      </w:r>
      <w:r w:rsidR="00FD7E88">
        <w:rPr>
          <w:color w:val="auto"/>
        </w:rPr>
        <w:t>a point of law and therefore one</w:t>
      </w:r>
      <w:r w:rsidR="006F2986">
        <w:rPr>
          <w:color w:val="auto"/>
        </w:rPr>
        <w:t xml:space="preserve"> which he was entitled to raise at any stage of proceedings incl</w:t>
      </w:r>
      <w:r w:rsidR="00FD7E88">
        <w:rPr>
          <w:color w:val="auto"/>
        </w:rPr>
        <w:t>uding the proceedings before this</w:t>
      </w:r>
      <w:r w:rsidR="006F2986">
        <w:rPr>
          <w:color w:val="auto"/>
        </w:rPr>
        <w:t xml:space="preserve"> court. The Applicant relied for this proposition on the authority of </w:t>
      </w:r>
      <w:r w:rsidR="006F2986" w:rsidRPr="00FD7E88">
        <w:rPr>
          <w:i/>
          <w:color w:val="auto"/>
        </w:rPr>
        <w:t>Sha</w:t>
      </w:r>
      <w:r w:rsidR="00113F43" w:rsidRPr="00FD7E88">
        <w:rPr>
          <w:i/>
          <w:color w:val="auto"/>
        </w:rPr>
        <w:t>dr</w:t>
      </w:r>
      <w:r w:rsidR="00FD7E88">
        <w:rPr>
          <w:i/>
          <w:color w:val="auto"/>
        </w:rPr>
        <w:t>eck Hlahla vs OK Zimbabwe SC 64/</w:t>
      </w:r>
      <w:r w:rsidR="00113F43" w:rsidRPr="00FD7E88">
        <w:rPr>
          <w:i/>
          <w:color w:val="auto"/>
        </w:rPr>
        <w:t>04</w:t>
      </w:r>
      <w:r w:rsidR="00113F43">
        <w:rPr>
          <w:color w:val="auto"/>
        </w:rPr>
        <w:t xml:space="preserve"> and </w:t>
      </w:r>
      <w:r w:rsidR="00113F43" w:rsidRPr="00FD7E88">
        <w:rPr>
          <w:i/>
          <w:color w:val="auto"/>
        </w:rPr>
        <w:t>Interfres</w:t>
      </w:r>
      <w:r w:rsidR="00FD7E88">
        <w:rPr>
          <w:i/>
          <w:color w:val="auto"/>
        </w:rPr>
        <w:t>h Limited vs Ryan Dzapata SC 58/</w:t>
      </w:r>
      <w:r w:rsidR="00113F43" w:rsidRPr="00FD7E88">
        <w:rPr>
          <w:i/>
          <w:color w:val="auto"/>
        </w:rPr>
        <w:t>05</w:t>
      </w:r>
      <w:r w:rsidR="00113F43">
        <w:rPr>
          <w:color w:val="auto"/>
        </w:rPr>
        <w:t>.</w:t>
      </w:r>
    </w:p>
    <w:p w:rsidR="00113F43" w:rsidRDefault="000275A4" w:rsidP="001E43E5">
      <w:pPr>
        <w:rPr>
          <w:color w:val="auto"/>
        </w:rPr>
      </w:pPr>
      <w:r>
        <w:rPr>
          <w:color w:val="auto"/>
        </w:rPr>
        <w:t>The point of law was that the Disciplinary Committee</w:t>
      </w:r>
      <w:r w:rsidR="00FD7E88">
        <w:rPr>
          <w:color w:val="auto"/>
        </w:rPr>
        <w:t>s</w:t>
      </w:r>
      <w:r>
        <w:rPr>
          <w:color w:val="auto"/>
        </w:rPr>
        <w:t xml:space="preserve"> set up by Respondent at the three levels were not in accordance with the provision</w:t>
      </w:r>
      <w:r w:rsidR="00FD7E88">
        <w:rPr>
          <w:color w:val="auto"/>
        </w:rPr>
        <w:t>s</w:t>
      </w:r>
      <w:r>
        <w:rPr>
          <w:color w:val="auto"/>
        </w:rPr>
        <w:t xml:space="preserve"> of the relevant Code of Conduct</w:t>
      </w:r>
      <w:r w:rsidR="00FD7E88">
        <w:rPr>
          <w:color w:val="auto"/>
        </w:rPr>
        <w:t xml:space="preserve"> i.e</w:t>
      </w:r>
      <w:r>
        <w:rPr>
          <w:color w:val="auto"/>
        </w:rPr>
        <w:t>.</w:t>
      </w:r>
      <w:r w:rsidR="00FD7E88">
        <w:rPr>
          <w:color w:val="auto"/>
        </w:rPr>
        <w:t xml:space="preserve"> Delta Beverages Employment Code of Conduct (2003)</w:t>
      </w:r>
      <w:r w:rsidR="00D96AAA">
        <w:rPr>
          <w:color w:val="auto"/>
        </w:rPr>
        <w:t>. I</w:t>
      </w:r>
      <w:r>
        <w:rPr>
          <w:color w:val="auto"/>
        </w:rPr>
        <w:t xml:space="preserve">t was Applicant submission </w:t>
      </w:r>
      <w:r w:rsidR="00D40C34">
        <w:rPr>
          <w:color w:val="auto"/>
        </w:rPr>
        <w:t xml:space="preserve">that whereas </w:t>
      </w:r>
      <w:r w:rsidR="00D40C34" w:rsidRPr="00D96AAA">
        <w:rPr>
          <w:b/>
          <w:color w:val="auto"/>
        </w:rPr>
        <w:t>clause 11.5</w:t>
      </w:r>
      <w:r w:rsidR="00D40C34">
        <w:rPr>
          <w:color w:val="auto"/>
        </w:rPr>
        <w:t xml:space="preserve"> of the Code provided that a quorum for each of the three Disciplinary Committee</w:t>
      </w:r>
      <w:r w:rsidR="00FD7E88">
        <w:rPr>
          <w:color w:val="auto"/>
        </w:rPr>
        <w:t>s</w:t>
      </w:r>
      <w:r w:rsidR="00D40C34">
        <w:rPr>
          <w:color w:val="auto"/>
        </w:rPr>
        <w:t xml:space="preserve"> is made up of six people </w:t>
      </w:r>
      <w:r w:rsidR="00656171">
        <w:rPr>
          <w:color w:val="auto"/>
        </w:rPr>
        <w:t>i.e</w:t>
      </w:r>
      <w:r w:rsidR="00FD7E88">
        <w:rPr>
          <w:color w:val="auto"/>
        </w:rPr>
        <w:t>.</w:t>
      </w:r>
      <w:r w:rsidR="00656171">
        <w:rPr>
          <w:color w:val="auto"/>
        </w:rPr>
        <w:t xml:space="preserve"> 50% from </w:t>
      </w:r>
      <w:r w:rsidR="00656171">
        <w:rPr>
          <w:color w:val="auto"/>
        </w:rPr>
        <w:lastRenderedPageBreak/>
        <w:t>employee and 50</w:t>
      </w:r>
      <w:r w:rsidR="00D96AAA">
        <w:rPr>
          <w:color w:val="auto"/>
        </w:rPr>
        <w:t>% from employer representatives.</w:t>
      </w:r>
      <w:r w:rsidR="00656171">
        <w:rPr>
          <w:color w:val="auto"/>
        </w:rPr>
        <w:t xml:space="preserve"> </w:t>
      </w:r>
      <w:r w:rsidR="00D96AAA">
        <w:rPr>
          <w:color w:val="auto"/>
        </w:rPr>
        <w:t>In</w:t>
      </w:r>
      <w:r w:rsidR="00656171">
        <w:rPr>
          <w:color w:val="auto"/>
        </w:rPr>
        <w:t xml:space="preserve"> this case the Respondent, had on the third level hearing 7 </w:t>
      </w:r>
      <w:r w:rsidR="00FD7E88">
        <w:rPr>
          <w:color w:val="auto"/>
        </w:rPr>
        <w:t xml:space="preserve">(seven) </w:t>
      </w:r>
      <w:r w:rsidR="00656171">
        <w:rPr>
          <w:color w:val="auto"/>
        </w:rPr>
        <w:t xml:space="preserve">people sitting in the </w:t>
      </w:r>
      <w:r w:rsidR="00367423">
        <w:rPr>
          <w:color w:val="auto"/>
        </w:rPr>
        <w:t>committee. It was Applicant prayer that based</w:t>
      </w:r>
      <w:r w:rsidR="00D96AAA">
        <w:rPr>
          <w:color w:val="auto"/>
        </w:rPr>
        <w:t xml:space="preserve"> on that point alone the court sh</w:t>
      </w:r>
      <w:r w:rsidR="00367423">
        <w:rPr>
          <w:color w:val="auto"/>
        </w:rPr>
        <w:t xml:space="preserve">ould find that the disciplinary proceedings having been convened </w:t>
      </w:r>
      <w:r w:rsidR="00FD7E88">
        <w:rPr>
          <w:color w:val="auto"/>
        </w:rPr>
        <w:t>outside</w:t>
      </w:r>
      <w:r w:rsidR="00D96AAA">
        <w:rPr>
          <w:color w:val="auto"/>
        </w:rPr>
        <w:t xml:space="preserve"> the</w:t>
      </w:r>
      <w:r w:rsidR="00FD7E88">
        <w:rPr>
          <w:color w:val="auto"/>
        </w:rPr>
        <w:t xml:space="preserve"> provisions of the C</w:t>
      </w:r>
      <w:r w:rsidR="00367423">
        <w:rPr>
          <w:color w:val="auto"/>
        </w:rPr>
        <w:t>ode</w:t>
      </w:r>
      <w:r w:rsidR="00FD7E88">
        <w:rPr>
          <w:color w:val="auto"/>
        </w:rPr>
        <w:t xml:space="preserve"> of Conduct</w:t>
      </w:r>
      <w:r w:rsidR="00367423">
        <w:rPr>
          <w:color w:val="auto"/>
        </w:rPr>
        <w:t xml:space="preserve"> were irregular proceedings and the court could therefore set aside the disciplinary proceedings. </w:t>
      </w:r>
      <w:r w:rsidR="00FD7E88">
        <w:rPr>
          <w:color w:val="auto"/>
        </w:rPr>
        <w:t>The</w:t>
      </w:r>
      <w:r w:rsidR="00367423">
        <w:rPr>
          <w:color w:val="auto"/>
        </w:rPr>
        <w:t xml:space="preserve"> second preliminary point was that the Respon</w:t>
      </w:r>
      <w:r w:rsidR="00FD7E88">
        <w:rPr>
          <w:color w:val="auto"/>
        </w:rPr>
        <w:t>dent having failed to file its N</w:t>
      </w:r>
      <w:r w:rsidR="00367423">
        <w:rPr>
          <w:color w:val="auto"/>
        </w:rPr>
        <w:t xml:space="preserve">otice of Opposition and Heads of Argument </w:t>
      </w:r>
      <w:r w:rsidR="002E6CE2">
        <w:rPr>
          <w:color w:val="auto"/>
        </w:rPr>
        <w:t>o</w:t>
      </w:r>
      <w:r w:rsidR="00951030">
        <w:rPr>
          <w:color w:val="auto"/>
        </w:rPr>
        <w:t>n time the Respondent was tech</w:t>
      </w:r>
      <w:r w:rsidR="002E6CE2">
        <w:rPr>
          <w:color w:val="auto"/>
        </w:rPr>
        <w:t xml:space="preserve">nically barred before the court. The court therefore could proceed to determine the </w:t>
      </w:r>
      <w:r w:rsidR="00703E37">
        <w:rPr>
          <w:color w:val="auto"/>
        </w:rPr>
        <w:t xml:space="preserve">manner on the basis of </w:t>
      </w:r>
      <w:r w:rsidR="00703E37" w:rsidRPr="00FD7E88">
        <w:rPr>
          <w:b/>
          <w:color w:val="auto"/>
        </w:rPr>
        <w:t>Rule 20(2) (b)</w:t>
      </w:r>
      <w:r w:rsidR="00703E37">
        <w:rPr>
          <w:color w:val="auto"/>
        </w:rPr>
        <w:t xml:space="preserve"> of </w:t>
      </w:r>
      <w:r w:rsidR="00703E37" w:rsidRPr="00FD7E88">
        <w:rPr>
          <w:b/>
          <w:color w:val="auto"/>
        </w:rPr>
        <w:t>the Labour Court Rules</w:t>
      </w:r>
      <w:r w:rsidR="00FD7E88">
        <w:rPr>
          <w:b/>
          <w:color w:val="auto"/>
        </w:rPr>
        <w:t>, 2017</w:t>
      </w:r>
      <w:r w:rsidR="00703E37">
        <w:rPr>
          <w:color w:val="auto"/>
        </w:rPr>
        <w:t>.</w:t>
      </w:r>
    </w:p>
    <w:p w:rsidR="00703E37" w:rsidRDefault="00703E37" w:rsidP="001E43E5">
      <w:pPr>
        <w:rPr>
          <w:color w:val="auto"/>
        </w:rPr>
      </w:pPr>
      <w:r>
        <w:rPr>
          <w:color w:val="auto"/>
        </w:rPr>
        <w:t>The Responde</w:t>
      </w:r>
      <w:r w:rsidR="00FD7E88">
        <w:rPr>
          <w:color w:val="auto"/>
        </w:rPr>
        <w:t>nt in reply, submitted through Counsel that its Notice of R</w:t>
      </w:r>
      <w:r>
        <w:rPr>
          <w:color w:val="auto"/>
        </w:rPr>
        <w:t xml:space="preserve">esponse </w:t>
      </w:r>
      <w:r w:rsidR="00FD7E88">
        <w:rPr>
          <w:color w:val="auto"/>
        </w:rPr>
        <w:t>had been filed time</w:t>
      </w:r>
      <w:r w:rsidR="00690614">
        <w:rPr>
          <w:color w:val="auto"/>
        </w:rPr>
        <w:t>ously. The Applicant having been fi</w:t>
      </w:r>
      <w:r w:rsidR="00FD7E88">
        <w:rPr>
          <w:color w:val="auto"/>
        </w:rPr>
        <w:t>led on 19th December, 2019 the Notice of R</w:t>
      </w:r>
      <w:r w:rsidR="00690614">
        <w:rPr>
          <w:color w:val="auto"/>
        </w:rPr>
        <w:t xml:space="preserve">esponse had been filed on 5th of January, 2020. </w:t>
      </w:r>
      <w:r w:rsidR="00D96AAA">
        <w:rPr>
          <w:color w:val="auto"/>
        </w:rPr>
        <w:t xml:space="preserve">The </w:t>
      </w:r>
      <w:r w:rsidR="00690614">
        <w:rPr>
          <w:color w:val="auto"/>
        </w:rPr>
        <w:t xml:space="preserve">Respondent </w:t>
      </w:r>
      <w:r w:rsidR="00FD7E88">
        <w:rPr>
          <w:color w:val="auto"/>
        </w:rPr>
        <w:t>counsel sought for an</w:t>
      </w:r>
      <w:r w:rsidR="00DF3B09">
        <w:rPr>
          <w:color w:val="auto"/>
        </w:rPr>
        <w:t xml:space="preserve"> </w:t>
      </w:r>
      <w:r w:rsidR="00D96AAA">
        <w:rPr>
          <w:color w:val="auto"/>
        </w:rPr>
        <w:t>adjournment</w:t>
      </w:r>
      <w:r w:rsidR="00DF3B09">
        <w:rPr>
          <w:color w:val="auto"/>
        </w:rPr>
        <w:t xml:space="preserve"> to enable him to obtain the proof of service. On resumption of the hearing</w:t>
      </w:r>
      <w:r w:rsidR="00FD7E88">
        <w:rPr>
          <w:color w:val="auto"/>
        </w:rPr>
        <w:t>,</w:t>
      </w:r>
      <w:r w:rsidR="00DF3B09">
        <w:rPr>
          <w:color w:val="auto"/>
        </w:rPr>
        <w:t xml:space="preserve"> </w:t>
      </w:r>
      <w:r w:rsidR="00FD7E88">
        <w:rPr>
          <w:color w:val="auto"/>
        </w:rPr>
        <w:t xml:space="preserve">the </w:t>
      </w:r>
      <w:r w:rsidR="00DF3B09">
        <w:rPr>
          <w:color w:val="auto"/>
        </w:rPr>
        <w:t xml:space="preserve">Respondent counsel having tendered in evidence </w:t>
      </w:r>
      <w:r w:rsidR="00FD7E88">
        <w:rPr>
          <w:color w:val="auto"/>
        </w:rPr>
        <w:t xml:space="preserve">the proof of service of </w:t>
      </w:r>
      <w:r w:rsidR="00D96AAA">
        <w:rPr>
          <w:color w:val="auto"/>
        </w:rPr>
        <w:t xml:space="preserve">the </w:t>
      </w:r>
      <w:r w:rsidR="00FD7E88">
        <w:rPr>
          <w:color w:val="auto"/>
        </w:rPr>
        <w:t>Notice of R</w:t>
      </w:r>
      <w:r w:rsidR="00D17A6B">
        <w:rPr>
          <w:color w:val="auto"/>
        </w:rPr>
        <w:t xml:space="preserve">esponse </w:t>
      </w:r>
      <w:r w:rsidR="00FD7E88">
        <w:rPr>
          <w:color w:val="auto"/>
        </w:rPr>
        <w:t xml:space="preserve">which </w:t>
      </w:r>
      <w:r w:rsidR="00D96AAA">
        <w:rPr>
          <w:color w:val="auto"/>
        </w:rPr>
        <w:t>indicated</w:t>
      </w:r>
      <w:r w:rsidR="00D17A6B">
        <w:rPr>
          <w:color w:val="auto"/>
        </w:rPr>
        <w:t xml:space="preserve"> that the delay was in fac</w:t>
      </w:r>
      <w:r w:rsidR="00FD7E88">
        <w:rPr>
          <w:color w:val="auto"/>
        </w:rPr>
        <w:t xml:space="preserve">t of one day, the Applicant </w:t>
      </w:r>
      <w:r w:rsidR="00D17A6B">
        <w:rPr>
          <w:color w:val="auto"/>
        </w:rPr>
        <w:t>being</w:t>
      </w:r>
      <w:r w:rsidR="00D96AAA">
        <w:rPr>
          <w:color w:val="auto"/>
        </w:rPr>
        <w:t xml:space="preserve"> no longer</w:t>
      </w:r>
      <w:r w:rsidR="00D17A6B">
        <w:rPr>
          <w:color w:val="auto"/>
        </w:rPr>
        <w:t xml:space="preserve"> </w:t>
      </w:r>
      <w:r w:rsidR="007E3B58">
        <w:rPr>
          <w:color w:val="auto"/>
        </w:rPr>
        <w:t>op</w:t>
      </w:r>
      <w:r w:rsidR="00FD7E88">
        <w:rPr>
          <w:color w:val="auto"/>
        </w:rPr>
        <w:t xml:space="preserve">posed to the granting of </w:t>
      </w:r>
      <w:r w:rsidR="00D96AAA">
        <w:rPr>
          <w:color w:val="auto"/>
        </w:rPr>
        <w:t>condonation</w:t>
      </w:r>
      <w:r w:rsidR="007E3B58">
        <w:rPr>
          <w:color w:val="auto"/>
        </w:rPr>
        <w:t xml:space="preserve"> in such circumstances</w:t>
      </w:r>
      <w:r w:rsidR="00FD7E88">
        <w:rPr>
          <w:color w:val="auto"/>
        </w:rPr>
        <w:t>, the court duly extended condonation</w:t>
      </w:r>
      <w:r w:rsidR="007E3B58">
        <w:rPr>
          <w:color w:val="auto"/>
        </w:rPr>
        <w:t xml:space="preserve"> to the Respondent </w:t>
      </w:r>
      <w:r w:rsidR="00C85667">
        <w:rPr>
          <w:color w:val="auto"/>
        </w:rPr>
        <w:t>for the late filing of</w:t>
      </w:r>
      <w:r w:rsidR="00593EA0">
        <w:rPr>
          <w:color w:val="auto"/>
        </w:rPr>
        <w:t xml:space="preserve"> the Notice of R</w:t>
      </w:r>
      <w:r w:rsidR="007E3B58">
        <w:rPr>
          <w:color w:val="auto"/>
        </w:rPr>
        <w:t>esponse and the Head of Arg</w:t>
      </w:r>
      <w:r w:rsidR="001F071F">
        <w:rPr>
          <w:color w:val="auto"/>
        </w:rPr>
        <w:t>u</w:t>
      </w:r>
      <w:r w:rsidR="007E3B58">
        <w:rPr>
          <w:color w:val="auto"/>
        </w:rPr>
        <w:t>ment</w:t>
      </w:r>
      <w:r w:rsidR="001F071F">
        <w:rPr>
          <w:color w:val="auto"/>
        </w:rPr>
        <w:t xml:space="preserve">s. </w:t>
      </w:r>
      <w:r w:rsidR="00593EA0">
        <w:rPr>
          <w:color w:val="auto"/>
        </w:rPr>
        <w:t>The Notice of R</w:t>
      </w:r>
      <w:r w:rsidR="00C85667">
        <w:rPr>
          <w:color w:val="auto"/>
        </w:rPr>
        <w:t>espo</w:t>
      </w:r>
      <w:r w:rsidR="00D96AAA">
        <w:rPr>
          <w:color w:val="auto"/>
        </w:rPr>
        <w:t>nse and Heads of A</w:t>
      </w:r>
      <w:r w:rsidR="00593EA0">
        <w:rPr>
          <w:color w:val="auto"/>
        </w:rPr>
        <w:t>rguments</w:t>
      </w:r>
      <w:r w:rsidR="00C85667">
        <w:rPr>
          <w:color w:val="auto"/>
        </w:rPr>
        <w:t xml:space="preserve"> were</w:t>
      </w:r>
      <w:r w:rsidR="00593EA0">
        <w:rPr>
          <w:color w:val="auto"/>
        </w:rPr>
        <w:t xml:space="preserve"> deemed properly filed before the Court and were therefore</w:t>
      </w:r>
      <w:r w:rsidR="00641C3B">
        <w:rPr>
          <w:color w:val="auto"/>
        </w:rPr>
        <w:t xml:space="preserve"> made</w:t>
      </w:r>
      <w:r w:rsidR="00C85667">
        <w:rPr>
          <w:color w:val="auto"/>
        </w:rPr>
        <w:t xml:space="preserve"> part of the record.</w:t>
      </w:r>
    </w:p>
    <w:p w:rsidR="00C85667" w:rsidRDefault="00641C3B" w:rsidP="001E43E5">
      <w:pPr>
        <w:rPr>
          <w:color w:val="auto"/>
        </w:rPr>
      </w:pPr>
      <w:r>
        <w:rPr>
          <w:color w:val="auto"/>
        </w:rPr>
        <w:t>On the first</w:t>
      </w:r>
      <w:r w:rsidR="00C85667">
        <w:rPr>
          <w:color w:val="auto"/>
        </w:rPr>
        <w:t xml:space="preserve"> pr</w:t>
      </w:r>
      <w:r>
        <w:rPr>
          <w:color w:val="auto"/>
        </w:rPr>
        <w:t>eliminary point the Respondent C</w:t>
      </w:r>
      <w:r w:rsidR="00C85667">
        <w:rPr>
          <w:color w:val="auto"/>
        </w:rPr>
        <w:t>ounsel submitted that the Appl</w:t>
      </w:r>
      <w:r>
        <w:rPr>
          <w:color w:val="auto"/>
        </w:rPr>
        <w:t>icant was improperly raising a</w:t>
      </w:r>
      <w:r w:rsidR="00C85667">
        <w:rPr>
          <w:color w:val="auto"/>
        </w:rPr>
        <w:t xml:space="preserve"> point of law in review proc</w:t>
      </w:r>
      <w:r>
        <w:rPr>
          <w:color w:val="auto"/>
        </w:rPr>
        <w:t>eedings. The proceedings before the court were</w:t>
      </w:r>
      <w:r w:rsidR="00C85667">
        <w:rPr>
          <w:color w:val="auto"/>
        </w:rPr>
        <w:t xml:space="preserve"> not appeal</w:t>
      </w:r>
      <w:r>
        <w:rPr>
          <w:color w:val="auto"/>
        </w:rPr>
        <w:t xml:space="preserve"> proceedings. The Applicant</w:t>
      </w:r>
      <w:r w:rsidR="00C85667">
        <w:rPr>
          <w:color w:val="auto"/>
        </w:rPr>
        <w:t xml:space="preserve"> </w:t>
      </w:r>
      <w:r w:rsidR="00D96AAA">
        <w:rPr>
          <w:color w:val="auto"/>
        </w:rPr>
        <w:t>could</w:t>
      </w:r>
      <w:r w:rsidR="00C85667">
        <w:rPr>
          <w:color w:val="auto"/>
        </w:rPr>
        <w:t xml:space="preserve"> not</w:t>
      </w:r>
      <w:r>
        <w:rPr>
          <w:color w:val="auto"/>
        </w:rPr>
        <w:t xml:space="preserve"> therefore</w:t>
      </w:r>
      <w:r w:rsidR="00C85667">
        <w:rPr>
          <w:color w:val="auto"/>
        </w:rPr>
        <w:t xml:space="preserve"> properly raise a point of law in such proceedings. </w:t>
      </w:r>
      <w:r>
        <w:rPr>
          <w:color w:val="auto"/>
        </w:rPr>
        <w:t>Assuming</w:t>
      </w:r>
      <w:r w:rsidR="00C85667">
        <w:rPr>
          <w:color w:val="auto"/>
        </w:rPr>
        <w:t xml:space="preserve"> </w:t>
      </w:r>
      <w:r>
        <w:rPr>
          <w:color w:val="auto"/>
        </w:rPr>
        <w:t xml:space="preserve">however </w:t>
      </w:r>
      <w:r w:rsidR="00C85667">
        <w:rPr>
          <w:color w:val="auto"/>
        </w:rPr>
        <w:t>the point was properly raised it was Respondent</w:t>
      </w:r>
      <w:r>
        <w:rPr>
          <w:color w:val="auto"/>
        </w:rPr>
        <w:t>’s</w:t>
      </w:r>
      <w:r w:rsidR="00C85667">
        <w:rPr>
          <w:color w:val="auto"/>
        </w:rPr>
        <w:t xml:space="preserve"> position</w:t>
      </w:r>
      <w:r w:rsidR="00D96AAA">
        <w:rPr>
          <w:color w:val="auto"/>
        </w:rPr>
        <w:t>,</w:t>
      </w:r>
      <w:r w:rsidR="00C85667">
        <w:rPr>
          <w:color w:val="auto"/>
        </w:rPr>
        <w:t xml:space="preserve"> that</w:t>
      </w:r>
      <w:r w:rsidR="00D96AAA">
        <w:rPr>
          <w:color w:val="auto"/>
        </w:rPr>
        <w:t>,</w:t>
      </w:r>
      <w:r w:rsidR="00C85667">
        <w:rPr>
          <w:color w:val="auto"/>
        </w:rPr>
        <w:t xml:space="preserve"> in any event</w:t>
      </w:r>
      <w:r w:rsidR="00D96AAA">
        <w:rPr>
          <w:color w:val="auto"/>
        </w:rPr>
        <w:t>,</w:t>
      </w:r>
      <w:r w:rsidR="00C85667">
        <w:rPr>
          <w:color w:val="auto"/>
        </w:rPr>
        <w:t xml:space="preserve"> the point was meritless. There had been no attempt </w:t>
      </w:r>
      <w:r w:rsidR="00AC7C29">
        <w:rPr>
          <w:color w:val="auto"/>
        </w:rPr>
        <w:t>by Applicant to</w:t>
      </w:r>
      <w:r>
        <w:rPr>
          <w:color w:val="auto"/>
        </w:rPr>
        <w:t xml:space="preserve"> indicate</w:t>
      </w:r>
      <w:r w:rsidR="00AC7C29">
        <w:rPr>
          <w:color w:val="auto"/>
        </w:rPr>
        <w:t xml:space="preserve"> which</w:t>
      </w:r>
      <w:r>
        <w:rPr>
          <w:color w:val="auto"/>
        </w:rPr>
        <w:t xml:space="preserve"> of</w:t>
      </w:r>
      <w:r w:rsidR="00AC7C29">
        <w:rPr>
          <w:color w:val="auto"/>
        </w:rPr>
        <w:t xml:space="preserve"> the Disciplinary Committee</w:t>
      </w:r>
      <w:r>
        <w:rPr>
          <w:color w:val="auto"/>
        </w:rPr>
        <w:t>s</w:t>
      </w:r>
      <w:r w:rsidR="00AC7C29">
        <w:rPr>
          <w:color w:val="auto"/>
        </w:rPr>
        <w:t xml:space="preserve"> had exceeded the quorum as provided for in the Code of Conduct. </w:t>
      </w:r>
      <w:r>
        <w:rPr>
          <w:color w:val="auto"/>
        </w:rPr>
        <w:t>On</w:t>
      </w:r>
      <w:r w:rsidR="00AC7C29">
        <w:rPr>
          <w:color w:val="auto"/>
        </w:rPr>
        <w:t xml:space="preserve"> </w:t>
      </w:r>
      <w:r>
        <w:rPr>
          <w:color w:val="auto"/>
        </w:rPr>
        <w:t>this point the Respondent prayed for the dismissal</w:t>
      </w:r>
      <w:r w:rsidR="00B2721E">
        <w:rPr>
          <w:color w:val="auto"/>
        </w:rPr>
        <w:t xml:space="preserve"> of the </w:t>
      </w:r>
      <w:r w:rsidR="00D96AAA">
        <w:rPr>
          <w:color w:val="auto"/>
        </w:rPr>
        <w:t xml:space="preserve">first </w:t>
      </w:r>
      <w:r w:rsidR="00B2721E">
        <w:rPr>
          <w:color w:val="auto"/>
        </w:rPr>
        <w:t>preliminary point which had been taken as a point of law.</w:t>
      </w:r>
    </w:p>
    <w:p w:rsidR="00EC55EA" w:rsidRDefault="00EC55EA" w:rsidP="001E43E5">
      <w:pPr>
        <w:rPr>
          <w:color w:val="auto"/>
        </w:rPr>
      </w:pPr>
      <w:r>
        <w:rPr>
          <w:color w:val="auto"/>
        </w:rPr>
        <w:lastRenderedPageBreak/>
        <w:t xml:space="preserve">The </w:t>
      </w:r>
      <w:r w:rsidR="00D96AAA">
        <w:rPr>
          <w:color w:val="auto"/>
        </w:rPr>
        <w:t>first</w:t>
      </w:r>
      <w:r>
        <w:rPr>
          <w:color w:val="auto"/>
        </w:rPr>
        <w:t xml:space="preserve"> point in</w:t>
      </w:r>
      <w:r w:rsidRPr="00641C3B">
        <w:rPr>
          <w:i/>
          <w:color w:val="auto"/>
        </w:rPr>
        <w:t xml:space="preserve"> limine</w:t>
      </w:r>
      <w:r>
        <w:rPr>
          <w:color w:val="auto"/>
        </w:rPr>
        <w:t xml:space="preserve"> clearly stands to be dismissed. The court fully agrees with Respondent submission. </w:t>
      </w:r>
      <w:r w:rsidR="00641C3B">
        <w:rPr>
          <w:color w:val="auto"/>
        </w:rPr>
        <w:t>The</w:t>
      </w:r>
      <w:r>
        <w:rPr>
          <w:color w:val="auto"/>
        </w:rPr>
        <w:t xml:space="preserve"> matter that has been placed before the court is a</w:t>
      </w:r>
      <w:r w:rsidR="001B6D3E">
        <w:rPr>
          <w:color w:val="auto"/>
        </w:rPr>
        <w:t xml:space="preserve">n application for review filed in terms of </w:t>
      </w:r>
      <w:r w:rsidR="001B6D3E" w:rsidRPr="001B6D3E">
        <w:rPr>
          <w:b/>
          <w:color w:val="auto"/>
        </w:rPr>
        <w:t>section 92E</w:t>
      </w:r>
      <w:r w:rsidR="00D96AAA">
        <w:rPr>
          <w:b/>
          <w:color w:val="auto"/>
        </w:rPr>
        <w:t>E</w:t>
      </w:r>
      <w:r w:rsidRPr="001B6D3E">
        <w:rPr>
          <w:b/>
          <w:color w:val="auto"/>
        </w:rPr>
        <w:t xml:space="preserve"> </w:t>
      </w:r>
      <w:r>
        <w:rPr>
          <w:color w:val="auto"/>
        </w:rPr>
        <w:t>of the</w:t>
      </w:r>
      <w:r w:rsidRPr="001B6D3E">
        <w:rPr>
          <w:b/>
          <w:color w:val="auto"/>
        </w:rPr>
        <w:t xml:space="preserve"> Labour Act [Cap 28:01]</w:t>
      </w:r>
      <w:r w:rsidR="004F202C" w:rsidRPr="001B6D3E">
        <w:rPr>
          <w:b/>
          <w:color w:val="auto"/>
        </w:rPr>
        <w:t>.</w:t>
      </w:r>
      <w:r w:rsidR="004F202C">
        <w:rPr>
          <w:color w:val="auto"/>
        </w:rPr>
        <w:t xml:space="preserve"> Being an application for review it is clear that the court is only empowered to review the proceedings and decisions </w:t>
      </w:r>
      <w:r w:rsidR="00A6290C">
        <w:rPr>
          <w:color w:val="auto"/>
        </w:rPr>
        <w:t xml:space="preserve">of any inferior tribunals. See </w:t>
      </w:r>
      <w:r w:rsidR="00A6290C" w:rsidRPr="001B6D3E">
        <w:rPr>
          <w:i/>
          <w:color w:val="auto"/>
        </w:rPr>
        <w:t>Zimasco (Pvt</w:t>
      </w:r>
      <w:r w:rsidR="00FC1F90" w:rsidRPr="001B6D3E">
        <w:rPr>
          <w:i/>
          <w:color w:val="auto"/>
        </w:rPr>
        <w:t>) Ltd</w:t>
      </w:r>
      <w:r w:rsidR="00A6290C" w:rsidRPr="001B6D3E">
        <w:rPr>
          <w:i/>
          <w:color w:val="auto"/>
        </w:rPr>
        <w:t xml:space="preserve"> vs Marikan</w:t>
      </w:r>
      <w:r w:rsidR="001B6D3E" w:rsidRPr="001B6D3E">
        <w:rPr>
          <w:i/>
          <w:color w:val="auto"/>
        </w:rPr>
        <w:t>o 2014(1) ZLR 1(5)</w:t>
      </w:r>
      <w:r w:rsidR="001B6D3E">
        <w:rPr>
          <w:color w:val="auto"/>
        </w:rPr>
        <w:t xml:space="preserve"> and </w:t>
      </w:r>
      <w:r w:rsidR="001B6D3E" w:rsidRPr="001B6D3E">
        <w:rPr>
          <w:i/>
          <w:color w:val="auto"/>
        </w:rPr>
        <w:t>Joseph Lunga &amp; O</w:t>
      </w:r>
      <w:r w:rsidR="00C01694" w:rsidRPr="001B6D3E">
        <w:rPr>
          <w:i/>
          <w:color w:val="auto"/>
        </w:rPr>
        <w:t>rs vs Reserve Bank of Zimbabwe</w:t>
      </w:r>
      <w:r w:rsidR="001B6D3E" w:rsidRPr="001B6D3E">
        <w:rPr>
          <w:i/>
          <w:color w:val="auto"/>
        </w:rPr>
        <w:t xml:space="preserve"> SC 1/</w:t>
      </w:r>
      <w:r w:rsidR="00C03E0A" w:rsidRPr="001B6D3E">
        <w:rPr>
          <w:i/>
          <w:color w:val="auto"/>
        </w:rPr>
        <w:t>17</w:t>
      </w:r>
      <w:r w:rsidR="00C03E0A">
        <w:rPr>
          <w:color w:val="auto"/>
        </w:rPr>
        <w:t xml:space="preserve">. The court </w:t>
      </w:r>
      <w:r w:rsidR="001B6D3E">
        <w:rPr>
          <w:color w:val="auto"/>
        </w:rPr>
        <w:t xml:space="preserve">clearly has no </w:t>
      </w:r>
      <w:r w:rsidR="00C03E0A">
        <w:rPr>
          <w:color w:val="auto"/>
        </w:rPr>
        <w:t xml:space="preserve">powers to address </w:t>
      </w:r>
      <w:r w:rsidR="001B6D3E">
        <w:rPr>
          <w:color w:val="auto"/>
        </w:rPr>
        <w:t>the issue</w:t>
      </w:r>
      <w:r w:rsidR="00C03E0A">
        <w:rPr>
          <w:color w:val="auto"/>
        </w:rPr>
        <w:t xml:space="preserve"> of law</w:t>
      </w:r>
      <w:r w:rsidR="001B6D3E">
        <w:rPr>
          <w:color w:val="auto"/>
        </w:rPr>
        <w:t xml:space="preserve"> as taken by the Applicant in regards the improper composition of </w:t>
      </w:r>
      <w:r w:rsidR="00DD4259">
        <w:rPr>
          <w:color w:val="auto"/>
        </w:rPr>
        <w:t>The Disciplinary Committees</w:t>
      </w:r>
      <w:r w:rsidR="00D96AAA">
        <w:rPr>
          <w:color w:val="auto"/>
        </w:rPr>
        <w:t>. S</w:t>
      </w:r>
      <w:r w:rsidR="001B6D3E">
        <w:rPr>
          <w:color w:val="auto"/>
        </w:rPr>
        <w:t>ee</w:t>
      </w:r>
      <w:r w:rsidR="00D96AAA">
        <w:rPr>
          <w:color w:val="auto"/>
        </w:rPr>
        <w:t xml:space="preserve"> for an example,</w:t>
      </w:r>
      <w:r w:rsidR="001B6D3E">
        <w:rPr>
          <w:color w:val="auto"/>
        </w:rPr>
        <w:t xml:space="preserve"> </w:t>
      </w:r>
      <w:r w:rsidR="001B6D3E" w:rsidRPr="001B6D3E">
        <w:rPr>
          <w:i/>
          <w:color w:val="auto"/>
        </w:rPr>
        <w:t>Unifreight Limited vs Lighton Madembo</w:t>
      </w:r>
      <w:r w:rsidR="001B6D3E">
        <w:rPr>
          <w:color w:val="auto"/>
        </w:rPr>
        <w:t xml:space="preserve"> </w:t>
      </w:r>
      <w:r w:rsidR="00DD4259" w:rsidRPr="00DD4259">
        <w:rPr>
          <w:color w:val="auto"/>
        </w:rPr>
        <w:t xml:space="preserve">SC 6/18 </w:t>
      </w:r>
      <w:r w:rsidR="00D96AAA">
        <w:rPr>
          <w:color w:val="auto"/>
        </w:rPr>
        <w:t>where the Supreme Court had a</w:t>
      </w:r>
      <w:r w:rsidR="001B6D3E">
        <w:rPr>
          <w:color w:val="auto"/>
        </w:rPr>
        <w:t>n occasion to address in an appeal</w:t>
      </w:r>
      <w:r w:rsidR="00D96AAA">
        <w:rPr>
          <w:color w:val="auto"/>
        </w:rPr>
        <w:t xml:space="preserve"> the</w:t>
      </w:r>
      <w:r w:rsidR="001B6D3E">
        <w:rPr>
          <w:color w:val="auto"/>
        </w:rPr>
        <w:t xml:space="preserve"> issue of composition of Disciplinary Committee.</w:t>
      </w:r>
      <w:r w:rsidR="00C03E0A">
        <w:rPr>
          <w:color w:val="auto"/>
        </w:rPr>
        <w:t xml:space="preserve"> It must follow therefore that the point of law raised by Applicant has</w:t>
      </w:r>
      <w:r w:rsidR="00D96AAA">
        <w:rPr>
          <w:color w:val="auto"/>
        </w:rPr>
        <w:t xml:space="preserve"> been</w:t>
      </w:r>
      <w:r w:rsidR="00C03E0A">
        <w:rPr>
          <w:color w:val="auto"/>
        </w:rPr>
        <w:t xml:space="preserve"> improperly </w:t>
      </w:r>
      <w:r w:rsidR="0054479C">
        <w:rPr>
          <w:color w:val="auto"/>
        </w:rPr>
        <w:t xml:space="preserve">raised in review proceedings. </w:t>
      </w:r>
      <w:r w:rsidR="001B6D3E">
        <w:rPr>
          <w:color w:val="auto"/>
        </w:rPr>
        <w:t>It</w:t>
      </w:r>
      <w:r w:rsidR="0054479C">
        <w:rPr>
          <w:color w:val="auto"/>
        </w:rPr>
        <w:t xml:space="preserve"> ought therefore to be dismissed as I hereby do.</w:t>
      </w:r>
    </w:p>
    <w:p w:rsidR="0054479C" w:rsidRPr="001B6D3E" w:rsidRDefault="0054479C" w:rsidP="001E43E5">
      <w:pPr>
        <w:rPr>
          <w:b/>
          <w:color w:val="auto"/>
        </w:rPr>
      </w:pPr>
      <w:r w:rsidRPr="001B6D3E">
        <w:rPr>
          <w:b/>
          <w:color w:val="auto"/>
        </w:rPr>
        <w:t>GROUNDS FOR REVIEW</w:t>
      </w:r>
    </w:p>
    <w:p w:rsidR="003A7D82" w:rsidRDefault="0054479C" w:rsidP="001E43E5">
      <w:pPr>
        <w:rPr>
          <w:color w:val="auto"/>
        </w:rPr>
      </w:pPr>
      <w:r>
        <w:rPr>
          <w:color w:val="auto"/>
        </w:rPr>
        <w:t xml:space="preserve">The Applicant has </w:t>
      </w:r>
      <w:r w:rsidR="003A7D82">
        <w:rPr>
          <w:color w:val="auto"/>
        </w:rPr>
        <w:t xml:space="preserve">raised three grounds for review, </w:t>
      </w:r>
      <w:r>
        <w:rPr>
          <w:color w:val="auto"/>
        </w:rPr>
        <w:t>I shall address each in turn</w:t>
      </w:r>
      <w:r w:rsidR="002B25C6">
        <w:rPr>
          <w:color w:val="auto"/>
        </w:rPr>
        <w:t>. In the first ground the Applican</w:t>
      </w:r>
      <w:r w:rsidR="003A7D82">
        <w:rPr>
          <w:color w:val="auto"/>
        </w:rPr>
        <w:t>t submits that he was not granted a</w:t>
      </w:r>
      <w:r w:rsidR="002B25C6">
        <w:rPr>
          <w:color w:val="auto"/>
        </w:rPr>
        <w:t xml:space="preserve">n opportunity </w:t>
      </w:r>
      <w:r w:rsidR="002C23FD">
        <w:rPr>
          <w:color w:val="auto"/>
        </w:rPr>
        <w:t>to present his defenc</w:t>
      </w:r>
      <w:r w:rsidR="002B25C6">
        <w:rPr>
          <w:color w:val="auto"/>
        </w:rPr>
        <w:t>e. He submitted, through his Heads</w:t>
      </w:r>
      <w:r w:rsidR="00D96AAA">
        <w:rPr>
          <w:color w:val="auto"/>
        </w:rPr>
        <w:t xml:space="preserve"> of Argument</w:t>
      </w:r>
      <w:r w:rsidR="002B25C6">
        <w:rPr>
          <w:color w:val="auto"/>
        </w:rPr>
        <w:t xml:space="preserve"> that the principles of </w:t>
      </w:r>
      <w:r w:rsidR="002C23FD">
        <w:rPr>
          <w:color w:val="auto"/>
        </w:rPr>
        <w:t xml:space="preserve">natural justice were not followed by the </w:t>
      </w:r>
      <w:r w:rsidR="00D96AAA">
        <w:rPr>
          <w:color w:val="auto"/>
        </w:rPr>
        <w:t>Disciplinary C</w:t>
      </w:r>
      <w:r w:rsidR="002C23FD">
        <w:rPr>
          <w:color w:val="auto"/>
        </w:rPr>
        <w:t xml:space="preserve">ommittee at the initial hearing </w:t>
      </w:r>
      <w:r w:rsidR="003A7D82">
        <w:rPr>
          <w:color w:val="auto"/>
        </w:rPr>
        <w:t xml:space="preserve">more </w:t>
      </w:r>
      <w:r w:rsidR="002C23FD">
        <w:rPr>
          <w:color w:val="auto"/>
        </w:rPr>
        <w:t xml:space="preserve">specifically he was not given a chance to lay out his defence and then lead evidence </w:t>
      </w:r>
      <w:r w:rsidR="008108C4">
        <w:rPr>
          <w:color w:val="auto"/>
        </w:rPr>
        <w:t>in rebuttal</w:t>
      </w:r>
      <w:r w:rsidR="003A7D82">
        <w:rPr>
          <w:color w:val="auto"/>
        </w:rPr>
        <w:t>.</w:t>
      </w:r>
    </w:p>
    <w:p w:rsidR="0054479C" w:rsidRDefault="003A7D82" w:rsidP="001E43E5">
      <w:pPr>
        <w:rPr>
          <w:color w:val="auto"/>
        </w:rPr>
      </w:pPr>
      <w:r>
        <w:rPr>
          <w:color w:val="auto"/>
        </w:rPr>
        <w:t xml:space="preserve"> H</w:t>
      </w:r>
      <w:r w:rsidR="008108C4">
        <w:rPr>
          <w:color w:val="auto"/>
        </w:rPr>
        <w:t xml:space="preserve">e referred to a South African authority in </w:t>
      </w:r>
      <w:r w:rsidR="008108C4" w:rsidRPr="003A7D82">
        <w:rPr>
          <w:i/>
          <w:color w:val="auto"/>
        </w:rPr>
        <w:t xml:space="preserve">Semenya and Ors vs </w:t>
      </w:r>
      <w:r w:rsidR="00996843" w:rsidRPr="003A7D82">
        <w:rPr>
          <w:i/>
          <w:color w:val="auto"/>
        </w:rPr>
        <w:t>Commissioner of Conciliation</w:t>
      </w:r>
      <w:r>
        <w:rPr>
          <w:i/>
          <w:color w:val="auto"/>
        </w:rPr>
        <w:t>,</w:t>
      </w:r>
      <w:r w:rsidR="00996843" w:rsidRPr="003A7D82">
        <w:rPr>
          <w:i/>
          <w:color w:val="auto"/>
        </w:rPr>
        <w:t xml:space="preserve"> Mediation and Arbitration </w:t>
      </w:r>
      <w:r w:rsidR="0008462A" w:rsidRPr="003A7D82">
        <w:rPr>
          <w:i/>
          <w:color w:val="auto"/>
        </w:rPr>
        <w:t>2006 271 LT 27 LAC</w:t>
      </w:r>
      <w:r>
        <w:rPr>
          <w:i/>
          <w:color w:val="auto"/>
        </w:rPr>
        <w:t>.</w:t>
      </w:r>
      <w:r w:rsidR="0008462A">
        <w:rPr>
          <w:color w:val="auto"/>
        </w:rPr>
        <w:t xml:space="preserve"> The Applicant also submits that the Chairman of </w:t>
      </w:r>
      <w:r>
        <w:rPr>
          <w:color w:val="auto"/>
        </w:rPr>
        <w:t>the</w:t>
      </w:r>
      <w:r w:rsidR="004D4EE1">
        <w:rPr>
          <w:color w:val="auto"/>
        </w:rPr>
        <w:t xml:space="preserve"> initial hearing by also failing to grant </w:t>
      </w:r>
      <w:r>
        <w:rPr>
          <w:color w:val="auto"/>
        </w:rPr>
        <w:t xml:space="preserve">him an opportunity to give his defence was also clearly </w:t>
      </w:r>
      <w:r w:rsidR="00552353">
        <w:rPr>
          <w:color w:val="auto"/>
        </w:rPr>
        <w:t>biased</w:t>
      </w:r>
      <w:r w:rsidR="004D4EE1">
        <w:rPr>
          <w:color w:val="auto"/>
        </w:rPr>
        <w:t xml:space="preserve">. The Applicant relied on </w:t>
      </w:r>
      <w:r w:rsidR="000472A1">
        <w:rPr>
          <w:color w:val="auto"/>
        </w:rPr>
        <w:t xml:space="preserve">another South African authority in </w:t>
      </w:r>
      <w:r w:rsidR="000472A1" w:rsidRPr="00552353">
        <w:rPr>
          <w:i/>
          <w:color w:val="auto"/>
        </w:rPr>
        <w:t>Nufaswa OBO Matiti vs Sveno</w:t>
      </w:r>
      <w:r w:rsidR="00600D7B">
        <w:rPr>
          <w:i/>
          <w:color w:val="auto"/>
        </w:rPr>
        <w:t xml:space="preserve"> </w:t>
      </w:r>
      <w:r w:rsidR="00552353" w:rsidRPr="00552353">
        <w:rPr>
          <w:i/>
          <w:color w:val="auto"/>
        </w:rPr>
        <w:t>C</w:t>
      </w:r>
      <w:r w:rsidR="000472A1" w:rsidRPr="00552353">
        <w:rPr>
          <w:i/>
          <w:color w:val="auto"/>
        </w:rPr>
        <w:t xml:space="preserve">rafe EC 2006 </w:t>
      </w:r>
      <w:r w:rsidR="000A56B0" w:rsidRPr="00552353">
        <w:rPr>
          <w:i/>
          <w:color w:val="auto"/>
        </w:rPr>
        <w:t>JOH18717 BCFM</w:t>
      </w:r>
      <w:r w:rsidR="00783254">
        <w:rPr>
          <w:color w:val="auto"/>
        </w:rPr>
        <w:t>.</w:t>
      </w:r>
      <w:r w:rsidR="000A56B0" w:rsidRPr="00783254">
        <w:rPr>
          <w:color w:val="auto"/>
        </w:rPr>
        <w:t xml:space="preserve"> </w:t>
      </w:r>
    </w:p>
    <w:p w:rsidR="000930C9" w:rsidRDefault="000930C9" w:rsidP="001E43E5">
      <w:pPr>
        <w:rPr>
          <w:color w:val="auto"/>
        </w:rPr>
      </w:pPr>
      <w:r>
        <w:rPr>
          <w:color w:val="auto"/>
        </w:rPr>
        <w:t>The Respondent</w:t>
      </w:r>
      <w:r w:rsidR="00783254">
        <w:rPr>
          <w:color w:val="auto"/>
        </w:rPr>
        <w:t xml:space="preserve"> in its Notice of Opposition</w:t>
      </w:r>
      <w:r>
        <w:rPr>
          <w:color w:val="auto"/>
        </w:rPr>
        <w:t xml:space="preserve"> disputed the assertion made by the Applicant that he was denied the opportunity to present his defence or to lead evidence </w:t>
      </w:r>
      <w:r w:rsidR="001178C2">
        <w:rPr>
          <w:color w:val="auto"/>
        </w:rPr>
        <w:t>in rebuttal</w:t>
      </w:r>
      <w:r w:rsidR="00A67F0C">
        <w:rPr>
          <w:color w:val="auto"/>
        </w:rPr>
        <w:t xml:space="preserve"> of the charge. The record according to Respondent clearly showed in the minutes of the initial hearing at Immediate Superior Level that </w:t>
      </w:r>
      <w:r w:rsidR="00A67F0C">
        <w:rPr>
          <w:color w:val="auto"/>
        </w:rPr>
        <w:lastRenderedPageBreak/>
        <w:t xml:space="preserve">Applicant </w:t>
      </w:r>
      <w:r w:rsidR="0092341E">
        <w:rPr>
          <w:color w:val="auto"/>
        </w:rPr>
        <w:t>had been informed of the charges first. After the charges w</w:t>
      </w:r>
      <w:r w:rsidR="00783254">
        <w:rPr>
          <w:color w:val="auto"/>
        </w:rPr>
        <w:t>ere read including the details of the allegations</w:t>
      </w:r>
      <w:r w:rsidR="00C81935">
        <w:rPr>
          <w:color w:val="auto"/>
        </w:rPr>
        <w:t xml:space="preserve"> Applicant had been invited to present his defence</w:t>
      </w:r>
      <w:r w:rsidR="00783254">
        <w:rPr>
          <w:color w:val="auto"/>
        </w:rPr>
        <w:t>. He</w:t>
      </w:r>
      <w:r w:rsidR="00C81935">
        <w:rPr>
          <w:color w:val="auto"/>
        </w:rPr>
        <w:t xml:space="preserve"> was thereafter subjected to some questioning </w:t>
      </w:r>
      <w:r w:rsidR="00BA0F5E">
        <w:rPr>
          <w:color w:val="auto"/>
        </w:rPr>
        <w:t>by the committee members. On this basis the Respondent prayer is for dis</w:t>
      </w:r>
      <w:r w:rsidR="00783254">
        <w:rPr>
          <w:color w:val="auto"/>
        </w:rPr>
        <w:t>missal of the ground as unmerited</w:t>
      </w:r>
      <w:r w:rsidR="00BA0F5E">
        <w:rPr>
          <w:color w:val="auto"/>
        </w:rPr>
        <w:t>.</w:t>
      </w:r>
    </w:p>
    <w:p w:rsidR="00EF238B" w:rsidRDefault="00BA0F5E" w:rsidP="001E43E5">
      <w:pPr>
        <w:rPr>
          <w:color w:val="auto"/>
        </w:rPr>
      </w:pPr>
      <w:r>
        <w:rPr>
          <w:color w:val="auto"/>
        </w:rPr>
        <w:t xml:space="preserve">The court’s finding is that </w:t>
      </w:r>
      <w:r w:rsidR="00643C59">
        <w:rPr>
          <w:color w:val="auto"/>
        </w:rPr>
        <w:t>this ground of review</w:t>
      </w:r>
      <w:r w:rsidR="00783254">
        <w:rPr>
          <w:color w:val="auto"/>
        </w:rPr>
        <w:t xml:space="preserve"> clearly</w:t>
      </w:r>
      <w:r w:rsidR="00643C59">
        <w:rPr>
          <w:color w:val="auto"/>
        </w:rPr>
        <w:t xml:space="preserve"> cannot succeed</w:t>
      </w:r>
      <w:r w:rsidR="00783254">
        <w:rPr>
          <w:color w:val="auto"/>
        </w:rPr>
        <w:t>.</w:t>
      </w:r>
      <w:r w:rsidR="00643C59">
        <w:rPr>
          <w:color w:val="auto"/>
        </w:rPr>
        <w:t xml:space="preserve"> </w:t>
      </w:r>
      <w:r w:rsidR="00783254" w:rsidRPr="00783254">
        <w:rPr>
          <w:b/>
          <w:color w:val="auto"/>
        </w:rPr>
        <w:t>Clause 11.6(c)</w:t>
      </w:r>
      <w:r w:rsidR="00783254">
        <w:rPr>
          <w:color w:val="auto"/>
        </w:rPr>
        <w:t xml:space="preserve"> of the relevant C</w:t>
      </w:r>
      <w:r w:rsidR="00643C59">
        <w:rPr>
          <w:color w:val="auto"/>
        </w:rPr>
        <w:t>ode</w:t>
      </w:r>
      <w:r w:rsidR="00783254">
        <w:rPr>
          <w:color w:val="auto"/>
        </w:rPr>
        <w:t xml:space="preserve"> of C</w:t>
      </w:r>
      <w:r w:rsidR="00A75CDA">
        <w:rPr>
          <w:color w:val="auto"/>
        </w:rPr>
        <w:t>onduct i.e</w:t>
      </w:r>
      <w:r w:rsidR="00783254">
        <w:rPr>
          <w:color w:val="auto"/>
        </w:rPr>
        <w:t>.</w:t>
      </w:r>
      <w:r w:rsidR="00A75CDA">
        <w:rPr>
          <w:color w:val="auto"/>
        </w:rPr>
        <w:t xml:space="preserve"> the Delta Beve</w:t>
      </w:r>
      <w:r w:rsidR="00643C59">
        <w:rPr>
          <w:color w:val="auto"/>
        </w:rPr>
        <w:t xml:space="preserve">rages Code of </w:t>
      </w:r>
      <w:r w:rsidR="00A75CDA">
        <w:rPr>
          <w:color w:val="auto"/>
        </w:rPr>
        <w:t>Conduct (2003) outlines the procedures to be followed in conducting hearing</w:t>
      </w:r>
      <w:r w:rsidR="00783254">
        <w:rPr>
          <w:color w:val="auto"/>
        </w:rPr>
        <w:t xml:space="preserve"> at immediate Supervisor level.</w:t>
      </w:r>
      <w:r w:rsidR="00A75CDA">
        <w:rPr>
          <w:color w:val="auto"/>
        </w:rPr>
        <w:t xml:space="preserve"> </w:t>
      </w:r>
      <w:r w:rsidR="00A75CDA" w:rsidRPr="00783254">
        <w:rPr>
          <w:b/>
          <w:color w:val="auto"/>
        </w:rPr>
        <w:t>Clause 11.6(c)</w:t>
      </w:r>
      <w:r w:rsidR="00A75CDA">
        <w:rPr>
          <w:color w:val="auto"/>
        </w:rPr>
        <w:t xml:space="preserve"> </w:t>
      </w:r>
      <w:r w:rsidR="00783254">
        <w:rPr>
          <w:color w:val="auto"/>
        </w:rPr>
        <w:t xml:space="preserve">outlines the hearing at the Immediate Superior level as follows </w:t>
      </w:r>
      <w:r w:rsidR="007A2447">
        <w:rPr>
          <w:color w:val="auto"/>
        </w:rPr>
        <w:t xml:space="preserve">:- </w:t>
      </w:r>
    </w:p>
    <w:p w:rsidR="00783254" w:rsidRPr="001178C2" w:rsidRDefault="00783254" w:rsidP="001178C2">
      <w:pPr>
        <w:spacing w:line="276" w:lineRule="auto"/>
        <w:ind w:left="720" w:firstLine="0"/>
        <w:rPr>
          <w:color w:val="auto"/>
          <w:sz w:val="22"/>
        </w:rPr>
      </w:pPr>
      <w:r w:rsidRPr="001178C2">
        <w:rPr>
          <w:color w:val="auto"/>
          <w:sz w:val="22"/>
        </w:rPr>
        <w:t xml:space="preserve">6 (c) in conducting the hearing </w:t>
      </w:r>
      <w:r w:rsidR="001178C2" w:rsidRPr="001178C2">
        <w:rPr>
          <w:color w:val="auto"/>
          <w:sz w:val="22"/>
        </w:rPr>
        <w:t>referred</w:t>
      </w:r>
      <w:r w:rsidRPr="001178C2">
        <w:rPr>
          <w:color w:val="auto"/>
          <w:sz w:val="22"/>
        </w:rPr>
        <w:t xml:space="preserve"> to in 11.6 (b) the immediate superior/supervisor </w:t>
      </w:r>
    </w:p>
    <w:p w:rsidR="00BA0F5E" w:rsidRPr="001178C2" w:rsidRDefault="00EF238B" w:rsidP="001178C2">
      <w:pPr>
        <w:spacing w:line="276" w:lineRule="auto"/>
        <w:ind w:left="720" w:firstLine="0"/>
        <w:rPr>
          <w:color w:val="auto"/>
          <w:sz w:val="22"/>
        </w:rPr>
      </w:pPr>
      <w:r w:rsidRPr="001178C2">
        <w:rPr>
          <w:color w:val="auto"/>
          <w:sz w:val="22"/>
        </w:rPr>
        <w:t>-</w:t>
      </w:r>
      <w:r w:rsidR="001178C2">
        <w:rPr>
          <w:color w:val="auto"/>
          <w:sz w:val="22"/>
        </w:rPr>
        <w:t xml:space="preserve"> </w:t>
      </w:r>
      <w:r w:rsidR="001178C2" w:rsidRPr="001178C2">
        <w:rPr>
          <w:color w:val="auto"/>
          <w:sz w:val="22"/>
        </w:rPr>
        <w:t>shall ensure</w:t>
      </w:r>
      <w:r w:rsidRPr="001178C2">
        <w:rPr>
          <w:color w:val="auto"/>
          <w:sz w:val="22"/>
        </w:rPr>
        <w:t xml:space="preserve"> that the employee is afforded </w:t>
      </w:r>
      <w:r w:rsidR="00544E5F" w:rsidRPr="001178C2">
        <w:rPr>
          <w:color w:val="auto"/>
          <w:sz w:val="22"/>
        </w:rPr>
        <w:t>the opportunity to be heard and person or through his representatives and also to defend himself against the allegations raised:</w:t>
      </w:r>
    </w:p>
    <w:p w:rsidR="007531A1" w:rsidRPr="001178C2" w:rsidRDefault="00544E5F" w:rsidP="001178C2">
      <w:pPr>
        <w:spacing w:line="276" w:lineRule="auto"/>
        <w:ind w:left="720" w:firstLine="0"/>
        <w:rPr>
          <w:color w:val="auto"/>
          <w:sz w:val="22"/>
        </w:rPr>
      </w:pPr>
      <w:r w:rsidRPr="001178C2">
        <w:rPr>
          <w:color w:val="auto"/>
          <w:sz w:val="22"/>
        </w:rPr>
        <w:t xml:space="preserve">- shall call witnesses of both the employee and management </w:t>
      </w:r>
      <w:r w:rsidR="00C15A03" w:rsidRPr="001178C2">
        <w:rPr>
          <w:color w:val="auto"/>
          <w:sz w:val="22"/>
        </w:rPr>
        <w:t>where necessary</w:t>
      </w:r>
      <w:r w:rsidR="00065B6D" w:rsidRPr="001178C2">
        <w:rPr>
          <w:color w:val="auto"/>
          <w:sz w:val="22"/>
        </w:rPr>
        <w:t xml:space="preserve"> to give evidence as required/</w:t>
      </w:r>
      <w:r w:rsidR="00C15A03" w:rsidRPr="001178C2">
        <w:rPr>
          <w:color w:val="auto"/>
          <w:sz w:val="22"/>
        </w:rPr>
        <w:t xml:space="preserve">requested. </w:t>
      </w:r>
    </w:p>
    <w:p w:rsidR="007531A1" w:rsidRDefault="007531A1" w:rsidP="001E43E5">
      <w:pPr>
        <w:rPr>
          <w:color w:val="auto"/>
        </w:rPr>
      </w:pPr>
      <w:r>
        <w:rPr>
          <w:color w:val="auto"/>
        </w:rPr>
        <w:t>The record of proceedings clearly shows on page 2 of the Min</w:t>
      </w:r>
      <w:r w:rsidR="00065B6D">
        <w:rPr>
          <w:color w:val="auto"/>
        </w:rPr>
        <w:t>utes of the initial hearing at I</w:t>
      </w:r>
      <w:r>
        <w:rPr>
          <w:color w:val="auto"/>
        </w:rPr>
        <w:t xml:space="preserve">mmediate </w:t>
      </w:r>
      <w:r w:rsidR="000C0B2F">
        <w:rPr>
          <w:color w:val="auto"/>
        </w:rPr>
        <w:t>Superior level that the Chairman read out the charges as well as</w:t>
      </w:r>
      <w:r w:rsidR="00065B6D">
        <w:rPr>
          <w:color w:val="auto"/>
        </w:rPr>
        <w:t xml:space="preserve"> the details pertaining to</w:t>
      </w:r>
      <w:r w:rsidR="000C0B2F">
        <w:rPr>
          <w:color w:val="auto"/>
        </w:rPr>
        <w:t xml:space="preserve"> charges. </w:t>
      </w:r>
      <w:r w:rsidR="00065B6D">
        <w:rPr>
          <w:color w:val="auto"/>
        </w:rPr>
        <w:t>The record also shows</w:t>
      </w:r>
      <w:r w:rsidR="00DE6431">
        <w:rPr>
          <w:color w:val="auto"/>
        </w:rPr>
        <w:t xml:space="preserve"> the written report compiled by Applicant in response to the charges. The Applicant was therefore</w:t>
      </w:r>
      <w:r w:rsidR="00065B6D">
        <w:rPr>
          <w:color w:val="auto"/>
        </w:rPr>
        <w:t xml:space="preserve"> clearly</w:t>
      </w:r>
      <w:r w:rsidR="00DE6431">
        <w:rPr>
          <w:color w:val="auto"/>
        </w:rPr>
        <w:t xml:space="preserve"> granted an opportunity to outline his defence by explaining </w:t>
      </w:r>
      <w:r w:rsidR="00E4347E">
        <w:rPr>
          <w:color w:val="auto"/>
        </w:rPr>
        <w:t>what really transpired on the day. The record</w:t>
      </w:r>
      <w:r w:rsidR="00065B6D">
        <w:rPr>
          <w:color w:val="auto"/>
        </w:rPr>
        <w:t xml:space="preserve"> further</w:t>
      </w:r>
      <w:r w:rsidR="00E4347E">
        <w:rPr>
          <w:color w:val="auto"/>
        </w:rPr>
        <w:t xml:space="preserve"> shows that Applicant did present his explanation of the events and his defence to the charge</w:t>
      </w:r>
      <w:r w:rsidR="00065B6D">
        <w:rPr>
          <w:color w:val="auto"/>
        </w:rPr>
        <w:t xml:space="preserve"> on the date of hearing</w:t>
      </w:r>
      <w:r w:rsidR="00E4347E">
        <w:rPr>
          <w:color w:val="auto"/>
        </w:rPr>
        <w:t xml:space="preserve">. The Applicant was thereafter subjected to questioning by the committee members on issues arising from this submission. </w:t>
      </w:r>
      <w:r w:rsidR="0027790E">
        <w:rPr>
          <w:color w:val="auto"/>
        </w:rPr>
        <w:t>The Applicant has</w:t>
      </w:r>
      <w:r w:rsidR="001178C2">
        <w:rPr>
          <w:color w:val="auto"/>
        </w:rPr>
        <w:t xml:space="preserve"> however</w:t>
      </w:r>
      <w:r w:rsidR="0027790E">
        <w:rPr>
          <w:color w:val="auto"/>
        </w:rPr>
        <w:t xml:space="preserve"> also a</w:t>
      </w:r>
      <w:r w:rsidR="001178C2">
        <w:rPr>
          <w:color w:val="auto"/>
        </w:rPr>
        <w:t>lleged bias on the part of the C</w:t>
      </w:r>
      <w:r w:rsidR="0027790E">
        <w:rPr>
          <w:color w:val="auto"/>
        </w:rPr>
        <w:t>hairman</w:t>
      </w:r>
      <w:r w:rsidR="001178C2">
        <w:rPr>
          <w:color w:val="auto"/>
        </w:rPr>
        <w:t xml:space="preserve"> on the basis of his decision to deny Applicant an opportunity to lead evidence in rebuttal. Although the issue of bias was raised it was </w:t>
      </w:r>
      <w:r w:rsidR="00A22A52">
        <w:rPr>
          <w:color w:val="auto"/>
        </w:rPr>
        <w:t>however</w:t>
      </w:r>
      <w:r w:rsidR="001178C2">
        <w:rPr>
          <w:color w:val="auto"/>
        </w:rPr>
        <w:t xml:space="preserve"> not established before me</w:t>
      </w:r>
      <w:r w:rsidR="0027790E">
        <w:rPr>
          <w:color w:val="auto"/>
        </w:rPr>
        <w:t xml:space="preserve">. </w:t>
      </w:r>
    </w:p>
    <w:p w:rsidR="00503477" w:rsidRDefault="00503477" w:rsidP="001E43E5">
      <w:pPr>
        <w:rPr>
          <w:color w:val="auto"/>
        </w:rPr>
      </w:pPr>
      <w:r>
        <w:rPr>
          <w:color w:val="auto"/>
        </w:rPr>
        <w:t xml:space="preserve">It is clear on the basis of the record that applicant was indeed granted an opportunity </w:t>
      </w:r>
      <w:r w:rsidR="001178C2">
        <w:rPr>
          <w:color w:val="auto"/>
        </w:rPr>
        <w:t>to present his defence outline.</w:t>
      </w:r>
      <w:r w:rsidR="00746E2E">
        <w:rPr>
          <w:color w:val="auto"/>
        </w:rPr>
        <w:t xml:space="preserve"> The Appellant </w:t>
      </w:r>
      <w:r w:rsidR="0027790E">
        <w:rPr>
          <w:color w:val="auto"/>
        </w:rPr>
        <w:t xml:space="preserve">however </w:t>
      </w:r>
      <w:r w:rsidR="00746E2E">
        <w:rPr>
          <w:color w:val="auto"/>
        </w:rPr>
        <w:t>also</w:t>
      </w:r>
      <w:r w:rsidR="0027790E">
        <w:rPr>
          <w:color w:val="auto"/>
        </w:rPr>
        <w:t xml:space="preserve"> raised a third</w:t>
      </w:r>
      <w:r w:rsidR="00746E2E">
        <w:rPr>
          <w:color w:val="auto"/>
        </w:rPr>
        <w:t xml:space="preserve"> </w:t>
      </w:r>
      <w:r w:rsidR="00746E2E">
        <w:rPr>
          <w:color w:val="auto"/>
        </w:rPr>
        <w:lastRenderedPageBreak/>
        <w:t xml:space="preserve">issue </w:t>
      </w:r>
      <w:r w:rsidR="0027790E">
        <w:rPr>
          <w:color w:val="auto"/>
        </w:rPr>
        <w:t>under the first</w:t>
      </w:r>
      <w:r w:rsidR="00315B9C">
        <w:rPr>
          <w:color w:val="auto"/>
        </w:rPr>
        <w:t xml:space="preserve"> ground </w:t>
      </w:r>
      <w:r w:rsidR="00746E2E">
        <w:rPr>
          <w:color w:val="auto"/>
        </w:rPr>
        <w:t xml:space="preserve">of </w:t>
      </w:r>
      <w:r w:rsidR="001178C2">
        <w:rPr>
          <w:color w:val="auto"/>
        </w:rPr>
        <w:t>review</w:t>
      </w:r>
      <w:r w:rsidR="00A22A52">
        <w:rPr>
          <w:color w:val="auto"/>
        </w:rPr>
        <w:t xml:space="preserve"> that he was</w:t>
      </w:r>
      <w:r w:rsidR="00746E2E">
        <w:rPr>
          <w:color w:val="auto"/>
        </w:rPr>
        <w:t xml:space="preserve"> denied an opportunity to lead evidence in rebuttal </w:t>
      </w:r>
      <w:r w:rsidR="0064260F">
        <w:rPr>
          <w:color w:val="auto"/>
        </w:rPr>
        <w:t>of the charge. As this issue</w:t>
      </w:r>
      <w:r w:rsidR="001178C2">
        <w:rPr>
          <w:color w:val="auto"/>
        </w:rPr>
        <w:t xml:space="preserve"> </w:t>
      </w:r>
      <w:r w:rsidR="0064260F">
        <w:rPr>
          <w:color w:val="auto"/>
        </w:rPr>
        <w:t>is tied to the second ground it shall be addressed under that g</w:t>
      </w:r>
      <w:r w:rsidR="00315B9C">
        <w:rPr>
          <w:color w:val="auto"/>
        </w:rPr>
        <w:t>round. In the circumstances</w:t>
      </w:r>
      <w:r w:rsidR="0064260F">
        <w:rPr>
          <w:color w:val="auto"/>
        </w:rPr>
        <w:t xml:space="preserve"> the </w:t>
      </w:r>
      <w:r w:rsidR="00D339F2">
        <w:rPr>
          <w:color w:val="auto"/>
        </w:rPr>
        <w:t>first ground of review</w:t>
      </w:r>
      <w:r w:rsidR="00315B9C">
        <w:rPr>
          <w:color w:val="auto"/>
        </w:rPr>
        <w:t xml:space="preserve"> clearly</w:t>
      </w:r>
      <w:r w:rsidR="00D339F2">
        <w:rPr>
          <w:color w:val="auto"/>
        </w:rPr>
        <w:t xml:space="preserve"> cannot stand. </w:t>
      </w:r>
      <w:r w:rsidR="001178C2">
        <w:rPr>
          <w:color w:val="auto"/>
        </w:rPr>
        <w:t>It is hereby dismissed.</w:t>
      </w:r>
    </w:p>
    <w:p w:rsidR="00D339F2" w:rsidRDefault="00D339F2" w:rsidP="001E43E5">
      <w:pPr>
        <w:rPr>
          <w:color w:val="auto"/>
        </w:rPr>
      </w:pPr>
      <w:r>
        <w:rPr>
          <w:color w:val="auto"/>
        </w:rPr>
        <w:t>The</w:t>
      </w:r>
      <w:r w:rsidR="0088582D">
        <w:rPr>
          <w:color w:val="auto"/>
        </w:rPr>
        <w:t xml:space="preserve"> second</w:t>
      </w:r>
      <w:r>
        <w:rPr>
          <w:color w:val="auto"/>
        </w:rPr>
        <w:t xml:space="preserve"> ground of review raised is that Applicant having raise</w:t>
      </w:r>
      <w:r w:rsidR="001178C2">
        <w:rPr>
          <w:color w:val="auto"/>
        </w:rPr>
        <w:t>d</w:t>
      </w:r>
      <w:r w:rsidR="0088582D">
        <w:rPr>
          <w:color w:val="auto"/>
        </w:rPr>
        <w:t xml:space="preserve"> a</w:t>
      </w:r>
      <w:r>
        <w:rPr>
          <w:color w:val="auto"/>
        </w:rPr>
        <w:t xml:space="preserve"> preliminary issue or </w:t>
      </w:r>
      <w:r w:rsidRPr="0088582D">
        <w:rPr>
          <w:i/>
          <w:color w:val="auto"/>
        </w:rPr>
        <w:t>a point in</w:t>
      </w:r>
      <w:r>
        <w:rPr>
          <w:color w:val="auto"/>
        </w:rPr>
        <w:t xml:space="preserve"> </w:t>
      </w:r>
      <w:r w:rsidRPr="0088582D">
        <w:rPr>
          <w:i/>
          <w:color w:val="auto"/>
        </w:rPr>
        <w:t>limine</w:t>
      </w:r>
      <w:r>
        <w:rPr>
          <w:color w:val="auto"/>
        </w:rPr>
        <w:t xml:space="preserve"> the Disciplinary Committee committed a procedural irregula</w:t>
      </w:r>
      <w:r w:rsidR="001178C2">
        <w:rPr>
          <w:color w:val="auto"/>
        </w:rPr>
        <w:t>rity when it</w:t>
      </w:r>
      <w:r w:rsidR="007A6C3C">
        <w:rPr>
          <w:color w:val="auto"/>
        </w:rPr>
        <w:t xml:space="preserve"> opted to ignore the point in</w:t>
      </w:r>
      <w:r w:rsidR="007A6C3C" w:rsidRPr="0088582D">
        <w:rPr>
          <w:i/>
          <w:color w:val="auto"/>
        </w:rPr>
        <w:t xml:space="preserve"> limine</w:t>
      </w:r>
      <w:r w:rsidR="007A6C3C">
        <w:rPr>
          <w:color w:val="auto"/>
        </w:rPr>
        <w:t xml:space="preserve"> to proceed with the hearing. </w:t>
      </w:r>
      <w:r w:rsidR="00FA4ECD">
        <w:rPr>
          <w:color w:val="auto"/>
        </w:rPr>
        <w:t xml:space="preserve">The Applicant submission is that a </w:t>
      </w:r>
      <w:r w:rsidR="00FA4ECD" w:rsidRPr="0088582D">
        <w:rPr>
          <w:i/>
          <w:color w:val="auto"/>
        </w:rPr>
        <w:t>point in limine</w:t>
      </w:r>
      <w:r w:rsidR="00FA4ECD">
        <w:rPr>
          <w:color w:val="auto"/>
        </w:rPr>
        <w:t xml:space="preserve"> being a point that is capable of disposing a m</w:t>
      </w:r>
      <w:r w:rsidR="00A22A52">
        <w:rPr>
          <w:color w:val="auto"/>
        </w:rPr>
        <w:t>atter in the event of the court</w:t>
      </w:r>
      <w:r w:rsidR="00FA4ECD">
        <w:rPr>
          <w:color w:val="auto"/>
        </w:rPr>
        <w:t xml:space="preserve"> tribunal upholding it the Disciplinary Committee was du</w:t>
      </w:r>
      <w:r w:rsidR="001178C2">
        <w:rPr>
          <w:color w:val="auto"/>
        </w:rPr>
        <w:t>ty</w:t>
      </w:r>
      <w:r w:rsidR="000B2242">
        <w:rPr>
          <w:color w:val="auto"/>
        </w:rPr>
        <w:t xml:space="preserve"> bound to address the point first. The Applicant </w:t>
      </w:r>
      <w:r w:rsidR="001178C2">
        <w:rPr>
          <w:color w:val="auto"/>
        </w:rPr>
        <w:t xml:space="preserve">submission is where a Disciplinary Committee fails to address point </w:t>
      </w:r>
      <w:r w:rsidR="001178C2" w:rsidRPr="008D5B28">
        <w:rPr>
          <w:i/>
          <w:color w:val="auto"/>
        </w:rPr>
        <w:t xml:space="preserve">in </w:t>
      </w:r>
      <w:proofErr w:type="spellStart"/>
      <w:r w:rsidR="001178C2" w:rsidRPr="008D5B28">
        <w:rPr>
          <w:i/>
          <w:color w:val="auto"/>
        </w:rPr>
        <w:t>limine</w:t>
      </w:r>
      <w:proofErr w:type="spellEnd"/>
      <w:r w:rsidR="001178C2">
        <w:rPr>
          <w:color w:val="auto"/>
        </w:rPr>
        <w:t xml:space="preserve"> this has the effect of </w:t>
      </w:r>
      <w:r w:rsidR="00A22A52">
        <w:rPr>
          <w:color w:val="auto"/>
        </w:rPr>
        <w:t>nullifying proceedings</w:t>
      </w:r>
      <w:r w:rsidR="001178C2">
        <w:rPr>
          <w:color w:val="auto"/>
        </w:rPr>
        <w:t xml:space="preserve">. He referred </w:t>
      </w:r>
      <w:r w:rsidR="00FA4ECD">
        <w:rPr>
          <w:color w:val="auto"/>
        </w:rPr>
        <w:t xml:space="preserve">the case of </w:t>
      </w:r>
      <w:r w:rsidR="00FA4ECD" w:rsidRPr="0088582D">
        <w:rPr>
          <w:i/>
          <w:color w:val="auto"/>
        </w:rPr>
        <w:t xml:space="preserve">Gweru </w:t>
      </w:r>
      <w:r w:rsidR="0088582D" w:rsidRPr="0088582D">
        <w:rPr>
          <w:i/>
          <w:color w:val="auto"/>
        </w:rPr>
        <w:t xml:space="preserve">Water </w:t>
      </w:r>
      <w:r w:rsidR="006A544B" w:rsidRPr="0088582D">
        <w:rPr>
          <w:i/>
          <w:color w:val="auto"/>
        </w:rPr>
        <w:t>Workers C</w:t>
      </w:r>
      <w:r w:rsidR="0088582D" w:rsidRPr="0088582D">
        <w:rPr>
          <w:i/>
          <w:color w:val="auto"/>
        </w:rPr>
        <w:t xml:space="preserve">ommittee Vs City </w:t>
      </w:r>
      <w:r w:rsidR="00B8272F" w:rsidRPr="0088582D">
        <w:rPr>
          <w:i/>
          <w:color w:val="auto"/>
        </w:rPr>
        <w:t>of</w:t>
      </w:r>
      <w:r w:rsidR="0088582D" w:rsidRPr="0088582D">
        <w:rPr>
          <w:i/>
          <w:color w:val="auto"/>
        </w:rPr>
        <w:t xml:space="preserve"> Gweru SC 59/2013</w:t>
      </w:r>
      <w:r w:rsidR="006A544B">
        <w:rPr>
          <w:color w:val="auto"/>
        </w:rPr>
        <w:t>. On this basis the Applicant</w:t>
      </w:r>
      <w:r w:rsidR="001178C2">
        <w:rPr>
          <w:color w:val="auto"/>
        </w:rPr>
        <w:t>’s</w:t>
      </w:r>
      <w:r w:rsidR="006A544B">
        <w:rPr>
          <w:color w:val="auto"/>
        </w:rPr>
        <w:t xml:space="preserve"> prayer is</w:t>
      </w:r>
      <w:r w:rsidR="000B2242">
        <w:rPr>
          <w:color w:val="auto"/>
        </w:rPr>
        <w:t xml:space="preserve"> that</w:t>
      </w:r>
      <w:r w:rsidR="006A544B">
        <w:rPr>
          <w:color w:val="auto"/>
        </w:rPr>
        <w:t xml:space="preserve"> the disciplin</w:t>
      </w:r>
      <w:r w:rsidR="000B2242">
        <w:rPr>
          <w:color w:val="auto"/>
        </w:rPr>
        <w:t>ary</w:t>
      </w:r>
      <w:r w:rsidR="0008539E">
        <w:rPr>
          <w:color w:val="auto"/>
        </w:rPr>
        <w:t xml:space="preserve"> proceedings ought to be set aside.</w:t>
      </w:r>
    </w:p>
    <w:p w:rsidR="0008539E" w:rsidRDefault="000B2242" w:rsidP="000B2242">
      <w:pPr>
        <w:rPr>
          <w:color w:val="auto"/>
        </w:rPr>
      </w:pPr>
      <w:r>
        <w:rPr>
          <w:color w:val="auto"/>
        </w:rPr>
        <w:t>The Respondent</w:t>
      </w:r>
      <w:r w:rsidR="0008539E">
        <w:rPr>
          <w:color w:val="auto"/>
        </w:rPr>
        <w:t xml:space="preserve"> position as presented in its heads and oral argument is that the Applicant did not raise a </w:t>
      </w:r>
      <w:r w:rsidR="0008539E" w:rsidRPr="000B2242">
        <w:rPr>
          <w:i/>
          <w:color w:val="auto"/>
        </w:rPr>
        <w:t>point in l</w:t>
      </w:r>
      <w:r w:rsidRPr="000B2242">
        <w:rPr>
          <w:i/>
          <w:color w:val="auto"/>
        </w:rPr>
        <w:t>imine</w:t>
      </w:r>
      <w:r>
        <w:rPr>
          <w:color w:val="auto"/>
        </w:rPr>
        <w:t xml:space="preserve"> in the legal sense. He instead raised a</w:t>
      </w:r>
      <w:r w:rsidR="0008539E">
        <w:rPr>
          <w:color w:val="auto"/>
        </w:rPr>
        <w:t xml:space="preserve"> procedural issue, being his suggestion that the </w:t>
      </w:r>
      <w:r w:rsidR="00374C91">
        <w:rPr>
          <w:color w:val="auto"/>
        </w:rPr>
        <w:t>disciplinar</w:t>
      </w:r>
      <w:r>
        <w:rPr>
          <w:color w:val="auto"/>
        </w:rPr>
        <w:t>y proceedings ought to be</w:t>
      </w:r>
      <w:r w:rsidR="00374C91">
        <w:rPr>
          <w:color w:val="auto"/>
        </w:rPr>
        <w:t xml:space="preserve"> held in Chipinge</w:t>
      </w:r>
      <w:r w:rsidR="001178C2">
        <w:rPr>
          <w:color w:val="auto"/>
        </w:rPr>
        <w:t xml:space="preserve"> in order</w:t>
      </w:r>
      <w:r w:rsidR="00374C91">
        <w:rPr>
          <w:color w:val="auto"/>
        </w:rPr>
        <w:t xml:space="preserve"> to enable his witnesses to att</w:t>
      </w:r>
      <w:r>
        <w:rPr>
          <w:color w:val="auto"/>
        </w:rPr>
        <w:t xml:space="preserve">end the hearing. The Respondent’s </w:t>
      </w:r>
      <w:r w:rsidR="00374C91">
        <w:rPr>
          <w:color w:val="auto"/>
        </w:rPr>
        <w:t>furt</w:t>
      </w:r>
      <w:r>
        <w:rPr>
          <w:color w:val="auto"/>
        </w:rPr>
        <w:t>her submission is the point</w:t>
      </w:r>
      <w:r w:rsidR="00374C91">
        <w:rPr>
          <w:color w:val="auto"/>
        </w:rPr>
        <w:t xml:space="preserve"> raised by Applicant having been raised </w:t>
      </w:r>
      <w:r w:rsidR="001178C2">
        <w:rPr>
          <w:color w:val="auto"/>
        </w:rPr>
        <w:t>when</w:t>
      </w:r>
      <w:r w:rsidR="00374C91">
        <w:rPr>
          <w:color w:val="auto"/>
        </w:rPr>
        <w:t xml:space="preserve"> the hearing was already </w:t>
      </w:r>
      <w:r w:rsidR="00C1173E">
        <w:rPr>
          <w:color w:val="auto"/>
        </w:rPr>
        <w:t>underway in Chiredzi with Applicant’s full participation the issue was improperly raised</w:t>
      </w:r>
      <w:r w:rsidR="001178C2">
        <w:rPr>
          <w:color w:val="auto"/>
        </w:rPr>
        <w:t xml:space="preserve"> at that stage</w:t>
      </w:r>
      <w:r w:rsidR="00C1173E">
        <w:rPr>
          <w:color w:val="auto"/>
        </w:rPr>
        <w:t>.</w:t>
      </w:r>
    </w:p>
    <w:p w:rsidR="00C1173E" w:rsidRDefault="00C1173E" w:rsidP="001E43E5">
      <w:pPr>
        <w:rPr>
          <w:color w:val="auto"/>
        </w:rPr>
      </w:pPr>
      <w:r>
        <w:rPr>
          <w:color w:val="auto"/>
        </w:rPr>
        <w:t>The record of proceedings clearly shows that the Applicant did raise two preliminary issues</w:t>
      </w:r>
      <w:r w:rsidR="001178C2">
        <w:rPr>
          <w:color w:val="auto"/>
        </w:rPr>
        <w:t xml:space="preserve"> at the initial hearing</w:t>
      </w:r>
      <w:r>
        <w:rPr>
          <w:color w:val="auto"/>
        </w:rPr>
        <w:t xml:space="preserve">. The first issue related </w:t>
      </w:r>
      <w:r w:rsidR="00B97A51">
        <w:rPr>
          <w:color w:val="auto"/>
        </w:rPr>
        <w:t>to the request he had previously</w:t>
      </w:r>
      <w:r>
        <w:rPr>
          <w:color w:val="auto"/>
        </w:rPr>
        <w:t xml:space="preserve"> made to the Respondent for the hearing to be held in Chipinge in order to enable his key witnesses who included staff from CABS and a </w:t>
      </w:r>
      <w:r w:rsidR="00B97A51">
        <w:rPr>
          <w:color w:val="auto"/>
        </w:rPr>
        <w:t>Mr Herama to attend the hearing. The second preliminary issue was that of</w:t>
      </w:r>
      <w:r w:rsidR="00D804FE">
        <w:rPr>
          <w:color w:val="auto"/>
        </w:rPr>
        <w:t xml:space="preserve"> an unfair splitting of charges.</w:t>
      </w:r>
      <w:r w:rsidR="00B97A51">
        <w:rPr>
          <w:color w:val="auto"/>
        </w:rPr>
        <w:t xml:space="preserve"> The Applicant </w:t>
      </w:r>
      <w:r w:rsidR="00D804FE">
        <w:rPr>
          <w:color w:val="auto"/>
        </w:rPr>
        <w:t>was alleging that Respondent had unfairly raised four counts of misconduct arising from one act. The Chairman in his ruling made the following observation;</w:t>
      </w:r>
    </w:p>
    <w:p w:rsidR="00D804FE" w:rsidRPr="009143BE" w:rsidRDefault="00932C45" w:rsidP="009143BE">
      <w:pPr>
        <w:spacing w:line="276" w:lineRule="auto"/>
        <w:ind w:left="720" w:firstLine="0"/>
        <w:rPr>
          <w:color w:val="auto"/>
          <w:sz w:val="22"/>
        </w:rPr>
      </w:pPr>
      <w:r w:rsidRPr="009143BE">
        <w:rPr>
          <w:color w:val="auto"/>
          <w:sz w:val="22"/>
        </w:rPr>
        <w:lastRenderedPageBreak/>
        <w:t xml:space="preserve">“VG- Preliminary points are not for discussion anyway; you submit for consideration during </w:t>
      </w:r>
      <w:r w:rsidR="001178C2" w:rsidRPr="009143BE">
        <w:rPr>
          <w:color w:val="auto"/>
          <w:sz w:val="22"/>
        </w:rPr>
        <w:t>deliberations. You do now</w:t>
      </w:r>
      <w:r w:rsidRPr="009143BE">
        <w:rPr>
          <w:color w:val="auto"/>
          <w:sz w:val="22"/>
        </w:rPr>
        <w:t xml:space="preserve"> get the response, but </w:t>
      </w:r>
      <w:r w:rsidR="009143BE" w:rsidRPr="009143BE">
        <w:rPr>
          <w:color w:val="auto"/>
          <w:sz w:val="22"/>
        </w:rPr>
        <w:t>its good that you raised them s</w:t>
      </w:r>
      <w:r w:rsidR="00F91C41" w:rsidRPr="009143BE">
        <w:rPr>
          <w:color w:val="auto"/>
          <w:sz w:val="22"/>
        </w:rPr>
        <w:t>o that they are recorded in the minutes”</w:t>
      </w:r>
    </w:p>
    <w:p w:rsidR="00F91C41" w:rsidRDefault="00F91C41" w:rsidP="001E43E5">
      <w:pPr>
        <w:rPr>
          <w:color w:val="auto"/>
        </w:rPr>
      </w:pPr>
      <w:r>
        <w:rPr>
          <w:color w:val="auto"/>
        </w:rPr>
        <w:t>It is apparent from</w:t>
      </w:r>
      <w:r w:rsidR="00530EC1">
        <w:rPr>
          <w:color w:val="auto"/>
        </w:rPr>
        <w:t xml:space="preserve"> the Chairman’s ruling that he/</w:t>
      </w:r>
      <w:r>
        <w:rPr>
          <w:color w:val="auto"/>
        </w:rPr>
        <w:t xml:space="preserve">she failed to appreciate the legal issues that had been raised by the Applicant. A </w:t>
      </w:r>
      <w:r w:rsidRPr="000B2242">
        <w:rPr>
          <w:i/>
          <w:color w:val="auto"/>
        </w:rPr>
        <w:t>point in limine</w:t>
      </w:r>
      <w:r>
        <w:rPr>
          <w:color w:val="auto"/>
        </w:rPr>
        <w:t xml:space="preserve"> is usually raised on</w:t>
      </w:r>
      <w:r w:rsidR="009143BE">
        <w:rPr>
          <w:color w:val="auto"/>
        </w:rPr>
        <w:t xml:space="preserve"> a</w:t>
      </w:r>
      <w:r>
        <w:rPr>
          <w:color w:val="auto"/>
        </w:rPr>
        <w:t xml:space="preserve"> point of law o</w:t>
      </w:r>
      <w:r w:rsidR="00341CC8">
        <w:rPr>
          <w:color w:val="auto"/>
        </w:rPr>
        <w:t xml:space="preserve">r </w:t>
      </w:r>
      <w:r w:rsidR="000B2242">
        <w:rPr>
          <w:color w:val="auto"/>
        </w:rPr>
        <w:t>on the procedure. It is incumbent</w:t>
      </w:r>
      <w:r w:rsidR="00341CC8">
        <w:rPr>
          <w:color w:val="auto"/>
        </w:rPr>
        <w:t xml:space="preserve"> upon the adjudicating authority </w:t>
      </w:r>
      <w:r w:rsidR="00D85BDB">
        <w:rPr>
          <w:color w:val="auto"/>
        </w:rPr>
        <w:t xml:space="preserve">before which a </w:t>
      </w:r>
      <w:r w:rsidR="00D85BDB" w:rsidRPr="000B2242">
        <w:rPr>
          <w:i/>
          <w:color w:val="auto"/>
        </w:rPr>
        <w:t>point in limine</w:t>
      </w:r>
      <w:r w:rsidR="00D85BDB">
        <w:rPr>
          <w:color w:val="auto"/>
        </w:rPr>
        <w:t xml:space="preserve"> is taken to first determine the point before addressing the merits of the matter. This is because </w:t>
      </w:r>
      <w:r w:rsidR="000B2242">
        <w:rPr>
          <w:i/>
          <w:color w:val="auto"/>
        </w:rPr>
        <w:t>point in</w:t>
      </w:r>
      <w:r w:rsidR="00D85BDB" w:rsidRPr="000B2242">
        <w:rPr>
          <w:i/>
          <w:color w:val="auto"/>
        </w:rPr>
        <w:t xml:space="preserve"> limine</w:t>
      </w:r>
      <w:r w:rsidR="00D85BDB">
        <w:rPr>
          <w:color w:val="auto"/>
        </w:rPr>
        <w:t xml:space="preserve"> are normally taken as an </w:t>
      </w:r>
      <w:r w:rsidR="000B2242">
        <w:rPr>
          <w:color w:val="auto"/>
        </w:rPr>
        <w:t>interlocutory</w:t>
      </w:r>
      <w:r w:rsidR="009143BE">
        <w:rPr>
          <w:color w:val="auto"/>
        </w:rPr>
        <w:t xml:space="preserve"> application. The adjudicating</w:t>
      </w:r>
      <w:r w:rsidR="00F370B4">
        <w:rPr>
          <w:color w:val="auto"/>
        </w:rPr>
        <w:t xml:space="preserve"> authority </w:t>
      </w:r>
      <w:r w:rsidR="00560496">
        <w:rPr>
          <w:color w:val="auto"/>
        </w:rPr>
        <w:t xml:space="preserve">before which </w:t>
      </w:r>
      <w:r w:rsidR="009143BE">
        <w:rPr>
          <w:color w:val="auto"/>
        </w:rPr>
        <w:t xml:space="preserve">point </w:t>
      </w:r>
      <w:r w:rsidR="009143BE" w:rsidRPr="009143BE">
        <w:rPr>
          <w:i/>
          <w:color w:val="auto"/>
        </w:rPr>
        <w:t>in limine</w:t>
      </w:r>
      <w:r w:rsidR="009143BE">
        <w:rPr>
          <w:color w:val="auto"/>
        </w:rPr>
        <w:t xml:space="preserve"> </w:t>
      </w:r>
      <w:r w:rsidR="00560496">
        <w:rPr>
          <w:color w:val="auto"/>
        </w:rPr>
        <w:t xml:space="preserve">is </w:t>
      </w:r>
      <w:r w:rsidR="009143BE">
        <w:rPr>
          <w:color w:val="auto"/>
        </w:rPr>
        <w:t>taken</w:t>
      </w:r>
      <w:r w:rsidR="00560496">
        <w:rPr>
          <w:color w:val="auto"/>
        </w:rPr>
        <w:t xml:space="preserve"> should not therefore proceed to determine the matter on the merits without first determining</w:t>
      </w:r>
      <w:r w:rsidR="009143BE">
        <w:rPr>
          <w:color w:val="auto"/>
        </w:rPr>
        <w:t xml:space="preserve"> the interlocutory</w:t>
      </w:r>
      <w:r w:rsidR="00186697">
        <w:rPr>
          <w:color w:val="auto"/>
        </w:rPr>
        <w:t xml:space="preserve"> application. See </w:t>
      </w:r>
      <w:r w:rsidR="00186697" w:rsidRPr="000B2242">
        <w:rPr>
          <w:i/>
          <w:color w:val="auto"/>
        </w:rPr>
        <w:t xml:space="preserve">Heywood </w:t>
      </w:r>
      <w:r w:rsidR="000B2242" w:rsidRPr="000B2242">
        <w:rPr>
          <w:i/>
          <w:color w:val="auto"/>
        </w:rPr>
        <w:t xml:space="preserve">Investments (Private) Limited </w:t>
      </w:r>
      <w:r w:rsidR="00186697" w:rsidRPr="000B2242">
        <w:rPr>
          <w:i/>
          <w:color w:val="auto"/>
        </w:rPr>
        <w:t>t</w:t>
      </w:r>
      <w:r w:rsidR="00A843CC" w:rsidRPr="000B2242">
        <w:rPr>
          <w:i/>
          <w:color w:val="auto"/>
        </w:rPr>
        <w:t>\</w:t>
      </w:r>
      <w:r w:rsidR="000B2242" w:rsidRPr="000B2242">
        <w:rPr>
          <w:i/>
          <w:color w:val="auto"/>
        </w:rPr>
        <w:t>a GDC</w:t>
      </w:r>
      <w:r w:rsidR="00A843CC" w:rsidRPr="000B2242">
        <w:rPr>
          <w:i/>
          <w:color w:val="auto"/>
        </w:rPr>
        <w:t xml:space="preserve"> H</w:t>
      </w:r>
      <w:r w:rsidR="000B2242">
        <w:rPr>
          <w:i/>
          <w:color w:val="auto"/>
        </w:rPr>
        <w:t>aul</w:t>
      </w:r>
      <w:r w:rsidR="00530EC1">
        <w:rPr>
          <w:i/>
          <w:color w:val="auto"/>
        </w:rPr>
        <w:t>i</w:t>
      </w:r>
      <w:r w:rsidR="000B2242">
        <w:rPr>
          <w:i/>
          <w:color w:val="auto"/>
        </w:rPr>
        <w:t xml:space="preserve">ers vs Pharaoh </w:t>
      </w:r>
      <w:proofErr w:type="spellStart"/>
      <w:r w:rsidR="000B2242">
        <w:rPr>
          <w:i/>
          <w:color w:val="auto"/>
        </w:rPr>
        <w:t>Zakeyo</w:t>
      </w:r>
      <w:proofErr w:type="spellEnd"/>
      <w:r w:rsidR="000B2242">
        <w:rPr>
          <w:i/>
          <w:color w:val="auto"/>
        </w:rPr>
        <w:t xml:space="preserve"> SC 207/</w:t>
      </w:r>
      <w:r w:rsidR="00A843CC" w:rsidRPr="000B2242">
        <w:rPr>
          <w:i/>
          <w:color w:val="auto"/>
        </w:rPr>
        <w:t>11</w:t>
      </w:r>
      <w:r w:rsidR="00A843CC">
        <w:rPr>
          <w:color w:val="auto"/>
        </w:rPr>
        <w:t xml:space="preserve"> </w:t>
      </w:r>
      <w:r w:rsidR="000B2242">
        <w:rPr>
          <w:color w:val="auto"/>
        </w:rPr>
        <w:t>and</w:t>
      </w:r>
      <w:r w:rsidR="00A843CC">
        <w:rPr>
          <w:color w:val="auto"/>
        </w:rPr>
        <w:t xml:space="preserve"> </w:t>
      </w:r>
      <w:r w:rsidR="00A843CC" w:rsidRPr="000B2242">
        <w:rPr>
          <w:i/>
          <w:color w:val="auto"/>
        </w:rPr>
        <w:t>Grain Marketi</w:t>
      </w:r>
      <w:r w:rsidR="000B2242">
        <w:rPr>
          <w:i/>
          <w:color w:val="auto"/>
        </w:rPr>
        <w:t>ng Board vs Martin Muchero SC59/</w:t>
      </w:r>
      <w:r w:rsidR="00A843CC" w:rsidRPr="000B2242">
        <w:rPr>
          <w:i/>
          <w:color w:val="auto"/>
        </w:rPr>
        <w:t>07</w:t>
      </w:r>
      <w:r w:rsidR="000B2242">
        <w:rPr>
          <w:i/>
          <w:color w:val="auto"/>
        </w:rPr>
        <w:t>.</w:t>
      </w:r>
    </w:p>
    <w:p w:rsidR="00493B09" w:rsidRDefault="00493B09" w:rsidP="001E43E5">
      <w:pPr>
        <w:rPr>
          <w:color w:val="auto"/>
        </w:rPr>
      </w:pPr>
      <w:r>
        <w:rPr>
          <w:color w:val="auto"/>
        </w:rPr>
        <w:t xml:space="preserve">The Respondent has argued that the nature of the first point raised was actually not a </w:t>
      </w:r>
      <w:r w:rsidRPr="000B2242">
        <w:rPr>
          <w:i/>
          <w:color w:val="auto"/>
        </w:rPr>
        <w:t xml:space="preserve">point </w:t>
      </w:r>
      <w:r w:rsidR="000107F6" w:rsidRPr="000B2242">
        <w:rPr>
          <w:i/>
          <w:color w:val="auto"/>
        </w:rPr>
        <w:t>in limine</w:t>
      </w:r>
      <w:r w:rsidR="000107F6">
        <w:rPr>
          <w:color w:val="auto"/>
        </w:rPr>
        <w:t xml:space="preserve"> in the legal sense rather Applicant was only suggesting </w:t>
      </w:r>
      <w:r w:rsidR="00A26118">
        <w:rPr>
          <w:color w:val="auto"/>
        </w:rPr>
        <w:t>to the</w:t>
      </w:r>
      <w:r w:rsidR="009143BE">
        <w:rPr>
          <w:color w:val="auto"/>
        </w:rPr>
        <w:t xml:space="preserve"> Disciplinary C</w:t>
      </w:r>
      <w:r w:rsidR="00A26118">
        <w:rPr>
          <w:color w:val="auto"/>
        </w:rPr>
        <w:t>ommittee for a change of venue. The argument by Respondent does not find favour with the court</w:t>
      </w:r>
      <w:r w:rsidR="00A26118" w:rsidRPr="000B2242">
        <w:rPr>
          <w:i/>
          <w:color w:val="auto"/>
        </w:rPr>
        <w:t>. A point in limine</w:t>
      </w:r>
      <w:r w:rsidR="000B2242">
        <w:rPr>
          <w:color w:val="auto"/>
        </w:rPr>
        <w:t xml:space="preserve"> can be taken in relation</w:t>
      </w:r>
      <w:r w:rsidR="00A26118">
        <w:rPr>
          <w:color w:val="auto"/>
        </w:rPr>
        <w:t xml:space="preserve"> firstly to an issue of law i.e.</w:t>
      </w:r>
      <w:r w:rsidR="00530EC1">
        <w:rPr>
          <w:color w:val="auto"/>
        </w:rPr>
        <w:t xml:space="preserve"> a</w:t>
      </w:r>
      <w:r w:rsidR="00A26118">
        <w:rPr>
          <w:color w:val="auto"/>
        </w:rPr>
        <w:t xml:space="preserve"> point of law which if upheld </w:t>
      </w:r>
      <w:r w:rsidR="000B2242">
        <w:rPr>
          <w:color w:val="auto"/>
        </w:rPr>
        <w:t xml:space="preserve">may result in the curtailment </w:t>
      </w:r>
      <w:r w:rsidR="00281BA0">
        <w:rPr>
          <w:color w:val="auto"/>
        </w:rPr>
        <w:t xml:space="preserve">of proceedings. </w:t>
      </w:r>
      <w:r w:rsidR="00106458">
        <w:rPr>
          <w:color w:val="auto"/>
        </w:rPr>
        <w:t>A</w:t>
      </w:r>
      <w:r w:rsidR="00281BA0">
        <w:rPr>
          <w:color w:val="auto"/>
        </w:rPr>
        <w:t xml:space="preserve"> point </w:t>
      </w:r>
      <w:r w:rsidR="00281BA0" w:rsidRPr="00B8272F">
        <w:rPr>
          <w:i/>
          <w:color w:val="auto"/>
        </w:rPr>
        <w:t>in limine</w:t>
      </w:r>
      <w:r w:rsidR="00281BA0">
        <w:rPr>
          <w:color w:val="auto"/>
        </w:rPr>
        <w:t xml:space="preserve"> can however also be raised in relation to procedure. </w:t>
      </w:r>
    </w:p>
    <w:p w:rsidR="00281BA0" w:rsidRDefault="00281BA0" w:rsidP="001E43E5">
      <w:pPr>
        <w:rPr>
          <w:color w:val="auto"/>
        </w:rPr>
      </w:pPr>
      <w:r>
        <w:rPr>
          <w:color w:val="auto"/>
        </w:rPr>
        <w:t xml:space="preserve">The issue that Applicant was raising related to his fundamental right as an </w:t>
      </w:r>
      <w:r w:rsidR="009143BE">
        <w:rPr>
          <w:color w:val="auto"/>
        </w:rPr>
        <w:t>accused</w:t>
      </w:r>
      <w:r>
        <w:rPr>
          <w:color w:val="auto"/>
        </w:rPr>
        <w:t xml:space="preserve"> person to be able to </w:t>
      </w:r>
      <w:r w:rsidR="00357C69">
        <w:rPr>
          <w:color w:val="auto"/>
        </w:rPr>
        <w:t xml:space="preserve">summon witnesses to the trial. The </w:t>
      </w:r>
      <w:r w:rsidR="009143BE">
        <w:rPr>
          <w:color w:val="auto"/>
        </w:rPr>
        <w:t>Code of C</w:t>
      </w:r>
      <w:r w:rsidR="004E1B7C">
        <w:rPr>
          <w:color w:val="auto"/>
        </w:rPr>
        <w:t>o</w:t>
      </w:r>
      <w:r w:rsidR="00357C69">
        <w:rPr>
          <w:color w:val="auto"/>
        </w:rPr>
        <w:t xml:space="preserve">nduct in </w:t>
      </w:r>
      <w:r w:rsidR="00357C69" w:rsidRPr="00BA3A21">
        <w:rPr>
          <w:b/>
          <w:color w:val="auto"/>
        </w:rPr>
        <w:t>para 11.6</w:t>
      </w:r>
      <w:r w:rsidR="00CF2371" w:rsidRPr="00BA3A21">
        <w:rPr>
          <w:b/>
          <w:color w:val="auto"/>
        </w:rPr>
        <w:t>(a)</w:t>
      </w:r>
      <w:r w:rsidR="00CF2371">
        <w:rPr>
          <w:color w:val="auto"/>
        </w:rPr>
        <w:t xml:space="preserve"> to </w:t>
      </w:r>
      <w:r w:rsidR="00357C69" w:rsidRPr="00BA3A21">
        <w:rPr>
          <w:b/>
          <w:color w:val="auto"/>
        </w:rPr>
        <w:t>(c)</w:t>
      </w:r>
      <w:r w:rsidR="00357C69">
        <w:rPr>
          <w:color w:val="auto"/>
        </w:rPr>
        <w:t xml:space="preserve"> </w:t>
      </w:r>
      <w:r w:rsidR="00BA3A21">
        <w:rPr>
          <w:color w:val="auto"/>
        </w:rPr>
        <w:t>provided procedural</w:t>
      </w:r>
      <w:r w:rsidR="00CF2371">
        <w:rPr>
          <w:color w:val="auto"/>
        </w:rPr>
        <w:t xml:space="preserve"> guarantees to ensure an employee is granted a fair hearing </w:t>
      </w:r>
      <w:r w:rsidR="004E1B7C">
        <w:rPr>
          <w:color w:val="auto"/>
        </w:rPr>
        <w:t>including being allowed to call his witnesses to give evidence. The record shows that Applicant had previously written before the hearing date i.e. on September 26, 2019</w:t>
      </w:r>
      <w:r w:rsidR="00474775">
        <w:rPr>
          <w:color w:val="auto"/>
        </w:rPr>
        <w:t xml:space="preserve"> requesting that the hearing be conducted in Chipinge to enable the attendance of his key witnesses who were </w:t>
      </w:r>
      <w:r w:rsidR="00106458">
        <w:rPr>
          <w:color w:val="auto"/>
        </w:rPr>
        <w:t>not</w:t>
      </w:r>
      <w:r w:rsidR="00474775">
        <w:rPr>
          <w:color w:val="auto"/>
        </w:rPr>
        <w:t xml:space="preserve"> employees of Delta. </w:t>
      </w:r>
      <w:r w:rsidR="00492F49">
        <w:rPr>
          <w:color w:val="auto"/>
        </w:rPr>
        <w:t>The record does not show if the communication was responded to. On the da</w:t>
      </w:r>
      <w:r w:rsidR="00106458">
        <w:rPr>
          <w:color w:val="auto"/>
        </w:rPr>
        <w:t>te of hearing the Applicant again</w:t>
      </w:r>
      <w:r w:rsidR="00492F49">
        <w:rPr>
          <w:color w:val="auto"/>
        </w:rPr>
        <w:t xml:space="preserve"> raised the same issue. </w:t>
      </w:r>
      <w:r w:rsidR="00FB2233">
        <w:rPr>
          <w:color w:val="auto"/>
        </w:rPr>
        <w:t xml:space="preserve">Whilst the Applicant did not raise the point as an issue of law he clearly raised it as an issue of procedure. The relevant </w:t>
      </w:r>
      <w:r w:rsidR="00BA3A21">
        <w:rPr>
          <w:color w:val="auto"/>
        </w:rPr>
        <w:t>Code of C</w:t>
      </w:r>
      <w:r w:rsidR="00FB2233">
        <w:rPr>
          <w:color w:val="auto"/>
        </w:rPr>
        <w:t xml:space="preserve">onduct clearly </w:t>
      </w:r>
      <w:r w:rsidR="009213EF">
        <w:rPr>
          <w:color w:val="auto"/>
        </w:rPr>
        <w:t xml:space="preserve">guaranteed his right to summon his witnesses to </w:t>
      </w:r>
      <w:r w:rsidR="00106458">
        <w:rPr>
          <w:color w:val="auto"/>
        </w:rPr>
        <w:t>the trial. The committee was dut</w:t>
      </w:r>
      <w:r w:rsidR="009213EF">
        <w:rPr>
          <w:color w:val="auto"/>
        </w:rPr>
        <w:t xml:space="preserve">y bound to determine that point as well </w:t>
      </w:r>
      <w:r w:rsidR="00235C33">
        <w:rPr>
          <w:color w:val="auto"/>
        </w:rPr>
        <w:t xml:space="preserve">as the </w:t>
      </w:r>
      <w:r w:rsidR="00235C33">
        <w:rPr>
          <w:color w:val="auto"/>
        </w:rPr>
        <w:lastRenderedPageBreak/>
        <w:t>secon</w:t>
      </w:r>
      <w:r w:rsidR="00106458">
        <w:rPr>
          <w:color w:val="auto"/>
        </w:rPr>
        <w:t xml:space="preserve">d point </w:t>
      </w:r>
      <w:r w:rsidR="00106458" w:rsidRPr="00BA3A21">
        <w:rPr>
          <w:i/>
          <w:color w:val="auto"/>
        </w:rPr>
        <w:t>in limine</w:t>
      </w:r>
      <w:r w:rsidR="00106458">
        <w:rPr>
          <w:color w:val="auto"/>
        </w:rPr>
        <w:t xml:space="preserve"> which was</w:t>
      </w:r>
      <w:r w:rsidR="00235C33">
        <w:rPr>
          <w:color w:val="auto"/>
        </w:rPr>
        <w:t xml:space="preserve"> clearly a p</w:t>
      </w:r>
      <w:r w:rsidR="00106458">
        <w:rPr>
          <w:color w:val="auto"/>
        </w:rPr>
        <w:t>o</w:t>
      </w:r>
      <w:r w:rsidR="00235C33">
        <w:rPr>
          <w:color w:val="auto"/>
        </w:rPr>
        <w:t>int of law, that of</w:t>
      </w:r>
      <w:r w:rsidR="00BA3A21">
        <w:rPr>
          <w:color w:val="auto"/>
        </w:rPr>
        <w:t xml:space="preserve"> an</w:t>
      </w:r>
      <w:r w:rsidR="00235C33">
        <w:rPr>
          <w:color w:val="auto"/>
        </w:rPr>
        <w:t xml:space="preserve"> unfair</w:t>
      </w:r>
      <w:r w:rsidR="00F97AD7">
        <w:rPr>
          <w:color w:val="auto"/>
        </w:rPr>
        <w:t xml:space="preserve"> </w:t>
      </w:r>
      <w:r w:rsidR="00235C33">
        <w:rPr>
          <w:color w:val="auto"/>
        </w:rPr>
        <w:t>splitting of charge</w:t>
      </w:r>
      <w:r w:rsidR="00BA3A21">
        <w:rPr>
          <w:color w:val="auto"/>
        </w:rPr>
        <w:t>s</w:t>
      </w:r>
      <w:r w:rsidR="00235C33">
        <w:rPr>
          <w:color w:val="auto"/>
        </w:rPr>
        <w:t xml:space="preserve">. By so </w:t>
      </w:r>
      <w:r w:rsidR="00F97AD7">
        <w:rPr>
          <w:color w:val="auto"/>
        </w:rPr>
        <w:t xml:space="preserve">failing to consider and determine the </w:t>
      </w:r>
      <w:r w:rsidR="00F97AD7" w:rsidRPr="00106458">
        <w:rPr>
          <w:i/>
          <w:color w:val="auto"/>
        </w:rPr>
        <w:t xml:space="preserve">two points in </w:t>
      </w:r>
      <w:proofErr w:type="spellStart"/>
      <w:r w:rsidR="00F97AD7" w:rsidRPr="00106458">
        <w:rPr>
          <w:i/>
          <w:color w:val="auto"/>
        </w:rPr>
        <w:t>limine</w:t>
      </w:r>
      <w:proofErr w:type="spellEnd"/>
      <w:r w:rsidR="00F97AD7">
        <w:rPr>
          <w:color w:val="auto"/>
        </w:rPr>
        <w:t xml:space="preserve"> before addressing the merits</w:t>
      </w:r>
      <w:r w:rsidR="000F7177">
        <w:rPr>
          <w:color w:val="auto"/>
        </w:rPr>
        <w:t xml:space="preserve"> the committee committed a procedural irregularity which was sufficient to vitiate the proceedings</w:t>
      </w:r>
      <w:r w:rsidR="006E3B80">
        <w:rPr>
          <w:color w:val="auto"/>
        </w:rPr>
        <w:t xml:space="preserve"> as it was calculated to prejudice the Applicant</w:t>
      </w:r>
      <w:r w:rsidR="00E90627">
        <w:rPr>
          <w:color w:val="auto"/>
        </w:rPr>
        <w:t>.</w:t>
      </w:r>
    </w:p>
    <w:p w:rsidR="006E3B80" w:rsidRDefault="006E3B80" w:rsidP="001E43E5">
      <w:pPr>
        <w:rPr>
          <w:color w:val="auto"/>
        </w:rPr>
      </w:pPr>
      <w:r>
        <w:rPr>
          <w:color w:val="auto"/>
        </w:rPr>
        <w:t>Having arrived at this conclusion it shall not be necessary for this court to determine the third ground of review. It must follow that the application</w:t>
      </w:r>
      <w:r w:rsidR="00530EC1">
        <w:rPr>
          <w:color w:val="auto"/>
        </w:rPr>
        <w:t xml:space="preserve"> </w:t>
      </w:r>
      <w:r>
        <w:rPr>
          <w:color w:val="auto"/>
        </w:rPr>
        <w:t>for</w:t>
      </w:r>
      <w:r w:rsidR="00530EC1">
        <w:rPr>
          <w:color w:val="auto"/>
        </w:rPr>
        <w:t xml:space="preserve"> </w:t>
      </w:r>
      <w:r>
        <w:rPr>
          <w:color w:val="auto"/>
        </w:rPr>
        <w:t>review succeeds.</w:t>
      </w:r>
    </w:p>
    <w:p w:rsidR="006E3B80" w:rsidRDefault="006E3B80" w:rsidP="001E43E5">
      <w:pPr>
        <w:rPr>
          <w:color w:val="auto"/>
        </w:rPr>
      </w:pPr>
      <w:r>
        <w:rPr>
          <w:color w:val="auto"/>
        </w:rPr>
        <w:t>It is accordingly ordered as follows;</w:t>
      </w:r>
    </w:p>
    <w:p w:rsidR="000C180C" w:rsidRDefault="00FC1F90" w:rsidP="006E3B80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The disciplinary proceedings convened by the Respondent at the </w:t>
      </w:r>
      <w:r w:rsidR="00530EC1">
        <w:rPr>
          <w:color w:val="auto"/>
        </w:rPr>
        <w:t xml:space="preserve">initial and the subsequent </w:t>
      </w:r>
      <w:r>
        <w:rPr>
          <w:color w:val="auto"/>
        </w:rPr>
        <w:t>levels be and are hereby set aside.</w:t>
      </w:r>
    </w:p>
    <w:p w:rsidR="00530EC1" w:rsidRPr="00530EC1" w:rsidRDefault="00530EC1" w:rsidP="00530EC1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The</w:t>
      </w:r>
      <w:r w:rsidRPr="00530EC1">
        <w:rPr>
          <w:color w:val="auto"/>
        </w:rPr>
        <w:t xml:space="preserve"> Respondent shall pay costs on the ordinary scale.</w:t>
      </w:r>
    </w:p>
    <w:p w:rsidR="00530EC1" w:rsidRDefault="00530EC1" w:rsidP="00530EC1">
      <w:pPr>
        <w:pStyle w:val="ListParagraph"/>
        <w:ind w:left="1515" w:firstLine="0"/>
        <w:rPr>
          <w:color w:val="auto"/>
        </w:rPr>
      </w:pPr>
    </w:p>
    <w:p w:rsidR="00FC1F90" w:rsidRDefault="00FC1F90" w:rsidP="00FC1F90">
      <w:pPr>
        <w:ind w:firstLine="0"/>
        <w:rPr>
          <w:color w:val="auto"/>
        </w:rPr>
      </w:pPr>
    </w:p>
    <w:p w:rsidR="00FC1F90" w:rsidRDefault="00FC1F90" w:rsidP="00FC1F90">
      <w:pPr>
        <w:ind w:firstLine="0"/>
        <w:rPr>
          <w:color w:val="auto"/>
        </w:rPr>
      </w:pPr>
    </w:p>
    <w:p w:rsidR="00FC1F90" w:rsidRPr="00FC1F90" w:rsidRDefault="00FC1F90" w:rsidP="00FC1F90">
      <w:pPr>
        <w:ind w:firstLine="0"/>
        <w:rPr>
          <w:color w:val="auto"/>
        </w:rPr>
      </w:pPr>
      <w:r w:rsidRPr="00FC1F90">
        <w:rPr>
          <w:i/>
          <w:color w:val="auto"/>
        </w:rPr>
        <w:t>Calderwood Bryce Hendrie &amp; Partners</w:t>
      </w:r>
      <w:r>
        <w:rPr>
          <w:color w:val="auto"/>
        </w:rPr>
        <w:t>, respondent’s legal practitioners</w:t>
      </w:r>
    </w:p>
    <w:sectPr w:rsidR="00FC1F90" w:rsidRPr="00FC1F90" w:rsidSect="00147A9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5E" w:rsidRDefault="009F715E" w:rsidP="0088582D">
      <w:pPr>
        <w:spacing w:before="0" w:after="0" w:line="240" w:lineRule="auto"/>
      </w:pPr>
      <w:r>
        <w:separator/>
      </w:r>
    </w:p>
  </w:endnote>
  <w:endnote w:type="continuationSeparator" w:id="0">
    <w:p w:rsidR="009F715E" w:rsidRDefault="009F715E" w:rsidP="008858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06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A9E" w:rsidRDefault="00147A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582D" w:rsidRDefault="00885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5E" w:rsidRDefault="009F715E" w:rsidP="0088582D">
      <w:pPr>
        <w:spacing w:before="0" w:after="0" w:line="240" w:lineRule="auto"/>
      </w:pPr>
      <w:r>
        <w:separator/>
      </w:r>
    </w:p>
  </w:footnote>
  <w:footnote w:type="continuationSeparator" w:id="0">
    <w:p w:rsidR="009F715E" w:rsidRDefault="009F715E" w:rsidP="008858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9E" w:rsidRPr="00147A9E" w:rsidRDefault="00147A9E">
    <w:pPr>
      <w:pStyle w:val="Header"/>
      <w:rPr>
        <w:color w:val="auto"/>
      </w:rPr>
    </w:pPr>
    <w:r>
      <w:rPr>
        <w:color w:val="auto"/>
      </w:rPr>
      <w:tab/>
    </w:r>
    <w:r>
      <w:rPr>
        <w:color w:val="auto"/>
      </w:rPr>
      <w:tab/>
    </w:r>
    <w:r w:rsidR="004E6E9B">
      <w:rPr>
        <w:color w:val="auto"/>
      </w:rPr>
      <w:t>JUDGMENT NO. LC/MS/6</w:t>
    </w:r>
    <w:r w:rsidRPr="00147A9E">
      <w:rPr>
        <w:color w:val="auto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72E"/>
    <w:multiLevelType w:val="hybridMultilevel"/>
    <w:tmpl w:val="09B85BD6"/>
    <w:lvl w:ilvl="0" w:tplc="30090011">
      <w:start w:val="1"/>
      <w:numFmt w:val="decimal"/>
      <w:lvlText w:val="%1)"/>
      <w:lvlJc w:val="left"/>
      <w:pPr>
        <w:ind w:left="1515" w:hanging="360"/>
      </w:pPr>
    </w:lvl>
    <w:lvl w:ilvl="1" w:tplc="30090019" w:tentative="1">
      <w:start w:val="1"/>
      <w:numFmt w:val="lowerLetter"/>
      <w:lvlText w:val="%2."/>
      <w:lvlJc w:val="left"/>
      <w:pPr>
        <w:ind w:left="2235" w:hanging="360"/>
      </w:pPr>
    </w:lvl>
    <w:lvl w:ilvl="2" w:tplc="3009001B" w:tentative="1">
      <w:start w:val="1"/>
      <w:numFmt w:val="lowerRoman"/>
      <w:lvlText w:val="%3."/>
      <w:lvlJc w:val="right"/>
      <w:pPr>
        <w:ind w:left="2955" w:hanging="180"/>
      </w:pPr>
    </w:lvl>
    <w:lvl w:ilvl="3" w:tplc="3009000F" w:tentative="1">
      <w:start w:val="1"/>
      <w:numFmt w:val="decimal"/>
      <w:lvlText w:val="%4."/>
      <w:lvlJc w:val="left"/>
      <w:pPr>
        <w:ind w:left="3675" w:hanging="360"/>
      </w:pPr>
    </w:lvl>
    <w:lvl w:ilvl="4" w:tplc="30090019" w:tentative="1">
      <w:start w:val="1"/>
      <w:numFmt w:val="lowerLetter"/>
      <w:lvlText w:val="%5."/>
      <w:lvlJc w:val="left"/>
      <w:pPr>
        <w:ind w:left="4395" w:hanging="360"/>
      </w:pPr>
    </w:lvl>
    <w:lvl w:ilvl="5" w:tplc="3009001B" w:tentative="1">
      <w:start w:val="1"/>
      <w:numFmt w:val="lowerRoman"/>
      <w:lvlText w:val="%6."/>
      <w:lvlJc w:val="right"/>
      <w:pPr>
        <w:ind w:left="5115" w:hanging="180"/>
      </w:pPr>
    </w:lvl>
    <w:lvl w:ilvl="6" w:tplc="3009000F" w:tentative="1">
      <w:start w:val="1"/>
      <w:numFmt w:val="decimal"/>
      <w:lvlText w:val="%7."/>
      <w:lvlJc w:val="left"/>
      <w:pPr>
        <w:ind w:left="5835" w:hanging="360"/>
      </w:pPr>
    </w:lvl>
    <w:lvl w:ilvl="7" w:tplc="30090019" w:tentative="1">
      <w:start w:val="1"/>
      <w:numFmt w:val="lowerLetter"/>
      <w:lvlText w:val="%8."/>
      <w:lvlJc w:val="left"/>
      <w:pPr>
        <w:ind w:left="6555" w:hanging="360"/>
      </w:pPr>
    </w:lvl>
    <w:lvl w:ilvl="8" w:tplc="30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3"/>
    <w:rsid w:val="000107F6"/>
    <w:rsid w:val="0002404C"/>
    <w:rsid w:val="000275A4"/>
    <w:rsid w:val="000472A1"/>
    <w:rsid w:val="00065B6D"/>
    <w:rsid w:val="0008462A"/>
    <w:rsid w:val="0008539E"/>
    <w:rsid w:val="000930C9"/>
    <w:rsid w:val="000A56B0"/>
    <w:rsid w:val="000B2242"/>
    <w:rsid w:val="000C0B2F"/>
    <w:rsid w:val="000C180C"/>
    <w:rsid w:val="000F7177"/>
    <w:rsid w:val="00106458"/>
    <w:rsid w:val="00113F43"/>
    <w:rsid w:val="001178C2"/>
    <w:rsid w:val="00147A9E"/>
    <w:rsid w:val="001551B0"/>
    <w:rsid w:val="00186697"/>
    <w:rsid w:val="001B0252"/>
    <w:rsid w:val="001B6D3E"/>
    <w:rsid w:val="001C70FA"/>
    <w:rsid w:val="001E43E5"/>
    <w:rsid w:val="001F071F"/>
    <w:rsid w:val="00235C33"/>
    <w:rsid w:val="0027790E"/>
    <w:rsid w:val="00281BA0"/>
    <w:rsid w:val="002937C1"/>
    <w:rsid w:val="002B25C6"/>
    <w:rsid w:val="002C23FD"/>
    <w:rsid w:val="002D6279"/>
    <w:rsid w:val="002E6CE2"/>
    <w:rsid w:val="00315B9C"/>
    <w:rsid w:val="00341CC8"/>
    <w:rsid w:val="00343E70"/>
    <w:rsid w:val="00357C69"/>
    <w:rsid w:val="00367423"/>
    <w:rsid w:val="00374C91"/>
    <w:rsid w:val="003951DD"/>
    <w:rsid w:val="003A7D82"/>
    <w:rsid w:val="003B6BF8"/>
    <w:rsid w:val="0047384C"/>
    <w:rsid w:val="00474775"/>
    <w:rsid w:val="00492F49"/>
    <w:rsid w:val="00493B09"/>
    <w:rsid w:val="004D4EE1"/>
    <w:rsid w:val="004D6EBA"/>
    <w:rsid w:val="004E1B7C"/>
    <w:rsid w:val="004E6E9B"/>
    <w:rsid w:val="004F202C"/>
    <w:rsid w:val="00503477"/>
    <w:rsid w:val="00506D21"/>
    <w:rsid w:val="00511F6A"/>
    <w:rsid w:val="00521F50"/>
    <w:rsid w:val="00530EC1"/>
    <w:rsid w:val="005341E5"/>
    <w:rsid w:val="0054479C"/>
    <w:rsid w:val="00544E5F"/>
    <w:rsid w:val="00552353"/>
    <w:rsid w:val="00560496"/>
    <w:rsid w:val="00593EA0"/>
    <w:rsid w:val="005B60D9"/>
    <w:rsid w:val="00600D7B"/>
    <w:rsid w:val="006256F3"/>
    <w:rsid w:val="00641C3B"/>
    <w:rsid w:val="0064260F"/>
    <w:rsid w:val="00643C59"/>
    <w:rsid w:val="006469D6"/>
    <w:rsid w:val="006551B1"/>
    <w:rsid w:val="00656171"/>
    <w:rsid w:val="00657F97"/>
    <w:rsid w:val="00690614"/>
    <w:rsid w:val="006A544B"/>
    <w:rsid w:val="006B3BA5"/>
    <w:rsid w:val="006B62EB"/>
    <w:rsid w:val="006D32AC"/>
    <w:rsid w:val="006E3B80"/>
    <w:rsid w:val="006F2986"/>
    <w:rsid w:val="00703E37"/>
    <w:rsid w:val="00746E2E"/>
    <w:rsid w:val="007511B0"/>
    <w:rsid w:val="007531A1"/>
    <w:rsid w:val="00783254"/>
    <w:rsid w:val="007A2447"/>
    <w:rsid w:val="007A6C3C"/>
    <w:rsid w:val="007E3B58"/>
    <w:rsid w:val="008108C4"/>
    <w:rsid w:val="0088582D"/>
    <w:rsid w:val="008D5B28"/>
    <w:rsid w:val="009143BE"/>
    <w:rsid w:val="009213EF"/>
    <w:rsid w:val="0092237E"/>
    <w:rsid w:val="0092341E"/>
    <w:rsid w:val="00926E51"/>
    <w:rsid w:val="00932C45"/>
    <w:rsid w:val="00951030"/>
    <w:rsid w:val="00996843"/>
    <w:rsid w:val="009A5D79"/>
    <w:rsid w:val="009F715E"/>
    <w:rsid w:val="00A22A52"/>
    <w:rsid w:val="00A26118"/>
    <w:rsid w:val="00A6290C"/>
    <w:rsid w:val="00A64651"/>
    <w:rsid w:val="00A67F0C"/>
    <w:rsid w:val="00A75CDA"/>
    <w:rsid w:val="00A843CC"/>
    <w:rsid w:val="00A952F3"/>
    <w:rsid w:val="00AC7C29"/>
    <w:rsid w:val="00B2721E"/>
    <w:rsid w:val="00B8272F"/>
    <w:rsid w:val="00B97A51"/>
    <w:rsid w:val="00BA0F5E"/>
    <w:rsid w:val="00BA3A21"/>
    <w:rsid w:val="00BF6A0F"/>
    <w:rsid w:val="00C01694"/>
    <w:rsid w:val="00C03E0A"/>
    <w:rsid w:val="00C1173E"/>
    <w:rsid w:val="00C15A03"/>
    <w:rsid w:val="00C26AF9"/>
    <w:rsid w:val="00C808D0"/>
    <w:rsid w:val="00C81935"/>
    <w:rsid w:val="00C85667"/>
    <w:rsid w:val="00C85ED5"/>
    <w:rsid w:val="00C91126"/>
    <w:rsid w:val="00C91551"/>
    <w:rsid w:val="00CA42CC"/>
    <w:rsid w:val="00CB5C46"/>
    <w:rsid w:val="00CF2371"/>
    <w:rsid w:val="00D17A6B"/>
    <w:rsid w:val="00D339F2"/>
    <w:rsid w:val="00D40C34"/>
    <w:rsid w:val="00D51446"/>
    <w:rsid w:val="00D804FE"/>
    <w:rsid w:val="00D85BDB"/>
    <w:rsid w:val="00D96AAA"/>
    <w:rsid w:val="00DB7F13"/>
    <w:rsid w:val="00DD268F"/>
    <w:rsid w:val="00DD4259"/>
    <w:rsid w:val="00DE6431"/>
    <w:rsid w:val="00DF3B09"/>
    <w:rsid w:val="00E10BCB"/>
    <w:rsid w:val="00E22F6F"/>
    <w:rsid w:val="00E4347E"/>
    <w:rsid w:val="00E648BA"/>
    <w:rsid w:val="00E90627"/>
    <w:rsid w:val="00EC55EA"/>
    <w:rsid w:val="00EF238B"/>
    <w:rsid w:val="00F370B4"/>
    <w:rsid w:val="00F91C41"/>
    <w:rsid w:val="00F97AD7"/>
    <w:rsid w:val="00FA3867"/>
    <w:rsid w:val="00FA4ECD"/>
    <w:rsid w:val="00FB2233"/>
    <w:rsid w:val="00FC1F90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51"/>
    <w:pPr>
      <w:spacing w:before="120" w:after="240" w:line="360" w:lineRule="auto"/>
      <w:ind w:firstLine="720"/>
      <w:jc w:val="both"/>
    </w:pPr>
    <w:rPr>
      <w:rFonts w:ascii="Tahoma" w:hAnsi="Tahoma"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2D"/>
    <w:rPr>
      <w:rFonts w:ascii="Tahoma" w:hAnsi="Tahoma"/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8858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2D"/>
    <w:rPr>
      <w:rFonts w:ascii="Tahoma" w:hAnsi="Tahoma"/>
      <w:color w:val="7F7F7F" w:themeColor="text1" w:themeTint="80"/>
      <w:sz w:val="24"/>
    </w:rPr>
  </w:style>
  <w:style w:type="paragraph" w:styleId="ListParagraph">
    <w:name w:val="List Paragraph"/>
    <w:basedOn w:val="Normal"/>
    <w:uiPriority w:val="34"/>
    <w:qFormat/>
    <w:rsid w:val="006E3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E9B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9B"/>
    <w:rPr>
      <w:rFonts w:ascii="Tahoma" w:hAnsi="Tahoma" w:cs="Tahoma"/>
      <w:color w:val="7F7F7F" w:themeColor="text1" w:themeTint="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51"/>
    <w:pPr>
      <w:spacing w:before="120" w:after="240" w:line="360" w:lineRule="auto"/>
      <w:ind w:firstLine="720"/>
      <w:jc w:val="both"/>
    </w:pPr>
    <w:rPr>
      <w:rFonts w:ascii="Tahoma" w:hAnsi="Tahoma"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8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2D"/>
    <w:rPr>
      <w:rFonts w:ascii="Tahoma" w:hAnsi="Tahoma"/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8858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2D"/>
    <w:rPr>
      <w:rFonts w:ascii="Tahoma" w:hAnsi="Tahoma"/>
      <w:color w:val="7F7F7F" w:themeColor="text1" w:themeTint="80"/>
      <w:sz w:val="24"/>
    </w:rPr>
  </w:style>
  <w:style w:type="paragraph" w:styleId="ListParagraph">
    <w:name w:val="List Paragraph"/>
    <w:basedOn w:val="Normal"/>
    <w:uiPriority w:val="34"/>
    <w:qFormat/>
    <w:rsid w:val="006E3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E9B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9B"/>
    <w:rPr>
      <w:rFonts w:ascii="Tahoma" w:hAnsi="Tahoma" w:cs="Tahoma"/>
      <w:color w:val="7F7F7F" w:themeColor="text1" w:themeTint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2A815A-27FB-48DE-B583-6B09D8CB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BTC</dc:creator>
  <cp:lastModifiedBy>library</cp:lastModifiedBy>
  <cp:revision>14</cp:revision>
  <cp:lastPrinted>2020-06-05T12:16:00Z</cp:lastPrinted>
  <dcterms:created xsi:type="dcterms:W3CDTF">2020-06-01T10:49:00Z</dcterms:created>
  <dcterms:modified xsi:type="dcterms:W3CDTF">2020-06-18T11:17:00Z</dcterms:modified>
</cp:coreProperties>
</file>