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CE" w:rsidRDefault="00092BCE" w:rsidP="005B7EF7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 THE LA</w:t>
      </w:r>
      <w:r w:rsidR="00DD4B36">
        <w:rPr>
          <w:b/>
          <w:sz w:val="28"/>
          <w:szCs w:val="28"/>
        </w:rPr>
        <w:t>BOUR COURT OF ZIMBABWE</w:t>
      </w:r>
      <w:r w:rsidR="00DD4B36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>JUDGMENT NO LC/</w:t>
      </w:r>
      <w:r w:rsidR="00BD636D">
        <w:rPr>
          <w:b/>
          <w:sz w:val="28"/>
          <w:szCs w:val="28"/>
        </w:rPr>
        <w:t>MC/32</w:t>
      </w:r>
      <w:r w:rsidR="00DD4B36">
        <w:rPr>
          <w:b/>
          <w:sz w:val="28"/>
          <w:szCs w:val="28"/>
        </w:rPr>
        <w:t>/13</w:t>
      </w:r>
    </w:p>
    <w:p w:rsidR="00092BCE" w:rsidRDefault="00092BCE" w:rsidP="005B7EF7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DD4B36">
        <w:rPr>
          <w:b/>
          <w:sz w:val="28"/>
          <w:szCs w:val="28"/>
        </w:rPr>
        <w:t>UTARE</w:t>
      </w:r>
      <w:r>
        <w:rPr>
          <w:b/>
          <w:sz w:val="28"/>
          <w:szCs w:val="28"/>
        </w:rPr>
        <w:t xml:space="preserve"> </w:t>
      </w:r>
      <w:r w:rsidR="00D06BA8">
        <w:rPr>
          <w:b/>
          <w:sz w:val="28"/>
          <w:szCs w:val="28"/>
        </w:rPr>
        <w:t>17</w:t>
      </w:r>
      <w:r w:rsidR="00D06BA8" w:rsidRPr="00D06BA8">
        <w:rPr>
          <w:b/>
          <w:sz w:val="28"/>
          <w:szCs w:val="28"/>
          <w:vertAlign w:val="superscript"/>
        </w:rPr>
        <w:t>th</w:t>
      </w:r>
      <w:r w:rsidR="00D06BA8">
        <w:rPr>
          <w:b/>
          <w:sz w:val="28"/>
          <w:szCs w:val="28"/>
        </w:rPr>
        <w:t xml:space="preserve"> </w:t>
      </w:r>
      <w:r w:rsidR="00DD4B36">
        <w:rPr>
          <w:b/>
          <w:sz w:val="28"/>
          <w:szCs w:val="28"/>
        </w:rPr>
        <w:t>SEPTEMBER, 2013</w:t>
      </w:r>
      <w:r w:rsidR="00DD4B36">
        <w:rPr>
          <w:b/>
          <w:sz w:val="28"/>
          <w:szCs w:val="28"/>
        </w:rPr>
        <w:tab/>
      </w:r>
      <w:r w:rsidR="00DD4B36">
        <w:rPr>
          <w:b/>
          <w:sz w:val="28"/>
          <w:szCs w:val="28"/>
        </w:rPr>
        <w:tab/>
      </w:r>
      <w:r w:rsidR="00DD4B36">
        <w:rPr>
          <w:b/>
          <w:sz w:val="28"/>
          <w:szCs w:val="28"/>
        </w:rPr>
        <w:tab/>
        <w:t xml:space="preserve">        CASE NO LC/MC/</w:t>
      </w:r>
      <w:r w:rsidR="00D06BA8">
        <w:rPr>
          <w:b/>
          <w:sz w:val="28"/>
          <w:szCs w:val="28"/>
        </w:rPr>
        <w:t>73</w:t>
      </w:r>
      <w:r>
        <w:rPr>
          <w:b/>
          <w:sz w:val="28"/>
          <w:szCs w:val="28"/>
        </w:rPr>
        <w:t>/11</w:t>
      </w:r>
    </w:p>
    <w:p w:rsidR="005B7EF7" w:rsidRDefault="005B7EF7" w:rsidP="005B7EF7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AND 25</w:t>
      </w:r>
      <w:r w:rsidRPr="005B7EF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OCTOBER, 2013</w:t>
      </w:r>
    </w:p>
    <w:p w:rsidR="005B7EF7" w:rsidRDefault="005B7EF7" w:rsidP="005B7EF7">
      <w:pPr>
        <w:spacing w:after="0" w:line="240" w:lineRule="auto"/>
        <w:rPr>
          <w:sz w:val="28"/>
          <w:szCs w:val="28"/>
        </w:rPr>
      </w:pPr>
    </w:p>
    <w:p w:rsidR="005B7EF7" w:rsidRDefault="005B7EF7" w:rsidP="005B7EF7">
      <w:pPr>
        <w:spacing w:after="0" w:line="240" w:lineRule="auto"/>
        <w:rPr>
          <w:sz w:val="28"/>
          <w:szCs w:val="28"/>
        </w:rPr>
      </w:pPr>
    </w:p>
    <w:p w:rsidR="00092BCE" w:rsidRDefault="00D06BA8" w:rsidP="005B7EF7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AMOS KUNYEREZERA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D4B36">
        <w:rPr>
          <w:b/>
          <w:sz w:val="28"/>
          <w:szCs w:val="28"/>
        </w:rPr>
        <w:tab/>
      </w:r>
      <w:r w:rsidR="00092BCE">
        <w:rPr>
          <w:b/>
          <w:sz w:val="28"/>
          <w:szCs w:val="28"/>
        </w:rPr>
        <w:tab/>
        <w:t>Appellant</w:t>
      </w:r>
    </w:p>
    <w:p w:rsidR="00092BCE" w:rsidRDefault="00D06BA8" w:rsidP="005B7EF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LEOPARD ROCK HOTEL (PRIVATE) LIMITED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92BCE">
        <w:rPr>
          <w:b/>
          <w:sz w:val="28"/>
          <w:szCs w:val="28"/>
        </w:rPr>
        <w:tab/>
      </w:r>
      <w:r w:rsidR="00092BCE">
        <w:rPr>
          <w:b/>
          <w:sz w:val="28"/>
          <w:szCs w:val="28"/>
        </w:rPr>
        <w:tab/>
        <w:t>Respondent</w:t>
      </w:r>
    </w:p>
    <w:p w:rsidR="00092BCE" w:rsidRDefault="00092BCE" w:rsidP="005B7EF7">
      <w:pPr>
        <w:spacing w:after="0" w:line="240" w:lineRule="auto"/>
        <w:rPr>
          <w:sz w:val="28"/>
          <w:szCs w:val="28"/>
        </w:rPr>
      </w:pPr>
    </w:p>
    <w:p w:rsidR="00092BCE" w:rsidRDefault="00092BCE" w:rsidP="005B7EF7">
      <w:pPr>
        <w:spacing w:after="0" w:line="240" w:lineRule="auto"/>
        <w:rPr>
          <w:sz w:val="28"/>
          <w:szCs w:val="28"/>
        </w:rPr>
      </w:pPr>
    </w:p>
    <w:p w:rsidR="00092BCE" w:rsidRDefault="00092BCE" w:rsidP="00DD4B3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Before The Honourable G Musariri, </w:t>
      </w:r>
      <w:r w:rsidR="00DD4B36">
        <w:rPr>
          <w:sz w:val="28"/>
          <w:szCs w:val="28"/>
        </w:rPr>
        <w:t>Judge:</w:t>
      </w:r>
    </w:p>
    <w:p w:rsidR="00941B43" w:rsidRPr="00DD4B36" w:rsidRDefault="00941B43" w:rsidP="0097668E">
      <w:pPr>
        <w:spacing w:after="0" w:line="240" w:lineRule="auto"/>
        <w:rPr>
          <w:sz w:val="28"/>
          <w:szCs w:val="28"/>
        </w:rPr>
      </w:pPr>
    </w:p>
    <w:p w:rsidR="00DD4B36" w:rsidRDefault="00092BCE" w:rsidP="00DD4B36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DD4B36">
        <w:rPr>
          <w:b/>
          <w:sz w:val="28"/>
          <w:szCs w:val="28"/>
        </w:rPr>
        <w:t>Appellant:</w:t>
      </w:r>
      <w:r w:rsidR="00DD4B36">
        <w:rPr>
          <w:b/>
          <w:sz w:val="28"/>
          <w:szCs w:val="28"/>
        </w:rPr>
        <w:tab/>
      </w:r>
      <w:r w:rsidR="00DD4B36">
        <w:rPr>
          <w:b/>
          <w:sz w:val="28"/>
          <w:szCs w:val="28"/>
        </w:rPr>
        <w:tab/>
        <w:t>M</w:t>
      </w:r>
      <w:r w:rsidR="00D06BA8">
        <w:rPr>
          <w:b/>
          <w:sz w:val="28"/>
          <w:szCs w:val="28"/>
        </w:rPr>
        <w:t>r</w:t>
      </w:r>
      <w:r w:rsidR="00DD4B36">
        <w:rPr>
          <w:b/>
          <w:sz w:val="28"/>
          <w:szCs w:val="28"/>
        </w:rPr>
        <w:t xml:space="preserve">. </w:t>
      </w:r>
      <w:r w:rsidR="00D06BA8">
        <w:rPr>
          <w:b/>
          <w:sz w:val="28"/>
          <w:szCs w:val="28"/>
        </w:rPr>
        <w:t>A</w:t>
      </w:r>
      <w:r w:rsidR="00DD4B36">
        <w:rPr>
          <w:b/>
          <w:sz w:val="28"/>
          <w:szCs w:val="28"/>
        </w:rPr>
        <w:t xml:space="preserve">. </w:t>
      </w:r>
      <w:r w:rsidR="00D06BA8">
        <w:rPr>
          <w:b/>
          <w:sz w:val="28"/>
          <w:szCs w:val="28"/>
        </w:rPr>
        <w:t>Kunyerezera</w:t>
      </w:r>
      <w:r w:rsidR="00DD4B36">
        <w:rPr>
          <w:b/>
          <w:sz w:val="28"/>
          <w:szCs w:val="28"/>
        </w:rPr>
        <w:t xml:space="preserve">, </w:t>
      </w:r>
      <w:r w:rsidR="00D06BA8">
        <w:rPr>
          <w:b/>
          <w:sz w:val="28"/>
          <w:szCs w:val="28"/>
        </w:rPr>
        <w:t>Appellant</w:t>
      </w:r>
    </w:p>
    <w:p w:rsidR="00092BCE" w:rsidRPr="00EA4604" w:rsidRDefault="00092BCE" w:rsidP="00DD4B36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 w:rsidR="00DD4B36">
        <w:rPr>
          <w:b/>
          <w:sz w:val="28"/>
          <w:szCs w:val="28"/>
        </w:rPr>
        <w:t>:</w:t>
      </w:r>
      <w:r w:rsidR="00DD4B36">
        <w:rPr>
          <w:b/>
          <w:sz w:val="28"/>
          <w:szCs w:val="28"/>
        </w:rPr>
        <w:tab/>
      </w:r>
      <w:r w:rsidR="00DD4B36">
        <w:rPr>
          <w:b/>
          <w:sz w:val="28"/>
          <w:szCs w:val="28"/>
        </w:rPr>
        <w:tab/>
      </w:r>
      <w:r w:rsidR="00D06BA8">
        <w:rPr>
          <w:b/>
          <w:sz w:val="28"/>
          <w:szCs w:val="28"/>
        </w:rPr>
        <w:t>Ms</w:t>
      </w:r>
      <w:r w:rsidR="00DD4B36">
        <w:rPr>
          <w:b/>
          <w:sz w:val="28"/>
          <w:szCs w:val="28"/>
        </w:rPr>
        <w:t xml:space="preserve">. </w:t>
      </w:r>
      <w:r w:rsidR="00D06BA8">
        <w:rPr>
          <w:b/>
          <w:sz w:val="28"/>
          <w:szCs w:val="28"/>
        </w:rPr>
        <w:t>Y</w:t>
      </w:r>
      <w:r w:rsidR="00DD4B36">
        <w:rPr>
          <w:b/>
          <w:sz w:val="28"/>
          <w:szCs w:val="28"/>
        </w:rPr>
        <w:t xml:space="preserve">. </w:t>
      </w:r>
      <w:r w:rsidR="00D06BA8">
        <w:rPr>
          <w:b/>
          <w:sz w:val="28"/>
          <w:szCs w:val="28"/>
        </w:rPr>
        <w:t>Nyambo</w:t>
      </w:r>
      <w:r w:rsidR="00DD4B36">
        <w:rPr>
          <w:b/>
          <w:sz w:val="28"/>
          <w:szCs w:val="28"/>
        </w:rPr>
        <w:t>, Attorney</w:t>
      </w:r>
    </w:p>
    <w:p w:rsidR="00092BCE" w:rsidRDefault="00092BCE" w:rsidP="0097668E">
      <w:pPr>
        <w:spacing w:line="240" w:lineRule="auto"/>
        <w:rPr>
          <w:b/>
          <w:sz w:val="28"/>
          <w:szCs w:val="28"/>
        </w:rPr>
      </w:pPr>
    </w:p>
    <w:p w:rsidR="00092BCE" w:rsidRDefault="00092BCE" w:rsidP="005B7EF7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MUSARIRI, G:</w:t>
      </w:r>
    </w:p>
    <w:p w:rsidR="00941B43" w:rsidRDefault="00941B43" w:rsidP="005B7EF7">
      <w:pPr>
        <w:spacing w:after="0" w:line="240" w:lineRule="auto"/>
        <w:jc w:val="both"/>
        <w:rPr>
          <w:b/>
          <w:sz w:val="28"/>
          <w:szCs w:val="28"/>
        </w:rPr>
      </w:pPr>
    </w:p>
    <w:p w:rsidR="00ED3B87" w:rsidRDefault="008E105D" w:rsidP="0097668E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Appellant appealed against his dismissal from employment by Respondent.  His papers complained about both procedure and the merits.  Respondent opposed the appeal. </w:t>
      </w:r>
    </w:p>
    <w:p w:rsidR="0097668E" w:rsidRDefault="0097668E" w:rsidP="005B7EF7">
      <w:pPr>
        <w:spacing w:after="0" w:line="360" w:lineRule="auto"/>
        <w:jc w:val="both"/>
        <w:rPr>
          <w:sz w:val="28"/>
          <w:szCs w:val="28"/>
        </w:rPr>
      </w:pPr>
    </w:p>
    <w:p w:rsidR="0097668E" w:rsidRDefault="00E628D0" w:rsidP="0097668E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  <w:r w:rsidRPr="00941B43">
        <w:rPr>
          <w:sz w:val="28"/>
          <w:szCs w:val="28"/>
        </w:rPr>
        <w:t>However in the course of oral argument, Respondent made two concessions.  Firstly it abandoned its argument based on the distinction between an appeal and a review.  It was obvious that Appellant intended to file an appeal</w:t>
      </w:r>
      <w:r w:rsidR="009A39E2" w:rsidRPr="00941B43">
        <w:rPr>
          <w:sz w:val="28"/>
          <w:szCs w:val="28"/>
        </w:rPr>
        <w:t>-</w:t>
      </w:r>
      <w:r w:rsidR="00C767F8" w:rsidRPr="00941B43">
        <w:rPr>
          <w:sz w:val="28"/>
          <w:szCs w:val="28"/>
        </w:rPr>
        <w:t>cum-review.  As a lay person</w:t>
      </w:r>
      <w:r w:rsidR="009A39E2">
        <w:rPr>
          <w:sz w:val="28"/>
          <w:szCs w:val="28"/>
        </w:rPr>
        <w:t>,</w:t>
      </w:r>
      <w:r w:rsidR="00C767F8" w:rsidRPr="00941B43">
        <w:rPr>
          <w:sz w:val="28"/>
          <w:szCs w:val="28"/>
        </w:rPr>
        <w:t xml:space="preserve"> he could not be expected to draft his p</w:t>
      </w:r>
      <w:r w:rsidR="009A39E2">
        <w:rPr>
          <w:sz w:val="28"/>
          <w:szCs w:val="28"/>
        </w:rPr>
        <w:t>apers with the precision of an a</w:t>
      </w:r>
      <w:r w:rsidR="00C767F8" w:rsidRPr="00941B43">
        <w:rPr>
          <w:sz w:val="28"/>
          <w:szCs w:val="28"/>
        </w:rPr>
        <w:t>ttorney.  On that basis</w:t>
      </w:r>
      <w:r w:rsidR="009A39E2">
        <w:rPr>
          <w:sz w:val="28"/>
          <w:szCs w:val="28"/>
        </w:rPr>
        <w:t>,</w:t>
      </w:r>
      <w:r w:rsidR="00C767F8" w:rsidRPr="00941B43">
        <w:rPr>
          <w:sz w:val="28"/>
          <w:szCs w:val="28"/>
        </w:rPr>
        <w:t xml:space="preserve"> I consider Respondent’s concession as well-made.  Respondent also conceded that the charge of assault had not been sustained.  This was based on a peru</w:t>
      </w:r>
      <w:r w:rsidR="00E54CD0" w:rsidRPr="00941B43">
        <w:rPr>
          <w:sz w:val="28"/>
          <w:szCs w:val="28"/>
        </w:rPr>
        <w:t>sal of the definition of “</w:t>
      </w:r>
      <w:r w:rsidR="00E54CD0" w:rsidRPr="00941B43">
        <w:rPr>
          <w:i/>
          <w:sz w:val="28"/>
          <w:szCs w:val="28"/>
        </w:rPr>
        <w:t>assault”</w:t>
      </w:r>
      <w:r w:rsidR="00E54CD0" w:rsidRPr="00941B43">
        <w:rPr>
          <w:sz w:val="28"/>
          <w:szCs w:val="28"/>
        </w:rPr>
        <w:t xml:space="preserve"> in Respondent’s Code.  The definition focuses on a physical assault.  That does not cover the verbal abuse </w:t>
      </w:r>
      <w:r w:rsidR="003E603F" w:rsidRPr="00941B43">
        <w:rPr>
          <w:sz w:val="28"/>
          <w:szCs w:val="28"/>
          <w:u w:val="single"/>
        </w:rPr>
        <w:t>in</w:t>
      </w:r>
      <w:r w:rsidR="003E603F" w:rsidRPr="00941B43">
        <w:rPr>
          <w:sz w:val="28"/>
          <w:szCs w:val="28"/>
        </w:rPr>
        <w:t xml:space="preserve"> </w:t>
      </w:r>
      <w:r w:rsidR="003E603F" w:rsidRPr="00941B43">
        <w:rPr>
          <w:sz w:val="28"/>
          <w:szCs w:val="28"/>
          <w:u w:val="single"/>
        </w:rPr>
        <w:t>casu</w:t>
      </w:r>
      <w:r w:rsidR="00941B43" w:rsidRPr="00941B43">
        <w:rPr>
          <w:sz w:val="28"/>
          <w:szCs w:val="28"/>
        </w:rPr>
        <w:t>.  I also consider that the</w:t>
      </w:r>
      <w:r w:rsidR="0097668E">
        <w:rPr>
          <w:sz w:val="28"/>
          <w:szCs w:val="28"/>
        </w:rPr>
        <w:t xml:space="preserve"> Respondent’s concession on this point was well-made. </w:t>
      </w:r>
    </w:p>
    <w:p w:rsidR="005B7EF7" w:rsidRDefault="005B7EF7" w:rsidP="005B7EF7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</w:p>
    <w:p w:rsidR="00941B43" w:rsidRDefault="00941B43" w:rsidP="005B7EF7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That left the charge of “</w:t>
      </w:r>
      <w:r w:rsidRPr="00941B43">
        <w:rPr>
          <w:i/>
          <w:sz w:val="28"/>
          <w:szCs w:val="28"/>
        </w:rPr>
        <w:t>deliberate refusal to carry out a lawful instruction</w:t>
      </w:r>
      <w:r>
        <w:rPr>
          <w:sz w:val="28"/>
          <w:szCs w:val="28"/>
        </w:rPr>
        <w:t xml:space="preserve">.”  Appellant was instructed to stay away from Respondent’s club house.  The instruction was put in writing by the General Manager. </w:t>
      </w:r>
    </w:p>
    <w:p w:rsidR="0097668E" w:rsidRPr="00941B43" w:rsidRDefault="0097668E" w:rsidP="0097668E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</w:p>
    <w:p w:rsidR="00941B43" w:rsidRDefault="00941B43" w:rsidP="0097668E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Despite the instruction, Appellant went to the club house and had an altercation with the bar-man and a manager.  Appellant did not deny these facts.  He attacked the rationale behind his “ban” (his own word) from the club house.  The facts show that the offence was proved on a balance of probabilities. </w:t>
      </w:r>
    </w:p>
    <w:p w:rsidR="00941B43" w:rsidRDefault="00941B43" w:rsidP="0097668E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</w:p>
    <w:p w:rsidR="00941B43" w:rsidRDefault="00941B43" w:rsidP="0097668E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However </w:t>
      </w:r>
      <w:r w:rsidR="0097668E">
        <w:rPr>
          <w:sz w:val="28"/>
          <w:szCs w:val="28"/>
        </w:rPr>
        <w:t>respondent’s</w:t>
      </w:r>
      <w:r>
        <w:rPr>
          <w:sz w:val="28"/>
          <w:szCs w:val="28"/>
        </w:rPr>
        <w:t xml:space="preserve"> case was marred by one thing.  It related to the Chairman of the disciplinary committee that heard the matter.  The Chairman was apparently also a victim of verbal abuse by Appellant.  It is alleged that soon after the altercation at the club </w:t>
      </w:r>
      <w:r w:rsidR="009A39E2">
        <w:rPr>
          <w:sz w:val="28"/>
          <w:szCs w:val="28"/>
        </w:rPr>
        <w:t>house,</w:t>
      </w:r>
      <w:r>
        <w:rPr>
          <w:sz w:val="28"/>
          <w:szCs w:val="28"/>
        </w:rPr>
        <w:t xml:space="preserve"> Appellant proceeded to</w:t>
      </w:r>
      <w:r w:rsidR="009A39E2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Chair’s office and abused him.  I noted Respondent did not rely on that abuse to bolster its case.  </w:t>
      </w:r>
    </w:p>
    <w:p w:rsidR="00941B43" w:rsidRDefault="00941B43" w:rsidP="0097668E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</w:p>
    <w:p w:rsidR="00941B43" w:rsidRDefault="00941B43" w:rsidP="0097668E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However the point is that as one of the victims of the Appellant’s conduct in question, he could not be reg</w:t>
      </w:r>
      <w:r w:rsidR="0097668E">
        <w:rPr>
          <w:sz w:val="28"/>
          <w:szCs w:val="28"/>
        </w:rPr>
        <w:t>arded as a disinterested party.  He must have been hurt by the abuse and as such could not act as an impar</w:t>
      </w:r>
      <w:r w:rsidR="009A39E2">
        <w:rPr>
          <w:sz w:val="28"/>
          <w:szCs w:val="28"/>
        </w:rPr>
        <w:t>tial arbiter in the matter.  His</w:t>
      </w:r>
      <w:r w:rsidR="0097668E">
        <w:rPr>
          <w:sz w:val="28"/>
          <w:szCs w:val="28"/>
        </w:rPr>
        <w:t xml:space="preserve"> call for the dismissal of Appellant is thus tainted.  On that basis</w:t>
      </w:r>
      <w:r w:rsidR="009A39E2">
        <w:rPr>
          <w:sz w:val="28"/>
          <w:szCs w:val="28"/>
        </w:rPr>
        <w:t>,</w:t>
      </w:r>
      <w:r w:rsidR="0097668E">
        <w:rPr>
          <w:sz w:val="28"/>
          <w:szCs w:val="28"/>
        </w:rPr>
        <w:t xml:space="preserve"> I shall set aside the dismissal and remit the matter to Appellant‘s Managing Director for a re-consideration of the appropriate penalty.  Dismissal may be the prescribed penalty but it does not necessarily follow that it is warranted in </w:t>
      </w:r>
      <w:r w:rsidR="009A39E2">
        <w:rPr>
          <w:sz w:val="28"/>
          <w:szCs w:val="28"/>
        </w:rPr>
        <w:t>every</w:t>
      </w:r>
      <w:r w:rsidR="0097668E">
        <w:rPr>
          <w:sz w:val="28"/>
          <w:szCs w:val="28"/>
        </w:rPr>
        <w:t xml:space="preserve"> case. </w:t>
      </w:r>
    </w:p>
    <w:p w:rsidR="0097668E" w:rsidRDefault="0097668E" w:rsidP="0097668E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</w:p>
    <w:p w:rsidR="0097668E" w:rsidRDefault="0097668E" w:rsidP="0097668E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</w:p>
    <w:p w:rsidR="0097668E" w:rsidRDefault="0097668E" w:rsidP="0097668E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</w:p>
    <w:p w:rsidR="0097668E" w:rsidRDefault="0097668E" w:rsidP="0097668E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Wherefore it is ordered that,</w:t>
      </w:r>
    </w:p>
    <w:p w:rsidR="0097668E" w:rsidRDefault="0097668E" w:rsidP="0097668E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</w:p>
    <w:p w:rsidR="0097668E" w:rsidRDefault="0097668E" w:rsidP="0097668E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appeal is hereby allowed;</w:t>
      </w:r>
    </w:p>
    <w:p w:rsidR="00162660" w:rsidRDefault="00162660" w:rsidP="00162660">
      <w:pPr>
        <w:pStyle w:val="ListParagraph"/>
        <w:spacing w:line="240" w:lineRule="auto"/>
        <w:ind w:left="927"/>
        <w:jc w:val="both"/>
        <w:rPr>
          <w:sz w:val="28"/>
          <w:szCs w:val="28"/>
        </w:rPr>
      </w:pPr>
    </w:p>
    <w:p w:rsidR="00162660" w:rsidRDefault="0097668E" w:rsidP="001626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dismissal of Appellant by Respondent is set aside;</w:t>
      </w:r>
    </w:p>
    <w:p w:rsidR="00162660" w:rsidRPr="00162660" w:rsidRDefault="00162660" w:rsidP="00162660">
      <w:pPr>
        <w:spacing w:after="0" w:line="240" w:lineRule="auto"/>
        <w:jc w:val="both"/>
        <w:rPr>
          <w:sz w:val="28"/>
          <w:szCs w:val="28"/>
        </w:rPr>
      </w:pPr>
    </w:p>
    <w:p w:rsidR="0097668E" w:rsidRDefault="0097668E" w:rsidP="0097668E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matter is remitted to Respondent’s Managing Director for a reconsideration of the appropriate penalty; and </w:t>
      </w:r>
    </w:p>
    <w:p w:rsidR="00162660" w:rsidRPr="00162660" w:rsidRDefault="00162660" w:rsidP="00162660">
      <w:pPr>
        <w:spacing w:after="0" w:line="240" w:lineRule="auto"/>
        <w:jc w:val="both"/>
        <w:rPr>
          <w:sz w:val="28"/>
          <w:szCs w:val="28"/>
        </w:rPr>
      </w:pPr>
    </w:p>
    <w:p w:rsidR="00BD636D" w:rsidRPr="0097668E" w:rsidRDefault="0097668E" w:rsidP="0097668E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Pending the Managing Director’s decision in paragraph 3, Appellant is deemed to be on suspension without pay and benefits. </w:t>
      </w:r>
    </w:p>
    <w:p w:rsidR="00BD636D" w:rsidRDefault="00BD636D" w:rsidP="0097668E">
      <w:pPr>
        <w:spacing w:after="0" w:line="360" w:lineRule="auto"/>
        <w:jc w:val="both"/>
        <w:rPr>
          <w:rFonts w:ascii="Calibri" w:hAnsi="Calibri" w:cs="Times New Roman"/>
          <w:sz w:val="28"/>
          <w:szCs w:val="28"/>
        </w:rPr>
      </w:pPr>
    </w:p>
    <w:p w:rsidR="00BD636D" w:rsidRDefault="00BD636D" w:rsidP="0097668E">
      <w:pPr>
        <w:spacing w:after="0" w:line="360" w:lineRule="auto"/>
        <w:jc w:val="both"/>
        <w:rPr>
          <w:rFonts w:ascii="Calibri" w:hAnsi="Calibri" w:cs="Times New Roman"/>
          <w:sz w:val="28"/>
          <w:szCs w:val="28"/>
        </w:rPr>
      </w:pPr>
    </w:p>
    <w:p w:rsidR="00BD636D" w:rsidRDefault="00BD636D" w:rsidP="0097668E">
      <w:pPr>
        <w:spacing w:after="0" w:line="360" w:lineRule="auto"/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............................................</w:t>
      </w:r>
    </w:p>
    <w:p w:rsidR="00BD636D" w:rsidRPr="00B05517" w:rsidRDefault="00BD636D" w:rsidP="0097668E">
      <w:pPr>
        <w:spacing w:after="0" w:line="360" w:lineRule="auto"/>
        <w:jc w:val="both"/>
        <w:rPr>
          <w:rFonts w:ascii="Calibri" w:hAnsi="Calibri" w:cs="Times New Roman"/>
          <w:b/>
          <w:sz w:val="28"/>
          <w:szCs w:val="28"/>
        </w:rPr>
      </w:pPr>
      <w:r w:rsidRPr="00B05517">
        <w:rPr>
          <w:rFonts w:ascii="Calibri" w:hAnsi="Calibri" w:cs="Times New Roman"/>
          <w:b/>
          <w:sz w:val="28"/>
          <w:szCs w:val="28"/>
        </w:rPr>
        <w:t>G. MUSARIRI</w:t>
      </w:r>
    </w:p>
    <w:p w:rsidR="00BD636D" w:rsidRDefault="00BD636D" w:rsidP="0097668E">
      <w:pPr>
        <w:spacing w:after="0" w:line="360" w:lineRule="auto"/>
        <w:jc w:val="both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JUDGE</w:t>
      </w:r>
    </w:p>
    <w:p w:rsidR="00BD636D" w:rsidRDefault="00BD636D" w:rsidP="0097668E">
      <w:pPr>
        <w:spacing w:after="0" w:line="360" w:lineRule="auto"/>
        <w:jc w:val="both"/>
        <w:rPr>
          <w:rFonts w:ascii="Calibri" w:hAnsi="Calibri" w:cs="Times New Roman"/>
          <w:b/>
          <w:sz w:val="28"/>
          <w:szCs w:val="28"/>
        </w:rPr>
      </w:pPr>
    </w:p>
    <w:p w:rsidR="00BD636D" w:rsidRDefault="00BD636D" w:rsidP="0097668E">
      <w:pPr>
        <w:spacing w:line="360" w:lineRule="auto"/>
      </w:pPr>
    </w:p>
    <w:p w:rsidR="00BD636D" w:rsidRDefault="00BD636D" w:rsidP="0097668E">
      <w:pPr>
        <w:spacing w:line="360" w:lineRule="auto"/>
      </w:pPr>
    </w:p>
    <w:sectPr w:rsidR="00BD636D" w:rsidSect="00BD636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0D1" w:rsidRDefault="006950D1" w:rsidP="00BD636D">
      <w:pPr>
        <w:spacing w:after="0" w:line="240" w:lineRule="auto"/>
      </w:pPr>
      <w:r>
        <w:separator/>
      </w:r>
    </w:p>
  </w:endnote>
  <w:endnote w:type="continuationSeparator" w:id="1">
    <w:p w:rsidR="006950D1" w:rsidRDefault="006950D1" w:rsidP="00BD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8112"/>
      <w:docPartObj>
        <w:docPartGallery w:val="Page Numbers (Bottom of Page)"/>
        <w:docPartUnique/>
      </w:docPartObj>
    </w:sdtPr>
    <w:sdtContent>
      <w:p w:rsidR="0097668E" w:rsidRDefault="006E6A18">
        <w:pPr>
          <w:pStyle w:val="Footer"/>
          <w:jc w:val="right"/>
        </w:pPr>
        <w:fldSimple w:instr=" PAGE   \* MERGEFORMAT ">
          <w:r w:rsidR="005B7EF7">
            <w:rPr>
              <w:noProof/>
            </w:rPr>
            <w:t>3</w:t>
          </w:r>
        </w:fldSimple>
      </w:p>
    </w:sdtContent>
  </w:sdt>
  <w:p w:rsidR="0097668E" w:rsidRDefault="009766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0D1" w:rsidRDefault="006950D1" w:rsidP="00BD636D">
      <w:pPr>
        <w:spacing w:after="0" w:line="240" w:lineRule="auto"/>
      </w:pPr>
      <w:r>
        <w:separator/>
      </w:r>
    </w:p>
  </w:footnote>
  <w:footnote w:type="continuationSeparator" w:id="1">
    <w:p w:rsidR="006950D1" w:rsidRDefault="006950D1" w:rsidP="00BD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68E" w:rsidRPr="00BD636D" w:rsidRDefault="0097668E" w:rsidP="00BD636D">
    <w:pPr>
      <w:jc w:val="right"/>
      <w:rPr>
        <w:b/>
        <w:sz w:val="24"/>
        <w:szCs w:val="24"/>
      </w:rPr>
    </w:pPr>
    <w:r w:rsidRPr="00BD636D">
      <w:rPr>
        <w:b/>
        <w:sz w:val="24"/>
        <w:szCs w:val="24"/>
      </w:rPr>
      <w:t>JUDGMENT NO LC/MC/32/13</w:t>
    </w:r>
  </w:p>
  <w:p w:rsidR="0097668E" w:rsidRDefault="0097668E" w:rsidP="00BD636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C6F2D"/>
    <w:multiLevelType w:val="hybridMultilevel"/>
    <w:tmpl w:val="CD860B2C"/>
    <w:lvl w:ilvl="0" w:tplc="C4DA7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5FF0AB8"/>
    <w:multiLevelType w:val="hybridMultilevel"/>
    <w:tmpl w:val="E298854A"/>
    <w:lvl w:ilvl="0" w:tplc="439AFF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BCE"/>
    <w:rsid w:val="00073B99"/>
    <w:rsid w:val="00092BCE"/>
    <w:rsid w:val="00162660"/>
    <w:rsid w:val="00210022"/>
    <w:rsid w:val="002841E5"/>
    <w:rsid w:val="002B25F1"/>
    <w:rsid w:val="002D0332"/>
    <w:rsid w:val="003E603F"/>
    <w:rsid w:val="003E7494"/>
    <w:rsid w:val="005B7EF7"/>
    <w:rsid w:val="005E4CBF"/>
    <w:rsid w:val="006107B3"/>
    <w:rsid w:val="006950D1"/>
    <w:rsid w:val="006E6A18"/>
    <w:rsid w:val="007F2705"/>
    <w:rsid w:val="008A6DC7"/>
    <w:rsid w:val="008E105D"/>
    <w:rsid w:val="00906844"/>
    <w:rsid w:val="00941B43"/>
    <w:rsid w:val="0097668E"/>
    <w:rsid w:val="00984AF3"/>
    <w:rsid w:val="009A39E2"/>
    <w:rsid w:val="00A72C31"/>
    <w:rsid w:val="00B2519C"/>
    <w:rsid w:val="00BD636D"/>
    <w:rsid w:val="00C767F8"/>
    <w:rsid w:val="00CE61E0"/>
    <w:rsid w:val="00D06BA8"/>
    <w:rsid w:val="00D13C45"/>
    <w:rsid w:val="00D14378"/>
    <w:rsid w:val="00DA5A78"/>
    <w:rsid w:val="00DD4B36"/>
    <w:rsid w:val="00E4538E"/>
    <w:rsid w:val="00E54CD0"/>
    <w:rsid w:val="00E62508"/>
    <w:rsid w:val="00E628D0"/>
    <w:rsid w:val="00E87AE5"/>
    <w:rsid w:val="00ED3B87"/>
    <w:rsid w:val="00F3147E"/>
    <w:rsid w:val="00F4315F"/>
    <w:rsid w:val="00F645E3"/>
    <w:rsid w:val="00FC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CE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6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36D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D6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6D"/>
    <w:rPr>
      <w:lang w:val="en-ZW"/>
    </w:rPr>
  </w:style>
  <w:style w:type="paragraph" w:styleId="ListParagraph">
    <w:name w:val="List Paragraph"/>
    <w:basedOn w:val="Normal"/>
    <w:uiPriority w:val="34"/>
    <w:qFormat/>
    <w:rsid w:val="00941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2013-10-14T10:29:00Z</cp:lastPrinted>
  <dcterms:created xsi:type="dcterms:W3CDTF">2013-10-10T13:34:00Z</dcterms:created>
  <dcterms:modified xsi:type="dcterms:W3CDTF">2013-10-14T10:34:00Z</dcterms:modified>
</cp:coreProperties>
</file>