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8A" w:rsidRDefault="00F830F9" w:rsidP="00E2288A">
      <w:pPr>
        <w:tabs>
          <w:tab w:val="left" w:pos="1515"/>
        </w:tabs>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AMOS CHIDZINZWA</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versus</w:t>
      </w:r>
    </w:p>
    <w:p w:rsidR="00E2288A" w:rsidRDefault="00137D63"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THE STATE</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MWAYERA</w:t>
      </w:r>
      <w:r w:rsidR="00137D63">
        <w:rPr>
          <w:rFonts w:ascii="Times New Roman" w:hAnsi="Times New Roman" w:cs="Times New Roman"/>
          <w:sz w:val="24"/>
        </w:rPr>
        <w:t xml:space="preserve"> AND MUZENDA J</w:t>
      </w:r>
      <w:r>
        <w:rPr>
          <w:rFonts w:ascii="Times New Roman" w:hAnsi="Times New Roman" w:cs="Times New Roman"/>
          <w:sz w:val="24"/>
        </w:rPr>
        <w:t>J</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MUTARE, </w:t>
      </w:r>
      <w:r w:rsidR="00137D63">
        <w:rPr>
          <w:rFonts w:ascii="Times New Roman" w:hAnsi="Times New Roman" w:cs="Times New Roman"/>
          <w:sz w:val="24"/>
        </w:rPr>
        <w:t xml:space="preserve">19 May </w:t>
      </w:r>
      <w:r>
        <w:rPr>
          <w:rFonts w:ascii="Times New Roman" w:hAnsi="Times New Roman" w:cs="Times New Roman"/>
          <w:sz w:val="24"/>
        </w:rPr>
        <w:t xml:space="preserve">2021 </w:t>
      </w:r>
      <w:r w:rsidR="00DA24B3">
        <w:rPr>
          <w:rFonts w:ascii="Times New Roman" w:hAnsi="Times New Roman" w:cs="Times New Roman"/>
          <w:sz w:val="24"/>
        </w:rPr>
        <w:t>&amp; 15 July 2021</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EE6678">
        <w:rPr>
          <w:rFonts w:ascii="Times New Roman" w:hAnsi="Times New Roman" w:cs="Times New Roman"/>
          <w:b/>
          <w:sz w:val="24"/>
          <w:szCs w:val="24"/>
        </w:rPr>
        <w:t>Appeal</w:t>
      </w:r>
    </w:p>
    <w:p w:rsidR="00E2288A" w:rsidRDefault="00E2288A" w:rsidP="00E2288A">
      <w:pPr>
        <w:spacing w:after="0" w:line="240" w:lineRule="auto"/>
        <w:rPr>
          <w:rFonts w:ascii="Times New Roman" w:hAnsi="Times New Roman" w:cs="Times New Roman"/>
          <w:b/>
          <w:sz w:val="24"/>
          <w:szCs w:val="24"/>
        </w:rPr>
      </w:pPr>
    </w:p>
    <w:p w:rsidR="00E2288A" w:rsidRDefault="00E2288A" w:rsidP="00E2288A">
      <w:pPr>
        <w:spacing w:after="0" w:line="240" w:lineRule="auto"/>
        <w:rPr>
          <w:rFonts w:ascii="Times New Roman" w:hAnsi="Times New Roman" w:cs="Times New Roman"/>
          <w:b/>
          <w:sz w:val="24"/>
          <w:szCs w:val="24"/>
        </w:rPr>
      </w:pPr>
    </w:p>
    <w:p w:rsidR="00E2288A" w:rsidRDefault="00FC5D89"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C N Mukwena</w:t>
      </w:r>
      <w:r w:rsidR="00E2288A">
        <w:rPr>
          <w:rFonts w:ascii="Times New Roman" w:hAnsi="Times New Roman" w:cs="Times New Roman"/>
          <w:sz w:val="24"/>
          <w:szCs w:val="24"/>
        </w:rPr>
        <w:t xml:space="preserve">, for the </w:t>
      </w:r>
      <w:r w:rsidR="00C2097D">
        <w:rPr>
          <w:rFonts w:ascii="Times New Roman" w:hAnsi="Times New Roman" w:cs="Times New Roman"/>
          <w:sz w:val="24"/>
          <w:szCs w:val="24"/>
        </w:rPr>
        <w:t xml:space="preserve">appellant </w:t>
      </w:r>
      <w:r w:rsidR="00E2288A">
        <w:rPr>
          <w:rFonts w:ascii="Times New Roman" w:hAnsi="Times New Roman" w:cs="Times New Roman"/>
          <w:sz w:val="24"/>
          <w:szCs w:val="24"/>
        </w:rPr>
        <w:t xml:space="preserve"> </w:t>
      </w:r>
    </w:p>
    <w:p w:rsidR="00E2288A" w:rsidRDefault="00040D82"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841B84">
        <w:rPr>
          <w:rFonts w:ascii="Times New Roman" w:hAnsi="Times New Roman" w:cs="Times New Roman"/>
          <w:sz w:val="24"/>
          <w:szCs w:val="24"/>
        </w:rPr>
        <w:t xml:space="preserve">, </w:t>
      </w:r>
      <w:r w:rsidR="00E2288A" w:rsidRPr="00841B84">
        <w:rPr>
          <w:rFonts w:ascii="Times New Roman" w:hAnsi="Times New Roman" w:cs="Times New Roman"/>
          <w:sz w:val="24"/>
          <w:szCs w:val="24"/>
        </w:rPr>
        <w:t>for</w:t>
      </w:r>
      <w:r w:rsidR="00E2288A">
        <w:rPr>
          <w:rFonts w:ascii="Times New Roman" w:hAnsi="Times New Roman" w:cs="Times New Roman"/>
          <w:sz w:val="24"/>
          <w:szCs w:val="24"/>
        </w:rPr>
        <w:t xml:space="preserve"> the </w:t>
      </w:r>
      <w:r w:rsidR="00C2097D">
        <w:rPr>
          <w:rFonts w:ascii="Times New Roman" w:hAnsi="Times New Roman" w:cs="Times New Roman"/>
          <w:sz w:val="24"/>
          <w:szCs w:val="24"/>
        </w:rPr>
        <w:t xml:space="preserve">respondent </w:t>
      </w:r>
    </w:p>
    <w:p w:rsidR="00E2288A" w:rsidRDefault="00E2288A" w:rsidP="00E2288A">
      <w:pPr>
        <w:tabs>
          <w:tab w:val="left" w:pos="1515"/>
        </w:tabs>
        <w:spacing w:after="0" w:line="240" w:lineRule="auto"/>
        <w:rPr>
          <w:rFonts w:ascii="Times New Roman" w:hAnsi="Times New Roman" w:cs="Times New Roman"/>
          <w:sz w:val="24"/>
        </w:rPr>
      </w:pPr>
    </w:p>
    <w:p w:rsidR="0055528D" w:rsidRDefault="008E3131"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943E0A">
        <w:rPr>
          <w:rFonts w:ascii="Times New Roman" w:hAnsi="Times New Roman" w:cs="Times New Roman"/>
          <w:sz w:val="24"/>
        </w:rPr>
        <w:t xml:space="preserve">MWAYERA J: </w:t>
      </w:r>
      <w:r w:rsidR="00BE3DDA">
        <w:rPr>
          <w:rFonts w:ascii="Times New Roman" w:hAnsi="Times New Roman" w:cs="Times New Roman"/>
          <w:sz w:val="24"/>
        </w:rPr>
        <w:t xml:space="preserve">On 19 May 2021 after considering papers filed of record and hearing counsel we gave an </w:t>
      </w:r>
      <w:r w:rsidR="00BE3DDA" w:rsidRPr="00F35B4D">
        <w:rPr>
          <w:rFonts w:ascii="Times New Roman" w:hAnsi="Times New Roman" w:cs="Times New Roman"/>
          <w:i/>
          <w:sz w:val="24"/>
        </w:rPr>
        <w:t xml:space="preserve">extempore </w:t>
      </w:r>
      <w:r w:rsidR="004F0D65">
        <w:rPr>
          <w:rFonts w:ascii="Times New Roman" w:hAnsi="Times New Roman" w:cs="Times New Roman"/>
          <w:sz w:val="24"/>
        </w:rPr>
        <w:t>judgment wherein we dismissed the appeal in its entirety.</w:t>
      </w:r>
      <w:r w:rsidR="0055528D">
        <w:rPr>
          <w:rFonts w:ascii="Times New Roman" w:hAnsi="Times New Roman" w:cs="Times New Roman"/>
          <w:sz w:val="24"/>
        </w:rPr>
        <w:t xml:space="preserve"> We undertook to a</w:t>
      </w:r>
      <w:r w:rsidR="00E924D2">
        <w:rPr>
          <w:rFonts w:ascii="Times New Roman" w:hAnsi="Times New Roman" w:cs="Times New Roman"/>
          <w:sz w:val="24"/>
        </w:rPr>
        <w:t>vail written reasons in due course</w:t>
      </w:r>
      <w:r w:rsidR="0055528D">
        <w:rPr>
          <w:rFonts w:ascii="Times New Roman" w:hAnsi="Times New Roman" w:cs="Times New Roman"/>
          <w:sz w:val="24"/>
        </w:rPr>
        <w:t>. These are they:</w:t>
      </w:r>
    </w:p>
    <w:p w:rsidR="00C40F7C" w:rsidRDefault="0055528D"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2212FD">
        <w:rPr>
          <w:rFonts w:ascii="Times New Roman" w:hAnsi="Times New Roman" w:cs="Times New Roman"/>
          <w:sz w:val="24"/>
        </w:rPr>
        <w:t xml:space="preserve">The appellant was arraigned before the </w:t>
      </w:r>
      <w:r w:rsidR="00E924D2">
        <w:rPr>
          <w:rFonts w:ascii="Times New Roman" w:hAnsi="Times New Roman" w:cs="Times New Roman"/>
          <w:sz w:val="24"/>
        </w:rPr>
        <w:t xml:space="preserve">Magistrates Court </w:t>
      </w:r>
      <w:r w:rsidR="002212FD">
        <w:rPr>
          <w:rFonts w:ascii="Times New Roman" w:hAnsi="Times New Roman" w:cs="Times New Roman"/>
          <w:sz w:val="24"/>
        </w:rPr>
        <w:t>facing a charge of attempted rape as defined in s 189(1)(a) or (b) as read with s 65(1)(b) of the Criminal Law (Codification and Reform) Act [</w:t>
      </w:r>
      <w:r w:rsidR="002212FD">
        <w:rPr>
          <w:rFonts w:ascii="Times New Roman" w:hAnsi="Times New Roman" w:cs="Times New Roman"/>
          <w:i/>
          <w:sz w:val="24"/>
        </w:rPr>
        <w:t>Chapter 9:23</w:t>
      </w:r>
      <w:r w:rsidR="002212FD">
        <w:rPr>
          <w:rFonts w:ascii="Times New Roman" w:hAnsi="Times New Roman" w:cs="Times New Roman"/>
          <w:sz w:val="24"/>
        </w:rPr>
        <w:t>]</w:t>
      </w:r>
      <w:r w:rsidR="00C6578A">
        <w:rPr>
          <w:rFonts w:ascii="Times New Roman" w:hAnsi="Times New Roman" w:cs="Times New Roman"/>
          <w:sz w:val="24"/>
        </w:rPr>
        <w:t>. After a protracted trial the accused who had pleaded not guilty was convicted and sentenced to 5 years imprisonment of which 2 years imprisonment was suspended on the usual conditions of go</w:t>
      </w:r>
      <w:r w:rsidR="00E924D2">
        <w:rPr>
          <w:rFonts w:ascii="Times New Roman" w:hAnsi="Times New Roman" w:cs="Times New Roman"/>
          <w:sz w:val="24"/>
        </w:rPr>
        <w:t>o</w:t>
      </w:r>
      <w:r w:rsidR="00C6578A">
        <w:rPr>
          <w:rFonts w:ascii="Times New Roman" w:hAnsi="Times New Roman" w:cs="Times New Roman"/>
          <w:sz w:val="24"/>
        </w:rPr>
        <w:t>d behaviour. Dissatisfied by the conviction and sentence the appellant lodged the present appeal against both conviction and sentence. The appeal is opposed.</w:t>
      </w:r>
    </w:p>
    <w:p w:rsidR="00C40F7C" w:rsidRDefault="00C40F7C" w:rsidP="00EC40C6">
      <w:pPr>
        <w:tabs>
          <w:tab w:val="left" w:pos="0"/>
        </w:tabs>
        <w:spacing w:after="0" w:line="360" w:lineRule="auto"/>
        <w:jc w:val="both"/>
        <w:rPr>
          <w:rFonts w:ascii="Times New Roman" w:hAnsi="Times New Roman" w:cs="Times New Roman"/>
          <w:sz w:val="24"/>
        </w:rPr>
      </w:pPr>
    </w:p>
    <w:p w:rsidR="008312A8" w:rsidRDefault="00C40F7C" w:rsidP="00EC40C6">
      <w:pPr>
        <w:tabs>
          <w:tab w:val="left" w:pos="0"/>
        </w:tabs>
        <w:spacing w:after="0" w:line="360" w:lineRule="auto"/>
        <w:jc w:val="both"/>
        <w:rPr>
          <w:rFonts w:ascii="Times New Roman" w:hAnsi="Times New Roman" w:cs="Times New Roman"/>
          <w:sz w:val="24"/>
          <w:u w:val="single"/>
        </w:rPr>
      </w:pPr>
      <w:r w:rsidRPr="00C40F7C">
        <w:rPr>
          <w:rFonts w:ascii="Times New Roman" w:hAnsi="Times New Roman" w:cs="Times New Roman"/>
          <w:sz w:val="24"/>
          <w:u w:val="single"/>
        </w:rPr>
        <w:t xml:space="preserve">Background </w:t>
      </w:r>
      <w:r w:rsidR="00C6578A" w:rsidRPr="00C40F7C">
        <w:rPr>
          <w:rFonts w:ascii="Times New Roman" w:hAnsi="Times New Roman" w:cs="Times New Roman"/>
          <w:sz w:val="24"/>
          <w:u w:val="single"/>
        </w:rPr>
        <w:t xml:space="preserve"> </w:t>
      </w:r>
      <w:r w:rsidR="0055528D" w:rsidRPr="00C40F7C">
        <w:rPr>
          <w:rFonts w:ascii="Times New Roman" w:hAnsi="Times New Roman" w:cs="Times New Roman"/>
          <w:sz w:val="24"/>
          <w:u w:val="single"/>
        </w:rPr>
        <w:t xml:space="preserve"> </w:t>
      </w:r>
    </w:p>
    <w:p w:rsidR="00C40F7C" w:rsidRDefault="00C40F7C"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appellant a 29 year old man and the complainant a 16 year old </w:t>
      </w:r>
      <w:r w:rsidR="009710BD">
        <w:rPr>
          <w:rFonts w:ascii="Times New Roman" w:hAnsi="Times New Roman" w:cs="Times New Roman"/>
          <w:sz w:val="24"/>
        </w:rPr>
        <w:t>girl</w:t>
      </w:r>
      <w:r>
        <w:rPr>
          <w:rFonts w:ascii="Times New Roman" w:hAnsi="Times New Roman" w:cs="Times New Roman"/>
          <w:sz w:val="24"/>
        </w:rPr>
        <w:t xml:space="preserve"> are </w:t>
      </w:r>
      <w:r w:rsidR="009710BD">
        <w:rPr>
          <w:rFonts w:ascii="Times New Roman" w:hAnsi="Times New Roman" w:cs="Times New Roman"/>
          <w:sz w:val="24"/>
        </w:rPr>
        <w:t>neighbours</w:t>
      </w:r>
      <w:r>
        <w:rPr>
          <w:rFonts w:ascii="Times New Roman" w:hAnsi="Times New Roman" w:cs="Times New Roman"/>
          <w:sz w:val="24"/>
        </w:rPr>
        <w:t xml:space="preserve">. The state contended that on 7 November, 2020, the complainant proceeded to the appellant’s store </w:t>
      </w:r>
      <w:r w:rsidR="009710BD">
        <w:rPr>
          <w:rFonts w:ascii="Times New Roman" w:hAnsi="Times New Roman" w:cs="Times New Roman"/>
          <w:sz w:val="24"/>
        </w:rPr>
        <w:t>to have her hair plaited by the appellant’s sister in law. Therefore the accused grabbed her by the hand and pulled</w:t>
      </w:r>
      <w:r w:rsidR="00E924D2">
        <w:rPr>
          <w:rFonts w:ascii="Times New Roman" w:hAnsi="Times New Roman" w:cs="Times New Roman"/>
          <w:sz w:val="24"/>
        </w:rPr>
        <w:t xml:space="preserve"> her</w:t>
      </w:r>
      <w:r w:rsidR="009710BD">
        <w:rPr>
          <w:rFonts w:ascii="Times New Roman" w:hAnsi="Times New Roman" w:cs="Times New Roman"/>
          <w:sz w:val="24"/>
        </w:rPr>
        <w:t xml:space="preserve"> inside his room. The appellant</w:t>
      </w:r>
      <w:r w:rsidR="00F35B4D">
        <w:rPr>
          <w:rFonts w:ascii="Times New Roman" w:hAnsi="Times New Roman" w:cs="Times New Roman"/>
          <w:sz w:val="24"/>
        </w:rPr>
        <w:t xml:space="preserve"> closed the door and started fo</w:t>
      </w:r>
      <w:r w:rsidR="009710BD">
        <w:rPr>
          <w:rFonts w:ascii="Times New Roman" w:hAnsi="Times New Roman" w:cs="Times New Roman"/>
          <w:sz w:val="24"/>
        </w:rPr>
        <w:t xml:space="preserve">ndling the complainant’s </w:t>
      </w:r>
      <w:r w:rsidR="00214255">
        <w:rPr>
          <w:rFonts w:ascii="Times New Roman" w:hAnsi="Times New Roman" w:cs="Times New Roman"/>
          <w:sz w:val="24"/>
        </w:rPr>
        <w:t xml:space="preserve">breast. The complainant cried out and ordered appellant to stop caressing her. The appellant ignored the complainant and went further to insert his hand inside her dress and pulled her underwear a few inches down. The complainant resisted and struck the appellant with an elbow on his private parts rendering the appellant powerless. The complainant then made good her escape. The complainant reported the matter to her parents upon arrival at home and the matter was reported to the police. </w:t>
      </w:r>
    </w:p>
    <w:p w:rsidR="00FF5D81" w:rsidRDefault="001F0D1C"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t>The appellant</w:t>
      </w:r>
      <w:r w:rsidR="00FF5D81">
        <w:rPr>
          <w:rFonts w:ascii="Times New Roman" w:hAnsi="Times New Roman" w:cs="Times New Roman"/>
          <w:sz w:val="24"/>
        </w:rPr>
        <w:t xml:space="preserve"> raised 2 grounds of appeal against conviction. A close look at both grounds reveals that the 2 ground</w:t>
      </w:r>
      <w:r>
        <w:rPr>
          <w:rFonts w:ascii="Times New Roman" w:hAnsi="Times New Roman" w:cs="Times New Roman"/>
          <w:sz w:val="24"/>
        </w:rPr>
        <w:t>s</w:t>
      </w:r>
      <w:r w:rsidR="00FF5D81">
        <w:rPr>
          <w:rFonts w:ascii="Times New Roman" w:hAnsi="Times New Roman" w:cs="Times New Roman"/>
          <w:sz w:val="24"/>
        </w:rPr>
        <w:t xml:space="preserve"> speak to one.</w:t>
      </w:r>
    </w:p>
    <w:p w:rsidR="00DC7863" w:rsidRDefault="00FF5D81"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Issue of whether or not the conviction of the appellant wa</w:t>
      </w:r>
      <w:r w:rsidR="00DC7863">
        <w:rPr>
          <w:rFonts w:ascii="Times New Roman" w:hAnsi="Times New Roman" w:cs="Times New Roman"/>
          <w:sz w:val="24"/>
        </w:rPr>
        <w:t xml:space="preserve">s anchored on evidence and safe in the circumstances. </w:t>
      </w:r>
    </w:p>
    <w:p w:rsidR="00DC7863" w:rsidRDefault="00DC7863" w:rsidP="00EC40C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Grounds as discerned from the notice of appeal.</w:t>
      </w:r>
    </w:p>
    <w:p w:rsidR="00064B2B" w:rsidRPr="009D2B2F" w:rsidRDefault="00064B2B" w:rsidP="009D2B2F">
      <w:pPr>
        <w:tabs>
          <w:tab w:val="left" w:pos="0"/>
        </w:tabs>
        <w:spacing w:after="0" w:line="240" w:lineRule="auto"/>
        <w:jc w:val="both"/>
        <w:rPr>
          <w:rFonts w:ascii="Times New Roman" w:hAnsi="Times New Roman" w:cs="Times New Roman"/>
        </w:rPr>
      </w:pPr>
      <w:r>
        <w:rPr>
          <w:rFonts w:ascii="Times New Roman" w:hAnsi="Times New Roman" w:cs="Times New Roman"/>
          <w:sz w:val="24"/>
        </w:rPr>
        <w:tab/>
      </w:r>
      <w:r w:rsidR="00DC7863" w:rsidRPr="009D2B2F">
        <w:rPr>
          <w:rFonts w:ascii="Times New Roman" w:hAnsi="Times New Roman" w:cs="Times New Roman"/>
        </w:rPr>
        <w:t>Ad Conviction</w:t>
      </w:r>
    </w:p>
    <w:p w:rsidR="0027258C" w:rsidRPr="009D2B2F" w:rsidRDefault="00064B2B" w:rsidP="009D2B2F">
      <w:pPr>
        <w:pStyle w:val="ListParagraph"/>
        <w:numPr>
          <w:ilvl w:val="0"/>
          <w:numId w:val="2"/>
        </w:numPr>
        <w:tabs>
          <w:tab w:val="left" w:pos="0"/>
        </w:tabs>
        <w:spacing w:after="0" w:line="240" w:lineRule="auto"/>
        <w:jc w:val="both"/>
        <w:rPr>
          <w:rFonts w:ascii="Times New Roman" w:hAnsi="Times New Roman" w:cs="Times New Roman"/>
        </w:rPr>
      </w:pPr>
      <w:r w:rsidRPr="009D2B2F">
        <w:rPr>
          <w:rFonts w:ascii="Times New Roman" w:hAnsi="Times New Roman" w:cs="Times New Roman"/>
        </w:rPr>
        <w:t xml:space="preserve">The court </w:t>
      </w:r>
      <w:r w:rsidRPr="009D2B2F">
        <w:rPr>
          <w:rFonts w:ascii="Times New Roman" w:hAnsi="Times New Roman" w:cs="Times New Roman"/>
          <w:i/>
        </w:rPr>
        <w:t>a quo</w:t>
      </w:r>
      <w:r w:rsidRPr="009D2B2F">
        <w:rPr>
          <w:rFonts w:ascii="Times New Roman" w:hAnsi="Times New Roman" w:cs="Times New Roman"/>
        </w:rPr>
        <w:t xml:space="preserve"> grossly misdirected itself both on facts and the law by convicting the appellant of attempted rape despite that the state had f</w:t>
      </w:r>
      <w:r w:rsidR="001F0D1C">
        <w:rPr>
          <w:rFonts w:ascii="Times New Roman" w:hAnsi="Times New Roman" w:cs="Times New Roman"/>
        </w:rPr>
        <w:t>a</w:t>
      </w:r>
      <w:r w:rsidRPr="009D2B2F">
        <w:rPr>
          <w:rFonts w:ascii="Times New Roman" w:hAnsi="Times New Roman" w:cs="Times New Roman"/>
        </w:rPr>
        <w:t>iled to prove its ca</w:t>
      </w:r>
      <w:r w:rsidR="001F0D1C">
        <w:rPr>
          <w:rFonts w:ascii="Times New Roman" w:hAnsi="Times New Roman" w:cs="Times New Roman"/>
        </w:rPr>
        <w:t>se beyond reasonable doubt give</w:t>
      </w:r>
      <w:r w:rsidRPr="009D2B2F">
        <w:rPr>
          <w:rFonts w:ascii="Times New Roman" w:hAnsi="Times New Roman" w:cs="Times New Roman"/>
        </w:rPr>
        <w:t>n that the defence that was raised by appellant was probable.</w:t>
      </w:r>
    </w:p>
    <w:p w:rsidR="00F91D57" w:rsidRPr="009D2B2F" w:rsidRDefault="00810F80" w:rsidP="009D2B2F">
      <w:pPr>
        <w:pStyle w:val="ListParagraph"/>
        <w:numPr>
          <w:ilvl w:val="0"/>
          <w:numId w:val="2"/>
        </w:numPr>
        <w:tabs>
          <w:tab w:val="left" w:pos="0"/>
        </w:tabs>
        <w:spacing w:after="0" w:line="240" w:lineRule="auto"/>
        <w:jc w:val="both"/>
        <w:rPr>
          <w:rFonts w:ascii="Times New Roman" w:hAnsi="Times New Roman" w:cs="Times New Roman"/>
        </w:rPr>
      </w:pPr>
      <w:r w:rsidRPr="009D2B2F">
        <w:rPr>
          <w:rFonts w:ascii="Times New Roman" w:hAnsi="Times New Roman" w:cs="Times New Roman"/>
        </w:rPr>
        <w:t xml:space="preserve">The court </w:t>
      </w:r>
      <w:r w:rsidRPr="009D2B2F">
        <w:rPr>
          <w:rFonts w:ascii="Times New Roman" w:hAnsi="Times New Roman" w:cs="Times New Roman"/>
          <w:i/>
        </w:rPr>
        <w:t>a quo</w:t>
      </w:r>
      <w:r w:rsidRPr="009D2B2F">
        <w:rPr>
          <w:rFonts w:ascii="Times New Roman" w:hAnsi="Times New Roman" w:cs="Times New Roman"/>
        </w:rPr>
        <w:t xml:space="preserve"> grossly misdirected itself</w:t>
      </w:r>
      <w:r w:rsidR="00F91D57" w:rsidRPr="009D2B2F">
        <w:rPr>
          <w:rFonts w:ascii="Times New Roman" w:hAnsi="Times New Roman" w:cs="Times New Roman"/>
        </w:rPr>
        <w:t xml:space="preserve"> both on facts and law by convicting the appellant based on circumstantial evidence and concluded that the reason why complainant was crying was that appellant had committed the offence despite that that was not the only reasonable inference in the circumstances. </w:t>
      </w:r>
    </w:p>
    <w:p w:rsidR="00F91D57" w:rsidRPr="009D2B2F" w:rsidRDefault="00F91D57" w:rsidP="009D2B2F">
      <w:pPr>
        <w:tabs>
          <w:tab w:val="left" w:pos="0"/>
        </w:tabs>
        <w:spacing w:after="0" w:line="240" w:lineRule="auto"/>
        <w:jc w:val="both"/>
        <w:rPr>
          <w:rFonts w:ascii="Times New Roman" w:hAnsi="Times New Roman" w:cs="Times New Roman"/>
        </w:rPr>
      </w:pPr>
      <w:r w:rsidRPr="009D2B2F">
        <w:rPr>
          <w:rFonts w:ascii="Times New Roman" w:hAnsi="Times New Roman" w:cs="Times New Roman"/>
        </w:rPr>
        <w:tab/>
      </w:r>
    </w:p>
    <w:p w:rsidR="009D2B2F" w:rsidRPr="009D2B2F" w:rsidRDefault="00F91D57" w:rsidP="009D2B2F">
      <w:pPr>
        <w:tabs>
          <w:tab w:val="left" w:pos="0"/>
        </w:tabs>
        <w:spacing w:after="0" w:line="240" w:lineRule="auto"/>
        <w:jc w:val="both"/>
        <w:rPr>
          <w:rFonts w:ascii="Times New Roman" w:hAnsi="Times New Roman" w:cs="Times New Roman"/>
        </w:rPr>
      </w:pPr>
      <w:r w:rsidRPr="009D2B2F">
        <w:rPr>
          <w:rFonts w:ascii="Times New Roman" w:hAnsi="Times New Roman" w:cs="Times New Roman"/>
        </w:rPr>
        <w:tab/>
        <w:t>Ad sentence</w:t>
      </w:r>
    </w:p>
    <w:p w:rsidR="00FF5D81" w:rsidRDefault="009D2B2F" w:rsidP="009D2B2F">
      <w:pPr>
        <w:tabs>
          <w:tab w:val="left" w:pos="0"/>
        </w:tabs>
        <w:spacing w:after="0" w:line="240" w:lineRule="auto"/>
        <w:ind w:left="720"/>
        <w:jc w:val="both"/>
        <w:rPr>
          <w:rFonts w:ascii="Times New Roman" w:hAnsi="Times New Roman" w:cs="Times New Roman"/>
        </w:rPr>
      </w:pPr>
      <w:r w:rsidRPr="009D2B2F">
        <w:rPr>
          <w:rFonts w:ascii="Times New Roman" w:hAnsi="Times New Roman" w:cs="Times New Roman"/>
        </w:rPr>
        <w:t xml:space="preserve">The court </w:t>
      </w:r>
      <w:r w:rsidRPr="009D2B2F">
        <w:rPr>
          <w:rFonts w:ascii="Times New Roman" w:hAnsi="Times New Roman" w:cs="Times New Roman"/>
          <w:i/>
        </w:rPr>
        <w:t>a quo</w:t>
      </w:r>
      <w:r w:rsidRPr="009D2B2F">
        <w:rPr>
          <w:rFonts w:ascii="Times New Roman" w:hAnsi="Times New Roman" w:cs="Times New Roman"/>
        </w:rPr>
        <w:t xml:space="preserve"> grossly misdirected itself by imposing a sentence which is unduly harsh such that it induces a sense of shock regards being to the mitigatory factors</w:t>
      </w:r>
      <w:r w:rsidRPr="009D2B2F">
        <w:rPr>
          <w:rFonts w:ascii="Times New Roman" w:hAnsi="Times New Roman" w:cs="Times New Roman"/>
          <w:sz w:val="28"/>
        </w:rPr>
        <w:t xml:space="preserve"> </w:t>
      </w:r>
      <w:r>
        <w:rPr>
          <w:rFonts w:ascii="Times New Roman" w:hAnsi="Times New Roman" w:cs="Times New Roman"/>
        </w:rPr>
        <w:t>…”</w:t>
      </w:r>
      <w:r w:rsidR="00F91D57">
        <w:rPr>
          <w:rFonts w:ascii="Times New Roman" w:hAnsi="Times New Roman" w:cs="Times New Roman"/>
        </w:rPr>
        <w:t xml:space="preserve"> </w:t>
      </w:r>
      <w:r w:rsidR="00F91D57" w:rsidRPr="00F91D57">
        <w:rPr>
          <w:rFonts w:ascii="Times New Roman" w:hAnsi="Times New Roman" w:cs="Times New Roman"/>
        </w:rPr>
        <w:t xml:space="preserve"> </w:t>
      </w:r>
    </w:p>
    <w:p w:rsidR="00DF63D3" w:rsidRDefault="00DF63D3" w:rsidP="00DF63D3">
      <w:pPr>
        <w:tabs>
          <w:tab w:val="left" w:pos="0"/>
        </w:tabs>
        <w:spacing w:after="0" w:line="240" w:lineRule="auto"/>
        <w:jc w:val="both"/>
        <w:rPr>
          <w:rFonts w:ascii="Times New Roman" w:hAnsi="Times New Roman" w:cs="Times New Roman"/>
        </w:rPr>
      </w:pPr>
    </w:p>
    <w:p w:rsidR="00DF63D3" w:rsidRPr="00A339B3" w:rsidRDefault="00A339B3" w:rsidP="00A3766D">
      <w:pPr>
        <w:tabs>
          <w:tab w:val="left" w:pos="0"/>
        </w:tabs>
        <w:spacing w:after="0" w:line="360" w:lineRule="auto"/>
        <w:jc w:val="both"/>
        <w:rPr>
          <w:rFonts w:ascii="Times New Roman" w:hAnsi="Times New Roman" w:cs="Times New Roman"/>
          <w:sz w:val="24"/>
          <w:u w:val="single"/>
        </w:rPr>
      </w:pPr>
      <w:r w:rsidRPr="00A339B3">
        <w:rPr>
          <w:rFonts w:ascii="Times New Roman" w:hAnsi="Times New Roman" w:cs="Times New Roman"/>
          <w:sz w:val="24"/>
          <w:u w:val="single"/>
        </w:rPr>
        <w:t xml:space="preserve">Evidence in court </w:t>
      </w:r>
      <w:r w:rsidRPr="00A339B3">
        <w:rPr>
          <w:rFonts w:ascii="Times New Roman" w:hAnsi="Times New Roman" w:cs="Times New Roman"/>
          <w:i/>
          <w:sz w:val="24"/>
          <w:u w:val="single"/>
        </w:rPr>
        <w:t>a quo</w:t>
      </w:r>
    </w:p>
    <w:p w:rsidR="005E541D" w:rsidRDefault="00B90D20" w:rsidP="0029406A">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29406A">
        <w:rPr>
          <w:rFonts w:ascii="Times New Roman" w:hAnsi="Times New Roman" w:cs="Times New Roman"/>
          <w:sz w:val="24"/>
        </w:rPr>
        <w:tab/>
        <w:t xml:space="preserve">The appellant denied the allegations and denied touching or attempting to rape the complainant. The appellant stated that the complainant was moody on the day in question that she was even sobbing alleging she was being ill-treated at her </w:t>
      </w:r>
      <w:r w:rsidR="00942B79">
        <w:rPr>
          <w:rFonts w:ascii="Times New Roman" w:hAnsi="Times New Roman" w:cs="Times New Roman"/>
          <w:sz w:val="24"/>
        </w:rPr>
        <w:t xml:space="preserve">homestead. The complainant’s evidence was to the effect that after her hair was plaited by 2 children (since appellant’s sister in law had said she was tired) the appellant who had inquired why she was leaving without exchanging greetings came out of his room and dragged her inside his room. </w:t>
      </w:r>
      <w:r w:rsidR="002507C6">
        <w:rPr>
          <w:rFonts w:ascii="Times New Roman" w:hAnsi="Times New Roman" w:cs="Times New Roman"/>
          <w:sz w:val="24"/>
        </w:rPr>
        <w:t xml:space="preserve">The appellant’s sister in law then closed the door from outside. The appellant started caressing her and fondling her breast without her consent and caused her to fall. He pulled her pant down but not completely off as she was resisting. She then hit him with an elbow on his private parts prompting </w:t>
      </w:r>
      <w:r w:rsidR="00872DB7">
        <w:rPr>
          <w:rFonts w:ascii="Times New Roman" w:hAnsi="Times New Roman" w:cs="Times New Roman"/>
          <w:sz w:val="24"/>
        </w:rPr>
        <w:t>the appellant to call out for his sister in law to come and open the door. The complainant was crying and when the door was opened appellant wiped off her face to remove tears. This evidence by the complainant was not challenged at all by the appellant. The appellant asked about peripheral issues that complainant was crying</w:t>
      </w:r>
      <w:r w:rsidR="00930343">
        <w:rPr>
          <w:rFonts w:ascii="Times New Roman" w:hAnsi="Times New Roman" w:cs="Times New Roman"/>
          <w:sz w:val="24"/>
        </w:rPr>
        <w:t xml:space="preserve"> because her grandfather was refusing to buy sandals for her. The other 2 state witnesses</w:t>
      </w:r>
      <w:r w:rsidR="00F35B4D">
        <w:rPr>
          <w:rFonts w:ascii="Times New Roman" w:hAnsi="Times New Roman" w:cs="Times New Roman"/>
          <w:sz w:val="24"/>
        </w:rPr>
        <w:t>’</w:t>
      </w:r>
      <w:r w:rsidR="00930343">
        <w:rPr>
          <w:rFonts w:ascii="Times New Roman" w:hAnsi="Times New Roman" w:cs="Times New Roman"/>
          <w:sz w:val="24"/>
        </w:rPr>
        <w:t xml:space="preserve"> evidence </w:t>
      </w:r>
      <w:r w:rsidR="00637B6E">
        <w:rPr>
          <w:rFonts w:ascii="Times New Roman" w:hAnsi="Times New Roman" w:cs="Times New Roman"/>
          <w:sz w:val="24"/>
        </w:rPr>
        <w:t>confirmed compla</w:t>
      </w:r>
      <w:r w:rsidR="001F0D1C">
        <w:rPr>
          <w:rFonts w:ascii="Times New Roman" w:hAnsi="Times New Roman" w:cs="Times New Roman"/>
          <w:sz w:val="24"/>
        </w:rPr>
        <w:t>i</w:t>
      </w:r>
      <w:r w:rsidR="00637B6E">
        <w:rPr>
          <w:rFonts w:ascii="Times New Roman" w:hAnsi="Times New Roman" w:cs="Times New Roman"/>
          <w:sz w:val="24"/>
        </w:rPr>
        <w:t>n</w:t>
      </w:r>
      <w:r w:rsidR="001F0D1C">
        <w:rPr>
          <w:rFonts w:ascii="Times New Roman" w:hAnsi="Times New Roman" w:cs="Times New Roman"/>
          <w:sz w:val="24"/>
        </w:rPr>
        <w:t>an</w:t>
      </w:r>
      <w:r w:rsidR="00637B6E">
        <w:rPr>
          <w:rFonts w:ascii="Times New Roman" w:hAnsi="Times New Roman" w:cs="Times New Roman"/>
          <w:sz w:val="24"/>
        </w:rPr>
        <w:t>t came out crying and that she reported</w:t>
      </w:r>
      <w:r w:rsidR="00F35B4D">
        <w:rPr>
          <w:rFonts w:ascii="Times New Roman" w:hAnsi="Times New Roman" w:cs="Times New Roman"/>
          <w:sz w:val="24"/>
        </w:rPr>
        <w:t xml:space="preserve"> that </w:t>
      </w:r>
      <w:r w:rsidR="00637B6E">
        <w:rPr>
          <w:rFonts w:ascii="Times New Roman" w:hAnsi="Times New Roman" w:cs="Times New Roman"/>
          <w:sz w:val="24"/>
        </w:rPr>
        <w:t xml:space="preserve">the appellant attempted to rape her. The appellant’s defence witness confirmed a meeting by families over what had happened. The court </w:t>
      </w:r>
      <w:r w:rsidR="00637B6E">
        <w:rPr>
          <w:rFonts w:ascii="Times New Roman" w:hAnsi="Times New Roman" w:cs="Times New Roman"/>
          <w:i/>
          <w:sz w:val="24"/>
        </w:rPr>
        <w:t>a quo</w:t>
      </w:r>
      <w:r w:rsidR="00637B6E">
        <w:rPr>
          <w:rFonts w:ascii="Times New Roman" w:hAnsi="Times New Roman" w:cs="Times New Roman"/>
          <w:sz w:val="24"/>
        </w:rPr>
        <w:t xml:space="preserve"> considered all the evidence presented before it and concluded that the complainant was credible and had no reason to emerge from the room crying and falsely incriminate the appellant. </w:t>
      </w:r>
    </w:p>
    <w:p w:rsidR="005E541D" w:rsidRDefault="005E541D" w:rsidP="0029406A">
      <w:pPr>
        <w:tabs>
          <w:tab w:val="left" w:pos="0"/>
        </w:tabs>
        <w:spacing w:after="0" w:line="360" w:lineRule="auto"/>
        <w:jc w:val="both"/>
        <w:rPr>
          <w:rFonts w:ascii="Times New Roman" w:hAnsi="Times New Roman" w:cs="Times New Roman"/>
          <w:sz w:val="24"/>
        </w:rPr>
      </w:pPr>
    </w:p>
    <w:p w:rsidR="00B90D20" w:rsidRPr="005E541D" w:rsidRDefault="005E541D" w:rsidP="0029406A">
      <w:pPr>
        <w:tabs>
          <w:tab w:val="left" w:pos="0"/>
        </w:tabs>
        <w:spacing w:after="0" w:line="360" w:lineRule="auto"/>
        <w:jc w:val="both"/>
        <w:rPr>
          <w:rFonts w:ascii="Times New Roman" w:hAnsi="Times New Roman" w:cs="Times New Roman"/>
          <w:sz w:val="24"/>
          <w:u w:val="single"/>
        </w:rPr>
      </w:pPr>
      <w:r w:rsidRPr="005E541D">
        <w:rPr>
          <w:rFonts w:ascii="Times New Roman" w:hAnsi="Times New Roman" w:cs="Times New Roman"/>
          <w:sz w:val="24"/>
          <w:u w:val="single"/>
        </w:rPr>
        <w:t>Submissions by the parties</w:t>
      </w:r>
      <w:r w:rsidR="00930343" w:rsidRPr="005E541D">
        <w:rPr>
          <w:rFonts w:ascii="Times New Roman" w:hAnsi="Times New Roman" w:cs="Times New Roman"/>
          <w:sz w:val="24"/>
          <w:u w:val="single"/>
        </w:rPr>
        <w:t xml:space="preserve"> </w:t>
      </w:r>
      <w:r w:rsidR="00872DB7" w:rsidRPr="005E541D">
        <w:rPr>
          <w:rFonts w:ascii="Times New Roman" w:hAnsi="Times New Roman" w:cs="Times New Roman"/>
          <w:sz w:val="24"/>
          <w:u w:val="single"/>
        </w:rPr>
        <w:t xml:space="preserve"> </w:t>
      </w:r>
    </w:p>
    <w:p w:rsidR="00AC794F" w:rsidRDefault="00FE01BB" w:rsidP="002749B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Pr>
          <w:rFonts w:ascii="Times New Roman" w:hAnsi="Times New Roman" w:cs="Times New Roman"/>
          <w:i/>
          <w:sz w:val="24"/>
        </w:rPr>
        <w:t xml:space="preserve">Mukwena </w:t>
      </w:r>
      <w:r>
        <w:rPr>
          <w:rFonts w:ascii="Times New Roman" w:hAnsi="Times New Roman" w:cs="Times New Roman"/>
          <w:sz w:val="24"/>
        </w:rPr>
        <w:t xml:space="preserve"> for the appellant argued that the court </w:t>
      </w:r>
      <w:r>
        <w:rPr>
          <w:rFonts w:ascii="Times New Roman" w:hAnsi="Times New Roman" w:cs="Times New Roman"/>
          <w:i/>
          <w:sz w:val="24"/>
        </w:rPr>
        <w:t>a quo</w:t>
      </w:r>
      <w:r>
        <w:rPr>
          <w:rFonts w:ascii="Times New Roman" w:hAnsi="Times New Roman" w:cs="Times New Roman"/>
          <w:sz w:val="24"/>
        </w:rPr>
        <w:t xml:space="preserve"> erred in deciding that the complainant had no motive to lie against the accused yet it was probable she was afraid of the consequences  since she was seen coming out of appellant’s room. He submitted that the appellant’s defence or story should not be dismissed without reason. The appellant counsel referred to </w:t>
      </w:r>
      <w:r>
        <w:rPr>
          <w:rFonts w:ascii="Times New Roman" w:hAnsi="Times New Roman" w:cs="Times New Roman"/>
          <w:i/>
          <w:sz w:val="24"/>
        </w:rPr>
        <w:t xml:space="preserve">S </w:t>
      </w:r>
      <w:r>
        <w:rPr>
          <w:rFonts w:ascii="Times New Roman" w:hAnsi="Times New Roman" w:cs="Times New Roman"/>
          <w:sz w:val="24"/>
        </w:rPr>
        <w:t xml:space="preserve">v </w:t>
      </w:r>
      <w:r>
        <w:rPr>
          <w:rFonts w:ascii="Times New Roman" w:hAnsi="Times New Roman" w:cs="Times New Roman"/>
          <w:i/>
          <w:sz w:val="24"/>
        </w:rPr>
        <w:t>Makanyanga</w:t>
      </w:r>
      <w:r>
        <w:rPr>
          <w:rFonts w:ascii="Times New Roman" w:hAnsi="Times New Roman" w:cs="Times New Roman"/>
          <w:sz w:val="24"/>
        </w:rPr>
        <w:t xml:space="preserve"> 1996 (2) ZLR 231 and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Munsaka</w:t>
      </w:r>
      <w:r>
        <w:rPr>
          <w:rFonts w:ascii="Times New Roman" w:hAnsi="Times New Roman" w:cs="Times New Roman"/>
          <w:sz w:val="24"/>
        </w:rPr>
        <w:t xml:space="preserve"> HB 104/16</w:t>
      </w:r>
      <w:r w:rsidR="00295F44">
        <w:rPr>
          <w:rFonts w:ascii="Times New Roman" w:hAnsi="Times New Roman" w:cs="Times New Roman"/>
          <w:sz w:val="24"/>
        </w:rPr>
        <w:t xml:space="preserve"> stressing the very settled position that once the accused’s version is reasonably possibly true then</w:t>
      </w:r>
      <w:r w:rsidR="00E672E0">
        <w:rPr>
          <w:rFonts w:ascii="Times New Roman" w:hAnsi="Times New Roman" w:cs="Times New Roman"/>
          <w:sz w:val="24"/>
        </w:rPr>
        <w:t xml:space="preserve"> it should not lightly be dismissed.</w:t>
      </w:r>
      <w:r w:rsidR="00295F44">
        <w:rPr>
          <w:rFonts w:ascii="Times New Roman" w:hAnsi="Times New Roman" w:cs="Times New Roman"/>
          <w:sz w:val="24"/>
        </w:rPr>
        <w:t xml:space="preserve"> </w:t>
      </w:r>
      <w:r w:rsidR="00C87E1D">
        <w:rPr>
          <w:rFonts w:ascii="Times New Roman" w:hAnsi="Times New Roman" w:cs="Times New Roman"/>
          <w:sz w:val="24"/>
        </w:rPr>
        <w:t xml:space="preserve">In </w:t>
      </w:r>
      <w:r w:rsidR="00C87E1D">
        <w:rPr>
          <w:rFonts w:ascii="Times New Roman" w:hAnsi="Times New Roman" w:cs="Times New Roman"/>
          <w:i/>
          <w:sz w:val="24"/>
        </w:rPr>
        <w:t>Munsaka</w:t>
      </w:r>
      <w:r w:rsidR="00C87E1D">
        <w:rPr>
          <w:rFonts w:ascii="Times New Roman" w:hAnsi="Times New Roman" w:cs="Times New Roman"/>
          <w:sz w:val="24"/>
        </w:rPr>
        <w:t xml:space="preserve"> case (</w:t>
      </w:r>
      <w:r w:rsidR="00C87E1D">
        <w:rPr>
          <w:rFonts w:ascii="Times New Roman" w:hAnsi="Times New Roman" w:cs="Times New Roman"/>
          <w:i/>
          <w:sz w:val="24"/>
        </w:rPr>
        <w:t>supra</w:t>
      </w:r>
      <w:r w:rsidR="00C87E1D">
        <w:rPr>
          <w:rFonts w:ascii="Times New Roman" w:hAnsi="Times New Roman" w:cs="Times New Roman"/>
          <w:sz w:val="24"/>
        </w:rPr>
        <w:t>) the court made the following pertinent remarks:</w:t>
      </w:r>
    </w:p>
    <w:p w:rsidR="0052641E" w:rsidRDefault="0052641E" w:rsidP="002749B9">
      <w:pPr>
        <w:tabs>
          <w:tab w:val="left" w:pos="0"/>
        </w:tabs>
        <w:spacing w:after="0" w:line="240" w:lineRule="auto"/>
        <w:ind w:left="720"/>
        <w:jc w:val="both"/>
        <w:rPr>
          <w:rFonts w:ascii="Times New Roman" w:hAnsi="Times New Roman" w:cs="Times New Roman"/>
        </w:rPr>
      </w:pPr>
      <w:r>
        <w:rPr>
          <w:rFonts w:ascii="Times New Roman" w:hAnsi="Times New Roman" w:cs="Times New Roman"/>
        </w:rPr>
        <w:t>“The next crucial question that the court should have asked itself was if the accused’s version could safely be dismissed as being improbable, unreasonable and not possibly true….. An accus</w:t>
      </w:r>
      <w:r w:rsidR="007956BB">
        <w:rPr>
          <w:rFonts w:ascii="Times New Roman" w:hAnsi="Times New Roman" w:cs="Times New Roman"/>
        </w:rPr>
        <w:t>ed person’s defence should not b</w:t>
      </w:r>
      <w:r>
        <w:rPr>
          <w:rFonts w:ascii="Times New Roman" w:hAnsi="Times New Roman" w:cs="Times New Roman"/>
        </w:rPr>
        <w:t xml:space="preserve">e disbelieved by the court and rejected where that accused person proffers as a defence cannot be on improbable, unreasonable and not </w:t>
      </w:r>
      <w:r w:rsidR="00D868FB">
        <w:rPr>
          <w:rFonts w:ascii="Times New Roman" w:hAnsi="Times New Roman" w:cs="Times New Roman"/>
        </w:rPr>
        <w:t>possibly true.”</w:t>
      </w:r>
    </w:p>
    <w:p w:rsidR="00194A34" w:rsidRDefault="00194A34" w:rsidP="00194A34">
      <w:pPr>
        <w:tabs>
          <w:tab w:val="left" w:pos="0"/>
        </w:tabs>
        <w:spacing w:after="0" w:line="240" w:lineRule="auto"/>
        <w:rPr>
          <w:rFonts w:ascii="Times New Roman" w:hAnsi="Times New Roman" w:cs="Times New Roman"/>
        </w:rPr>
      </w:pPr>
    </w:p>
    <w:p w:rsidR="00194A34" w:rsidRDefault="008B5160"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2749B9">
        <w:rPr>
          <w:rFonts w:ascii="Times New Roman" w:hAnsi="Times New Roman" w:cs="Times New Roman"/>
          <w:sz w:val="24"/>
        </w:rPr>
        <w:t xml:space="preserve">The </w:t>
      </w:r>
      <w:r w:rsidR="003E76D6">
        <w:rPr>
          <w:rFonts w:ascii="Times New Roman" w:hAnsi="Times New Roman" w:cs="Times New Roman"/>
          <w:sz w:val="24"/>
        </w:rPr>
        <w:t xml:space="preserve">respondent’s counsel Mr </w:t>
      </w:r>
      <w:r w:rsidR="003E76D6">
        <w:rPr>
          <w:rFonts w:ascii="Times New Roman" w:hAnsi="Times New Roman" w:cs="Times New Roman"/>
          <w:i/>
          <w:sz w:val="24"/>
        </w:rPr>
        <w:t>Musarurwa</w:t>
      </w:r>
      <w:r w:rsidR="003E76D6">
        <w:rPr>
          <w:rFonts w:ascii="Times New Roman" w:hAnsi="Times New Roman" w:cs="Times New Roman"/>
          <w:sz w:val="24"/>
        </w:rPr>
        <w:t xml:space="preserve">, on the other hand </w:t>
      </w:r>
      <w:r w:rsidR="00B872F0">
        <w:rPr>
          <w:rFonts w:ascii="Times New Roman" w:hAnsi="Times New Roman" w:cs="Times New Roman"/>
          <w:sz w:val="24"/>
        </w:rPr>
        <w:t xml:space="preserve">submitted </w:t>
      </w:r>
      <w:r w:rsidR="00BF2826">
        <w:rPr>
          <w:rFonts w:ascii="Times New Roman" w:hAnsi="Times New Roman" w:cs="Times New Roman"/>
          <w:sz w:val="24"/>
        </w:rPr>
        <w:t xml:space="preserve">that </w:t>
      </w:r>
      <w:r w:rsidR="00B872F0">
        <w:rPr>
          <w:rFonts w:ascii="Times New Roman" w:hAnsi="Times New Roman" w:cs="Times New Roman"/>
          <w:sz w:val="24"/>
        </w:rPr>
        <w:t>the conviction of the appellant is unassailable as it is anchored o</w:t>
      </w:r>
      <w:r w:rsidR="007956BB">
        <w:rPr>
          <w:rFonts w:ascii="Times New Roman" w:hAnsi="Times New Roman" w:cs="Times New Roman"/>
          <w:sz w:val="24"/>
        </w:rPr>
        <w:t>n</w:t>
      </w:r>
      <w:r w:rsidR="00B872F0">
        <w:rPr>
          <w:rFonts w:ascii="Times New Roman" w:hAnsi="Times New Roman" w:cs="Times New Roman"/>
          <w:sz w:val="24"/>
        </w:rPr>
        <w:t xml:space="preserve"> evidence adduced in the court </w:t>
      </w:r>
      <w:r w:rsidR="00B872F0">
        <w:rPr>
          <w:rFonts w:ascii="Times New Roman" w:hAnsi="Times New Roman" w:cs="Times New Roman"/>
          <w:i/>
          <w:sz w:val="24"/>
        </w:rPr>
        <w:t>a quo</w:t>
      </w:r>
      <w:r w:rsidR="00B872F0">
        <w:rPr>
          <w:rFonts w:ascii="Times New Roman" w:hAnsi="Times New Roman" w:cs="Times New Roman"/>
          <w:sz w:val="24"/>
        </w:rPr>
        <w:t>. The uncontroverted evidence of the complainant (p 16-17 of the record) is clear that appellant dragged her indoors caressed her causing her to fall and pulled her pant down only to stop when complainant st</w:t>
      </w:r>
      <w:r w:rsidR="007956BB">
        <w:rPr>
          <w:rFonts w:ascii="Times New Roman" w:hAnsi="Times New Roman" w:cs="Times New Roman"/>
          <w:sz w:val="24"/>
        </w:rPr>
        <w:t>r</w:t>
      </w:r>
      <w:r w:rsidR="00B872F0">
        <w:rPr>
          <w:rFonts w:ascii="Times New Roman" w:hAnsi="Times New Roman" w:cs="Times New Roman"/>
          <w:sz w:val="24"/>
        </w:rPr>
        <w:t xml:space="preserve">uck him on his private parts with an elbow. Also evidence that complainant had been closed in by appellant’s sister in law and that she came out crying and reported the matter was not challenged. </w:t>
      </w:r>
      <w:r w:rsidR="002168E0">
        <w:rPr>
          <w:rFonts w:ascii="Times New Roman" w:hAnsi="Times New Roman" w:cs="Times New Roman"/>
          <w:sz w:val="24"/>
        </w:rPr>
        <w:t xml:space="preserve">Mr </w:t>
      </w:r>
      <w:r w:rsidR="002168E0">
        <w:rPr>
          <w:rFonts w:ascii="Times New Roman" w:hAnsi="Times New Roman" w:cs="Times New Roman"/>
          <w:i/>
          <w:sz w:val="24"/>
        </w:rPr>
        <w:t>Musarur</w:t>
      </w:r>
      <w:r w:rsidR="007956BB">
        <w:rPr>
          <w:rFonts w:ascii="Times New Roman" w:hAnsi="Times New Roman" w:cs="Times New Roman"/>
          <w:i/>
          <w:sz w:val="24"/>
        </w:rPr>
        <w:t>w</w:t>
      </w:r>
      <w:r w:rsidR="002168E0">
        <w:rPr>
          <w:rFonts w:ascii="Times New Roman" w:hAnsi="Times New Roman" w:cs="Times New Roman"/>
          <w:i/>
          <w:sz w:val="24"/>
        </w:rPr>
        <w:t>a</w:t>
      </w:r>
      <w:r w:rsidR="002168E0">
        <w:rPr>
          <w:rFonts w:ascii="Times New Roman" w:hAnsi="Times New Roman" w:cs="Times New Roman"/>
          <w:sz w:val="24"/>
        </w:rPr>
        <w:t xml:space="preserve"> submitted that the conviction was based on direct evidence from the complainant since the appellant did not challenge the evidence. The respondent submitted that the complainant </w:t>
      </w:r>
      <w:r w:rsidR="0069516A">
        <w:rPr>
          <w:rFonts w:ascii="Times New Roman" w:hAnsi="Times New Roman" w:cs="Times New Roman"/>
          <w:sz w:val="24"/>
        </w:rPr>
        <w:t>freely</w:t>
      </w:r>
      <w:r w:rsidR="002168E0">
        <w:rPr>
          <w:rFonts w:ascii="Times New Roman" w:hAnsi="Times New Roman" w:cs="Times New Roman"/>
          <w:sz w:val="24"/>
        </w:rPr>
        <w:t xml:space="preserve"> and voluntarily reported the matter timeously. Mr </w:t>
      </w:r>
      <w:r w:rsidR="002168E0">
        <w:rPr>
          <w:rFonts w:ascii="Times New Roman" w:hAnsi="Times New Roman" w:cs="Times New Roman"/>
          <w:i/>
          <w:sz w:val="24"/>
        </w:rPr>
        <w:t>Musarurwa</w:t>
      </w:r>
      <w:r w:rsidR="002168E0">
        <w:rPr>
          <w:rFonts w:ascii="Times New Roman" w:hAnsi="Times New Roman" w:cs="Times New Roman"/>
          <w:sz w:val="24"/>
        </w:rPr>
        <w:t xml:space="preserve"> further contended that the appellant did not </w:t>
      </w:r>
      <w:r w:rsidR="0069516A">
        <w:rPr>
          <w:rFonts w:ascii="Times New Roman" w:hAnsi="Times New Roman" w:cs="Times New Roman"/>
          <w:sz w:val="24"/>
        </w:rPr>
        <w:t xml:space="preserve">attempt to challenge </w:t>
      </w:r>
      <w:r w:rsidR="002168E0">
        <w:rPr>
          <w:rFonts w:ascii="Times New Roman" w:hAnsi="Times New Roman" w:cs="Times New Roman"/>
          <w:sz w:val="24"/>
        </w:rPr>
        <w:t xml:space="preserve">the </w:t>
      </w:r>
      <w:r w:rsidR="0069516A">
        <w:rPr>
          <w:rFonts w:ascii="Times New Roman" w:hAnsi="Times New Roman" w:cs="Times New Roman"/>
          <w:sz w:val="24"/>
        </w:rPr>
        <w:t>averments</w:t>
      </w:r>
      <w:r w:rsidR="002168E0">
        <w:rPr>
          <w:rFonts w:ascii="Times New Roman" w:hAnsi="Times New Roman" w:cs="Times New Roman"/>
          <w:sz w:val="24"/>
        </w:rPr>
        <w:t xml:space="preserve"> by the complainant but actually pointed </w:t>
      </w:r>
      <w:r w:rsidR="0069516A">
        <w:rPr>
          <w:rFonts w:ascii="Times New Roman" w:hAnsi="Times New Roman" w:cs="Times New Roman"/>
          <w:sz w:val="24"/>
        </w:rPr>
        <w:t xml:space="preserve">out that he </w:t>
      </w:r>
      <w:r w:rsidR="002168E0">
        <w:rPr>
          <w:rFonts w:ascii="Times New Roman" w:hAnsi="Times New Roman" w:cs="Times New Roman"/>
          <w:sz w:val="24"/>
        </w:rPr>
        <w:t xml:space="preserve">wanted to marry the complainant. I must hasten to point out that marriage </w:t>
      </w:r>
      <w:r w:rsidR="0069516A">
        <w:rPr>
          <w:rFonts w:ascii="Times New Roman" w:hAnsi="Times New Roman" w:cs="Times New Roman"/>
          <w:sz w:val="24"/>
        </w:rPr>
        <w:t>or</w:t>
      </w:r>
      <w:r w:rsidR="002168E0">
        <w:rPr>
          <w:rFonts w:ascii="Times New Roman" w:hAnsi="Times New Roman" w:cs="Times New Roman"/>
          <w:sz w:val="24"/>
        </w:rPr>
        <w:t xml:space="preserve"> intended </w:t>
      </w:r>
      <w:r w:rsidR="0069516A">
        <w:rPr>
          <w:rFonts w:ascii="Times New Roman" w:hAnsi="Times New Roman" w:cs="Times New Roman"/>
          <w:sz w:val="24"/>
        </w:rPr>
        <w:t xml:space="preserve">marriage is not a defence for the offence of attempted rape. The mental capacity to commit a crime is </w:t>
      </w:r>
      <w:r w:rsidR="00F54ADC">
        <w:rPr>
          <w:rFonts w:ascii="Times New Roman" w:hAnsi="Times New Roman" w:cs="Times New Roman"/>
          <w:sz w:val="24"/>
        </w:rPr>
        <w:t xml:space="preserve">not </w:t>
      </w:r>
      <w:r w:rsidR="0069516A">
        <w:rPr>
          <w:rFonts w:ascii="Times New Roman" w:hAnsi="Times New Roman" w:cs="Times New Roman"/>
          <w:sz w:val="24"/>
        </w:rPr>
        <w:t>affected by the motive.</w:t>
      </w:r>
    </w:p>
    <w:p w:rsidR="0069516A" w:rsidRDefault="0069516A" w:rsidP="00194A34">
      <w:pPr>
        <w:tabs>
          <w:tab w:val="left" w:pos="0"/>
        </w:tabs>
        <w:spacing w:after="0" w:line="360" w:lineRule="auto"/>
        <w:jc w:val="both"/>
        <w:rPr>
          <w:rFonts w:ascii="Times New Roman" w:hAnsi="Times New Roman" w:cs="Times New Roman"/>
          <w:sz w:val="24"/>
        </w:rPr>
      </w:pPr>
    </w:p>
    <w:p w:rsidR="0069516A" w:rsidRPr="0069516A" w:rsidRDefault="0069516A" w:rsidP="00194A34">
      <w:pPr>
        <w:tabs>
          <w:tab w:val="left" w:pos="0"/>
        </w:tabs>
        <w:spacing w:after="0" w:line="360" w:lineRule="auto"/>
        <w:jc w:val="both"/>
        <w:rPr>
          <w:rFonts w:ascii="Times New Roman" w:hAnsi="Times New Roman" w:cs="Times New Roman"/>
          <w:sz w:val="24"/>
          <w:u w:val="single"/>
        </w:rPr>
      </w:pPr>
      <w:r w:rsidRPr="0069516A">
        <w:rPr>
          <w:rFonts w:ascii="Times New Roman" w:hAnsi="Times New Roman" w:cs="Times New Roman"/>
          <w:sz w:val="24"/>
          <w:u w:val="single"/>
        </w:rPr>
        <w:t>APPLICATION OF LAW TO FACTS</w:t>
      </w:r>
    </w:p>
    <w:p w:rsidR="0069516A" w:rsidRDefault="0069516A"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It is not in dispute that the state has the onus to prove its case beyond reasonable doubt whereas an accused only has to give a defence or story which if it is reasonable possibly true he should be granted the benefit of doubt and is entitled to an acquittal. It follows that once essential elements of the offence are proved beyond reasonable doubt then a conviction should be sustained. </w:t>
      </w:r>
    </w:p>
    <w:p w:rsidR="007F60C2" w:rsidRDefault="0069516A"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i/>
          <w:sz w:val="24"/>
        </w:rPr>
        <w:t>In casu</w:t>
      </w:r>
      <w:r>
        <w:rPr>
          <w:rFonts w:ascii="Times New Roman" w:hAnsi="Times New Roman" w:cs="Times New Roman"/>
          <w:sz w:val="24"/>
        </w:rPr>
        <w:t xml:space="preserve"> the undisputed evidence that accused dragged the complainant into his room, started caressing and fondling the breast and removed her pant are clear indications of the appellant having gone beyond preparatory stage. </w:t>
      </w:r>
      <w:r w:rsidR="0089604F">
        <w:rPr>
          <w:rFonts w:ascii="Times New Roman" w:hAnsi="Times New Roman" w:cs="Times New Roman"/>
          <w:sz w:val="24"/>
        </w:rPr>
        <w:t xml:space="preserve">This direct evidence was uncontroverted even that the complainant cried whilst indoors with the appellant although appellant explains she was crying because she was being ill-treated at home. She started crying while with accused who imposed his intentions on her as the other witnesses confirmed they observed her crying while outside. This went a long way in confirming that the complainant was not crying because of pressure from people. In fact that appellant indicated he intended to marry her is </w:t>
      </w:r>
      <w:r w:rsidR="00B5753B">
        <w:rPr>
          <w:rFonts w:ascii="Times New Roman" w:hAnsi="Times New Roman" w:cs="Times New Roman"/>
          <w:sz w:val="24"/>
        </w:rPr>
        <w:t xml:space="preserve">in </w:t>
      </w:r>
      <w:r w:rsidR="0089604F">
        <w:rPr>
          <w:rFonts w:ascii="Times New Roman" w:hAnsi="Times New Roman" w:cs="Times New Roman"/>
          <w:sz w:val="24"/>
        </w:rPr>
        <w:t>conformity with complainant’s version that as soon as appellant dragged her</w:t>
      </w:r>
      <w:r w:rsidR="00B5753B">
        <w:rPr>
          <w:rFonts w:ascii="Times New Roman" w:hAnsi="Times New Roman" w:cs="Times New Roman"/>
          <w:sz w:val="24"/>
        </w:rPr>
        <w:t xml:space="preserve"> in</w:t>
      </w:r>
      <w:r w:rsidR="0089604F">
        <w:rPr>
          <w:rFonts w:ascii="Times New Roman" w:hAnsi="Times New Roman" w:cs="Times New Roman"/>
          <w:sz w:val="24"/>
        </w:rPr>
        <w:t xml:space="preserve"> and </w:t>
      </w:r>
      <w:r w:rsidR="00B5753B">
        <w:rPr>
          <w:rFonts w:ascii="Times New Roman" w:hAnsi="Times New Roman" w:cs="Times New Roman"/>
          <w:sz w:val="24"/>
        </w:rPr>
        <w:t xml:space="preserve">the </w:t>
      </w:r>
      <w:r w:rsidR="0089604F">
        <w:rPr>
          <w:rFonts w:ascii="Times New Roman" w:hAnsi="Times New Roman" w:cs="Times New Roman"/>
          <w:sz w:val="24"/>
        </w:rPr>
        <w:t xml:space="preserve">sister in law closed the two inside the room. The court </w:t>
      </w:r>
      <w:r w:rsidR="0089604F">
        <w:rPr>
          <w:rFonts w:ascii="Times New Roman" w:hAnsi="Times New Roman" w:cs="Times New Roman"/>
          <w:i/>
          <w:sz w:val="24"/>
        </w:rPr>
        <w:t>a quo</w:t>
      </w:r>
      <w:r w:rsidR="0089604F">
        <w:rPr>
          <w:rFonts w:ascii="Times New Roman" w:hAnsi="Times New Roman" w:cs="Times New Roman"/>
          <w:sz w:val="24"/>
        </w:rPr>
        <w:t xml:space="preserve"> having assessed the totality of evidence before it was properly satisfied that both the </w:t>
      </w:r>
      <w:r w:rsidR="0089604F">
        <w:rPr>
          <w:rFonts w:ascii="Times New Roman" w:hAnsi="Times New Roman" w:cs="Times New Roman"/>
          <w:i/>
          <w:sz w:val="24"/>
        </w:rPr>
        <w:t xml:space="preserve">actus </w:t>
      </w:r>
      <w:r w:rsidR="0089604F">
        <w:rPr>
          <w:rFonts w:ascii="Times New Roman" w:hAnsi="Times New Roman" w:cs="Times New Roman"/>
          <w:sz w:val="24"/>
        </w:rPr>
        <w:t xml:space="preserve">and </w:t>
      </w:r>
      <w:r w:rsidR="0089604F">
        <w:rPr>
          <w:rFonts w:ascii="Times New Roman" w:hAnsi="Times New Roman" w:cs="Times New Roman"/>
          <w:i/>
          <w:sz w:val="24"/>
        </w:rPr>
        <w:t>mens rea</w:t>
      </w:r>
      <w:r w:rsidR="0089604F">
        <w:rPr>
          <w:rFonts w:ascii="Times New Roman" w:hAnsi="Times New Roman" w:cs="Times New Roman"/>
          <w:sz w:val="24"/>
        </w:rPr>
        <w:t xml:space="preserve"> for the offence of attempted rape were proved beyond reasonable doubt. The decision of the court </w:t>
      </w:r>
      <w:r w:rsidR="0089604F">
        <w:rPr>
          <w:rFonts w:ascii="Times New Roman" w:hAnsi="Times New Roman" w:cs="Times New Roman"/>
          <w:i/>
          <w:sz w:val="24"/>
        </w:rPr>
        <w:t>a quo</w:t>
      </w:r>
      <w:r w:rsidR="0089604F">
        <w:rPr>
          <w:rFonts w:ascii="Times New Roman" w:hAnsi="Times New Roman" w:cs="Times New Roman"/>
          <w:sz w:val="24"/>
          <w:u w:val="single"/>
        </w:rPr>
        <w:t xml:space="preserve"> </w:t>
      </w:r>
      <w:r w:rsidR="0089604F">
        <w:rPr>
          <w:rFonts w:ascii="Times New Roman" w:hAnsi="Times New Roman" w:cs="Times New Roman"/>
          <w:sz w:val="24"/>
        </w:rPr>
        <w:t xml:space="preserve">is well anchored on evidence adduced before the court. There is therefore no basis for interference with the decision of the court </w:t>
      </w:r>
      <w:r w:rsidR="0089604F">
        <w:rPr>
          <w:rFonts w:ascii="Times New Roman" w:hAnsi="Times New Roman" w:cs="Times New Roman"/>
          <w:i/>
          <w:sz w:val="24"/>
        </w:rPr>
        <w:t>a quo</w:t>
      </w:r>
      <w:r w:rsidR="0089604F">
        <w:rPr>
          <w:rFonts w:ascii="Times New Roman" w:hAnsi="Times New Roman" w:cs="Times New Roman"/>
          <w:sz w:val="24"/>
        </w:rPr>
        <w:t xml:space="preserve"> on facts and law. The appellant also argued that the sentence of 5 years imprisonment of which 2 years is suspended on conditions of good behaviour is excessively harsh and induces a sense of shock. The respondent on the other hand argued that the court </w:t>
      </w:r>
      <w:r w:rsidR="0089604F">
        <w:rPr>
          <w:rFonts w:ascii="Times New Roman" w:hAnsi="Times New Roman" w:cs="Times New Roman"/>
          <w:i/>
          <w:sz w:val="24"/>
        </w:rPr>
        <w:t>a quo</w:t>
      </w:r>
      <w:r w:rsidR="0089604F">
        <w:rPr>
          <w:rFonts w:ascii="Times New Roman" w:hAnsi="Times New Roman" w:cs="Times New Roman"/>
          <w:sz w:val="24"/>
        </w:rPr>
        <w:t xml:space="preserve"> properly exercised its sentencing discretion and imposed an appropriate sentence.</w:t>
      </w:r>
    </w:p>
    <w:p w:rsidR="0089604F" w:rsidRDefault="007F60C2"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Both counsel cited relevant cases on the settled position that the appeal court will not lightly interfere with the sentencing discretion of the lower court since sentencing is pre-eminently the domain of the trial court. As long as the sentencing discretion is properly and judiciously exercised then inference with sentence is not warranted. See </w:t>
      </w:r>
      <w:r>
        <w:rPr>
          <w:rFonts w:ascii="Times New Roman" w:hAnsi="Times New Roman" w:cs="Times New Roman"/>
          <w:i/>
          <w:sz w:val="24"/>
        </w:rPr>
        <w:t>Fungai Mavhundura</w:t>
      </w:r>
      <w:r>
        <w:rPr>
          <w:rFonts w:ascii="Times New Roman" w:hAnsi="Times New Roman" w:cs="Times New Roman"/>
          <w:sz w:val="24"/>
        </w:rPr>
        <w:t xml:space="preserve"> v</w:t>
      </w:r>
      <w:r>
        <w:rPr>
          <w:rFonts w:ascii="Times New Roman" w:hAnsi="Times New Roman" w:cs="Times New Roman"/>
          <w:i/>
          <w:sz w:val="24"/>
        </w:rPr>
        <w:t xml:space="preserve"> S</w:t>
      </w:r>
      <w:r>
        <w:rPr>
          <w:rFonts w:ascii="Times New Roman" w:hAnsi="Times New Roman" w:cs="Times New Roman"/>
          <w:sz w:val="24"/>
        </w:rPr>
        <w:t xml:space="preserve"> HH 18/02,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Mundava</w:t>
      </w:r>
      <w:r>
        <w:rPr>
          <w:rFonts w:ascii="Times New Roman" w:hAnsi="Times New Roman" w:cs="Times New Roman"/>
          <w:sz w:val="24"/>
        </w:rPr>
        <w:t xml:space="preserve"> 1998 (2) ZLR 392/. In this case the court </w:t>
      </w:r>
      <w:r>
        <w:rPr>
          <w:rFonts w:ascii="Times New Roman" w:hAnsi="Times New Roman" w:cs="Times New Roman"/>
          <w:i/>
          <w:sz w:val="24"/>
        </w:rPr>
        <w:t>a quo</w:t>
      </w:r>
      <w:r>
        <w:rPr>
          <w:rFonts w:ascii="Times New Roman" w:hAnsi="Times New Roman" w:cs="Times New Roman"/>
          <w:sz w:val="24"/>
        </w:rPr>
        <w:t xml:space="preserve"> in its reasons for sentence clearly spelt out its reasoning for sentence. All the circumstances of the case</w:t>
      </w:r>
      <w:r w:rsidR="00E216C1">
        <w:rPr>
          <w:rFonts w:ascii="Times New Roman" w:hAnsi="Times New Roman" w:cs="Times New Roman"/>
          <w:sz w:val="24"/>
        </w:rPr>
        <w:t xml:space="preserve"> both</w:t>
      </w:r>
      <w:r>
        <w:rPr>
          <w:rFonts w:ascii="Times New Roman" w:hAnsi="Times New Roman" w:cs="Times New Roman"/>
          <w:sz w:val="24"/>
        </w:rPr>
        <w:t xml:space="preserve"> mitigatory </w:t>
      </w:r>
      <w:r w:rsidR="00E216C1">
        <w:rPr>
          <w:rFonts w:ascii="Times New Roman" w:hAnsi="Times New Roman" w:cs="Times New Roman"/>
          <w:sz w:val="24"/>
        </w:rPr>
        <w:t xml:space="preserve">and </w:t>
      </w:r>
      <w:r>
        <w:rPr>
          <w:rFonts w:ascii="Times New Roman" w:hAnsi="Times New Roman" w:cs="Times New Roman"/>
          <w:sz w:val="24"/>
        </w:rPr>
        <w:t xml:space="preserve">aggravatory reasons were taken into consideration. There is clear balancing of the nature of the offence and the offender. </w:t>
      </w:r>
      <w:r w:rsidR="00C669A4">
        <w:rPr>
          <w:rFonts w:ascii="Times New Roman" w:hAnsi="Times New Roman" w:cs="Times New Roman"/>
          <w:sz w:val="24"/>
        </w:rPr>
        <w:t xml:space="preserve">The sentence imposed is in sync with sentencing trends in cases of ilk. See </w:t>
      </w:r>
      <w:r w:rsidR="00C669A4">
        <w:rPr>
          <w:rFonts w:ascii="Times New Roman" w:hAnsi="Times New Roman" w:cs="Times New Roman"/>
          <w:i/>
          <w:sz w:val="24"/>
        </w:rPr>
        <w:t xml:space="preserve">S </w:t>
      </w:r>
      <w:r w:rsidR="00C669A4">
        <w:rPr>
          <w:rFonts w:ascii="Times New Roman" w:hAnsi="Times New Roman" w:cs="Times New Roman"/>
          <w:sz w:val="24"/>
        </w:rPr>
        <w:t>v</w:t>
      </w:r>
      <w:r w:rsidR="00C669A4">
        <w:rPr>
          <w:rFonts w:ascii="Times New Roman" w:hAnsi="Times New Roman" w:cs="Times New Roman"/>
          <w:i/>
          <w:sz w:val="24"/>
        </w:rPr>
        <w:t xml:space="preserve"> John Magodora</w:t>
      </w:r>
      <w:r w:rsidR="00C669A4">
        <w:rPr>
          <w:rFonts w:ascii="Times New Roman" w:hAnsi="Times New Roman" w:cs="Times New Roman"/>
          <w:sz w:val="24"/>
        </w:rPr>
        <w:t xml:space="preserve"> HH 245/15. In the present case for attempted rape of a 16 year old juvenile by a mature adult of 29 the sentence of 5 years with 2 years suspended is certainly not excessive sentence. To this end therefore the sentencing discretion was properly and judiciously exercised.</w:t>
      </w:r>
    </w:p>
    <w:p w:rsidR="00D232D4" w:rsidRDefault="00D232D4"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The appeal against both conviction and sentence is unmeritorious.</w:t>
      </w:r>
    </w:p>
    <w:p w:rsidR="00D232D4" w:rsidRDefault="00D232D4"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Accordingly it is ordered that:</w:t>
      </w:r>
    </w:p>
    <w:p w:rsidR="00D232D4" w:rsidRDefault="00D232D4"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appeal be and is hereby dismissed in its entirety.  </w:t>
      </w:r>
    </w:p>
    <w:p w:rsidR="00C669A4" w:rsidRPr="00C669A4" w:rsidRDefault="00C669A4" w:rsidP="00194A34">
      <w:pPr>
        <w:tabs>
          <w:tab w:val="left" w:pos="0"/>
        </w:tabs>
        <w:spacing w:after="0" w:line="360" w:lineRule="auto"/>
        <w:jc w:val="both"/>
        <w:rPr>
          <w:rFonts w:ascii="Times New Roman" w:hAnsi="Times New Roman" w:cs="Times New Roman"/>
          <w:sz w:val="24"/>
        </w:rPr>
      </w:pPr>
    </w:p>
    <w:p w:rsidR="0069516A" w:rsidRPr="0069516A" w:rsidRDefault="0089604F" w:rsidP="00194A34">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 </w:t>
      </w:r>
    </w:p>
    <w:p w:rsidR="009A1392" w:rsidRDefault="00480B27" w:rsidP="00627E93">
      <w:pPr>
        <w:tabs>
          <w:tab w:val="left" w:pos="0"/>
        </w:tabs>
        <w:spacing w:after="0" w:line="240" w:lineRule="auto"/>
        <w:jc w:val="both"/>
        <w:rPr>
          <w:rFonts w:ascii="Times New Roman" w:hAnsi="Times New Roman" w:cs="Times New Roman"/>
          <w:sz w:val="24"/>
        </w:rPr>
      </w:pPr>
      <w:r>
        <w:rPr>
          <w:rFonts w:ascii="Times New Roman" w:hAnsi="Times New Roman" w:cs="Times New Roman"/>
          <w:i/>
          <w:sz w:val="24"/>
        </w:rPr>
        <w:t>Chibaya &amp; Partners</w:t>
      </w:r>
      <w:r>
        <w:rPr>
          <w:rFonts w:ascii="Times New Roman" w:hAnsi="Times New Roman" w:cs="Times New Roman"/>
          <w:sz w:val="24"/>
        </w:rPr>
        <w:t xml:space="preserve">, appellant’s legal practitioners </w:t>
      </w:r>
      <w:r w:rsidR="00B90D20">
        <w:rPr>
          <w:rFonts w:ascii="Times New Roman" w:hAnsi="Times New Roman" w:cs="Times New Roman"/>
          <w:sz w:val="24"/>
        </w:rPr>
        <w:tab/>
      </w:r>
    </w:p>
    <w:p w:rsidR="009A1392" w:rsidRDefault="009A1392" w:rsidP="00627E93">
      <w:pPr>
        <w:tabs>
          <w:tab w:val="left" w:pos="1515"/>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w:t>
      </w:r>
      <w:r w:rsidR="008778C5">
        <w:rPr>
          <w:rFonts w:ascii="Times New Roman" w:hAnsi="Times New Roman" w:cs="Times New Roman"/>
          <w:sz w:val="24"/>
        </w:rPr>
        <w:t xml:space="preserve">respondent’s </w:t>
      </w:r>
      <w:r>
        <w:rPr>
          <w:rFonts w:ascii="Times New Roman" w:hAnsi="Times New Roman" w:cs="Times New Roman"/>
          <w:sz w:val="24"/>
        </w:rPr>
        <w:t>legal practitioners</w:t>
      </w:r>
    </w:p>
    <w:sectPr w:rsidR="009A13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1A" w:rsidRDefault="00257E1A" w:rsidP="00E2288A">
      <w:pPr>
        <w:spacing w:after="0" w:line="240" w:lineRule="auto"/>
      </w:pPr>
      <w:r>
        <w:separator/>
      </w:r>
    </w:p>
  </w:endnote>
  <w:endnote w:type="continuationSeparator" w:id="0">
    <w:p w:rsidR="00257E1A" w:rsidRDefault="00257E1A" w:rsidP="00E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1A" w:rsidRDefault="00257E1A" w:rsidP="00E2288A">
      <w:pPr>
        <w:spacing w:after="0" w:line="240" w:lineRule="auto"/>
      </w:pPr>
      <w:r>
        <w:separator/>
      </w:r>
    </w:p>
  </w:footnote>
  <w:footnote w:type="continuationSeparator" w:id="0">
    <w:p w:rsidR="00257E1A" w:rsidRDefault="00257E1A" w:rsidP="00E2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60334"/>
      <w:docPartObj>
        <w:docPartGallery w:val="Page Numbers (Top of Page)"/>
        <w:docPartUnique/>
      </w:docPartObj>
    </w:sdtPr>
    <w:sdtEndPr>
      <w:rPr>
        <w:noProof/>
      </w:rPr>
    </w:sdtEndPr>
    <w:sdtContent>
      <w:p w:rsidR="00474D27" w:rsidRDefault="00474D27">
        <w:pPr>
          <w:pStyle w:val="Header"/>
          <w:jc w:val="right"/>
          <w:rPr>
            <w:noProof/>
          </w:rPr>
        </w:pPr>
        <w:r>
          <w:fldChar w:fldCharType="begin"/>
        </w:r>
        <w:r>
          <w:instrText xml:space="preserve"> PAGE   \* MERGEFORMAT </w:instrText>
        </w:r>
        <w:r>
          <w:fldChar w:fldCharType="separate"/>
        </w:r>
        <w:r w:rsidR="00BC7750">
          <w:rPr>
            <w:noProof/>
          </w:rPr>
          <w:t>2</w:t>
        </w:r>
        <w:r>
          <w:rPr>
            <w:noProof/>
          </w:rPr>
          <w:fldChar w:fldCharType="end"/>
        </w:r>
      </w:p>
      <w:p w:rsidR="00474D27" w:rsidRDefault="00143C82">
        <w:pPr>
          <w:pStyle w:val="Header"/>
          <w:jc w:val="right"/>
          <w:rPr>
            <w:noProof/>
          </w:rPr>
        </w:pPr>
        <w:r>
          <w:rPr>
            <w:noProof/>
          </w:rPr>
          <w:t>HMT 42-</w:t>
        </w:r>
        <w:r w:rsidR="00474D27">
          <w:rPr>
            <w:noProof/>
          </w:rPr>
          <w:t>21</w:t>
        </w:r>
      </w:p>
      <w:p w:rsidR="00474D27" w:rsidRDefault="009D3124">
        <w:pPr>
          <w:pStyle w:val="Header"/>
          <w:jc w:val="right"/>
        </w:pPr>
        <w:r>
          <w:rPr>
            <w:noProof/>
          </w:rPr>
          <w:t>CA 39/20</w:t>
        </w:r>
      </w:p>
    </w:sdtContent>
  </w:sdt>
  <w:p w:rsidR="00474D27" w:rsidRDefault="00474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22B49"/>
    <w:multiLevelType w:val="hybridMultilevel"/>
    <w:tmpl w:val="B8EE01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2DD6252"/>
    <w:multiLevelType w:val="hybridMultilevel"/>
    <w:tmpl w:val="5DA613C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2F"/>
    <w:rsid w:val="00001951"/>
    <w:rsid w:val="00027D60"/>
    <w:rsid w:val="00040D82"/>
    <w:rsid w:val="00060784"/>
    <w:rsid w:val="00064B2B"/>
    <w:rsid w:val="00073217"/>
    <w:rsid w:val="000741D1"/>
    <w:rsid w:val="00085C90"/>
    <w:rsid w:val="001122BC"/>
    <w:rsid w:val="00112BA1"/>
    <w:rsid w:val="00136AD2"/>
    <w:rsid w:val="00137D63"/>
    <w:rsid w:val="00143C82"/>
    <w:rsid w:val="00151EFF"/>
    <w:rsid w:val="001546FE"/>
    <w:rsid w:val="0017447C"/>
    <w:rsid w:val="00183454"/>
    <w:rsid w:val="00194A34"/>
    <w:rsid w:val="001976FB"/>
    <w:rsid w:val="001A03F9"/>
    <w:rsid w:val="001A484A"/>
    <w:rsid w:val="001A4B4F"/>
    <w:rsid w:val="001B399D"/>
    <w:rsid w:val="001B507C"/>
    <w:rsid w:val="001E2B6F"/>
    <w:rsid w:val="001F0D1C"/>
    <w:rsid w:val="001F135E"/>
    <w:rsid w:val="001F2C69"/>
    <w:rsid w:val="001F7DFF"/>
    <w:rsid w:val="00214255"/>
    <w:rsid w:val="00214481"/>
    <w:rsid w:val="002168E0"/>
    <w:rsid w:val="002212FD"/>
    <w:rsid w:val="00231851"/>
    <w:rsid w:val="00234BB1"/>
    <w:rsid w:val="00240C7D"/>
    <w:rsid w:val="002507C6"/>
    <w:rsid w:val="00257E1A"/>
    <w:rsid w:val="0027258C"/>
    <w:rsid w:val="00272B13"/>
    <w:rsid w:val="002749B9"/>
    <w:rsid w:val="0029406A"/>
    <w:rsid w:val="00295F44"/>
    <w:rsid w:val="002F5CAF"/>
    <w:rsid w:val="002F5F02"/>
    <w:rsid w:val="0031235E"/>
    <w:rsid w:val="00326BA3"/>
    <w:rsid w:val="00344F13"/>
    <w:rsid w:val="003526F6"/>
    <w:rsid w:val="003527D7"/>
    <w:rsid w:val="00360087"/>
    <w:rsid w:val="00366EDF"/>
    <w:rsid w:val="00375905"/>
    <w:rsid w:val="003834E4"/>
    <w:rsid w:val="00390BB7"/>
    <w:rsid w:val="003C72DA"/>
    <w:rsid w:val="003C7304"/>
    <w:rsid w:val="003E603D"/>
    <w:rsid w:val="003E76D6"/>
    <w:rsid w:val="003F0EE0"/>
    <w:rsid w:val="00414C61"/>
    <w:rsid w:val="00424D70"/>
    <w:rsid w:val="004300A4"/>
    <w:rsid w:val="00432F7A"/>
    <w:rsid w:val="00440B06"/>
    <w:rsid w:val="00474D27"/>
    <w:rsid w:val="00480B27"/>
    <w:rsid w:val="0049005F"/>
    <w:rsid w:val="004B38CE"/>
    <w:rsid w:val="004D654D"/>
    <w:rsid w:val="004F0D65"/>
    <w:rsid w:val="004F6B13"/>
    <w:rsid w:val="00506381"/>
    <w:rsid w:val="0052641E"/>
    <w:rsid w:val="0052715C"/>
    <w:rsid w:val="00531002"/>
    <w:rsid w:val="00535A12"/>
    <w:rsid w:val="005404D3"/>
    <w:rsid w:val="0055528D"/>
    <w:rsid w:val="0056178C"/>
    <w:rsid w:val="0056575C"/>
    <w:rsid w:val="005769F5"/>
    <w:rsid w:val="00587D3A"/>
    <w:rsid w:val="00591109"/>
    <w:rsid w:val="005A1AA3"/>
    <w:rsid w:val="005C3EE2"/>
    <w:rsid w:val="005E541D"/>
    <w:rsid w:val="00604044"/>
    <w:rsid w:val="006135AF"/>
    <w:rsid w:val="00627E93"/>
    <w:rsid w:val="00637B6E"/>
    <w:rsid w:val="006611FF"/>
    <w:rsid w:val="0069516A"/>
    <w:rsid w:val="006A1D44"/>
    <w:rsid w:val="006E1C51"/>
    <w:rsid w:val="006E771D"/>
    <w:rsid w:val="00756AC7"/>
    <w:rsid w:val="00784001"/>
    <w:rsid w:val="007956BB"/>
    <w:rsid w:val="007E5DF5"/>
    <w:rsid w:val="007F60C2"/>
    <w:rsid w:val="00810F80"/>
    <w:rsid w:val="008312A8"/>
    <w:rsid w:val="0084057A"/>
    <w:rsid w:val="00841B84"/>
    <w:rsid w:val="00872DB7"/>
    <w:rsid w:val="008778C5"/>
    <w:rsid w:val="00891EDB"/>
    <w:rsid w:val="0089604F"/>
    <w:rsid w:val="00896E76"/>
    <w:rsid w:val="008B5160"/>
    <w:rsid w:val="008B5984"/>
    <w:rsid w:val="008E1AD0"/>
    <w:rsid w:val="008E3131"/>
    <w:rsid w:val="008E61CE"/>
    <w:rsid w:val="00911EF5"/>
    <w:rsid w:val="00922175"/>
    <w:rsid w:val="00930343"/>
    <w:rsid w:val="00942B79"/>
    <w:rsid w:val="00943E0A"/>
    <w:rsid w:val="0096380C"/>
    <w:rsid w:val="009710BD"/>
    <w:rsid w:val="009A1392"/>
    <w:rsid w:val="009A4A26"/>
    <w:rsid w:val="009A5C48"/>
    <w:rsid w:val="009D2B2F"/>
    <w:rsid w:val="009D3124"/>
    <w:rsid w:val="009E0E96"/>
    <w:rsid w:val="009F60FB"/>
    <w:rsid w:val="00A10B4F"/>
    <w:rsid w:val="00A339B3"/>
    <w:rsid w:val="00A3766D"/>
    <w:rsid w:val="00A51437"/>
    <w:rsid w:val="00A56294"/>
    <w:rsid w:val="00A5738F"/>
    <w:rsid w:val="00AA4FEA"/>
    <w:rsid w:val="00AA7561"/>
    <w:rsid w:val="00AC794F"/>
    <w:rsid w:val="00AD55BF"/>
    <w:rsid w:val="00AE0F3D"/>
    <w:rsid w:val="00B048A5"/>
    <w:rsid w:val="00B06BBF"/>
    <w:rsid w:val="00B25F07"/>
    <w:rsid w:val="00B327F7"/>
    <w:rsid w:val="00B5753B"/>
    <w:rsid w:val="00B6764C"/>
    <w:rsid w:val="00B872F0"/>
    <w:rsid w:val="00B90D20"/>
    <w:rsid w:val="00B94524"/>
    <w:rsid w:val="00BC7750"/>
    <w:rsid w:val="00BD4FF2"/>
    <w:rsid w:val="00BE3DDA"/>
    <w:rsid w:val="00BF2826"/>
    <w:rsid w:val="00BF7913"/>
    <w:rsid w:val="00C2097D"/>
    <w:rsid w:val="00C40F7C"/>
    <w:rsid w:val="00C6578A"/>
    <w:rsid w:val="00C6588B"/>
    <w:rsid w:val="00C669A4"/>
    <w:rsid w:val="00C87E1D"/>
    <w:rsid w:val="00C9623A"/>
    <w:rsid w:val="00C9693A"/>
    <w:rsid w:val="00CA0ABC"/>
    <w:rsid w:val="00CC5F9A"/>
    <w:rsid w:val="00CF3DF0"/>
    <w:rsid w:val="00CF466E"/>
    <w:rsid w:val="00D232D4"/>
    <w:rsid w:val="00D5495C"/>
    <w:rsid w:val="00D66CA7"/>
    <w:rsid w:val="00D73189"/>
    <w:rsid w:val="00D868FB"/>
    <w:rsid w:val="00DA24B3"/>
    <w:rsid w:val="00DC06C5"/>
    <w:rsid w:val="00DC69B7"/>
    <w:rsid w:val="00DC7863"/>
    <w:rsid w:val="00DD5E7E"/>
    <w:rsid w:val="00DE39A8"/>
    <w:rsid w:val="00DF4082"/>
    <w:rsid w:val="00DF63D3"/>
    <w:rsid w:val="00E1392F"/>
    <w:rsid w:val="00E216C1"/>
    <w:rsid w:val="00E2288A"/>
    <w:rsid w:val="00E462C3"/>
    <w:rsid w:val="00E508D0"/>
    <w:rsid w:val="00E672E0"/>
    <w:rsid w:val="00E924D2"/>
    <w:rsid w:val="00E92F03"/>
    <w:rsid w:val="00EC40C6"/>
    <w:rsid w:val="00EE6678"/>
    <w:rsid w:val="00F27A2D"/>
    <w:rsid w:val="00F31FA5"/>
    <w:rsid w:val="00F35B4D"/>
    <w:rsid w:val="00F54ADC"/>
    <w:rsid w:val="00F830F9"/>
    <w:rsid w:val="00F91D57"/>
    <w:rsid w:val="00FC5D89"/>
    <w:rsid w:val="00FE01BB"/>
    <w:rsid w:val="00FF5D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610B-C162-4EAC-84A6-C7A5EE6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88A"/>
  </w:style>
  <w:style w:type="paragraph" w:styleId="Footer">
    <w:name w:val="footer"/>
    <w:basedOn w:val="Normal"/>
    <w:link w:val="FooterChar"/>
    <w:uiPriority w:val="99"/>
    <w:unhideWhenUsed/>
    <w:rsid w:val="00E2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8A"/>
  </w:style>
  <w:style w:type="paragraph" w:styleId="BalloonText">
    <w:name w:val="Balloon Text"/>
    <w:basedOn w:val="Normal"/>
    <w:link w:val="BalloonTextChar"/>
    <w:uiPriority w:val="99"/>
    <w:semiHidden/>
    <w:unhideWhenUsed/>
    <w:rsid w:val="001B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7C"/>
    <w:rPr>
      <w:rFonts w:ascii="Segoe UI" w:hAnsi="Segoe UI" w:cs="Segoe UI"/>
      <w:sz w:val="18"/>
      <w:szCs w:val="18"/>
    </w:rPr>
  </w:style>
  <w:style w:type="paragraph" w:styleId="ListParagraph">
    <w:name w:val="List Paragraph"/>
    <w:basedOn w:val="Normal"/>
    <w:uiPriority w:val="34"/>
    <w:qFormat/>
    <w:rsid w:val="00DC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2021-06-29T14:00:00Z</cp:lastPrinted>
  <dcterms:created xsi:type="dcterms:W3CDTF">2021-07-16T08:49:00Z</dcterms:created>
  <dcterms:modified xsi:type="dcterms:W3CDTF">2021-07-16T08:49:00Z</dcterms:modified>
</cp:coreProperties>
</file>