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44" w:rsidRPr="00047C13" w:rsidRDefault="00A80944" w:rsidP="00A80944">
      <w:pPr>
        <w:spacing w:line="360" w:lineRule="auto"/>
        <w:jc w:val="both"/>
        <w:rPr>
          <w:b/>
        </w:rPr>
      </w:pPr>
      <w:bookmarkStart w:id="0" w:name="_GoBack"/>
      <w:bookmarkEnd w:id="0"/>
      <w:proofErr w:type="gramStart"/>
      <w:r w:rsidRPr="00047C13">
        <w:rPr>
          <w:b/>
        </w:rPr>
        <w:t>IN T</w:t>
      </w:r>
      <w:r>
        <w:rPr>
          <w:b/>
        </w:rPr>
        <w:t xml:space="preserve">HE </w:t>
      </w:r>
      <w:r w:rsidR="00EC4BDC">
        <w:rPr>
          <w:b/>
        </w:rPr>
        <w:t xml:space="preserve">LABOUR COURT OF ZIMBABWE      </w:t>
      </w:r>
      <w:r>
        <w:rPr>
          <w:b/>
        </w:rPr>
        <w:t>JUDGMENT NO.</w:t>
      </w:r>
      <w:proofErr w:type="gramEnd"/>
      <w:r>
        <w:rPr>
          <w:b/>
        </w:rPr>
        <w:t xml:space="preserve"> LC/H/</w:t>
      </w:r>
      <w:r w:rsidR="00EC4BDC">
        <w:rPr>
          <w:b/>
        </w:rPr>
        <w:t>327</w:t>
      </w:r>
      <w:r>
        <w:rPr>
          <w:b/>
        </w:rPr>
        <w:t>/2014</w:t>
      </w:r>
    </w:p>
    <w:p w:rsidR="00A80944" w:rsidRDefault="00A80944" w:rsidP="00A80944">
      <w:pPr>
        <w:spacing w:line="360" w:lineRule="auto"/>
        <w:jc w:val="both"/>
        <w:rPr>
          <w:b/>
        </w:rPr>
      </w:pPr>
      <w:r w:rsidRPr="00047C13">
        <w:rPr>
          <w:b/>
        </w:rPr>
        <w:t>HARARE,</w:t>
      </w:r>
      <w:r>
        <w:rPr>
          <w:b/>
        </w:rPr>
        <w:t xml:space="preserve"> 21 MARCH 2014</w:t>
      </w:r>
      <w:r w:rsidRPr="00047C13">
        <w:rPr>
          <w:b/>
        </w:rPr>
        <w:tab/>
      </w:r>
      <w:r w:rsidRPr="00047C13">
        <w:rPr>
          <w:b/>
        </w:rPr>
        <w:tab/>
      </w:r>
      <w:r>
        <w:rPr>
          <w:b/>
        </w:rPr>
        <w:t xml:space="preserve">    </w:t>
      </w:r>
      <w:r w:rsidRPr="00047C13">
        <w:rPr>
          <w:b/>
        </w:rPr>
        <w:t xml:space="preserve"> </w:t>
      </w:r>
      <w:r>
        <w:rPr>
          <w:b/>
        </w:rPr>
        <w:tab/>
        <w:t xml:space="preserve">     </w:t>
      </w:r>
      <w:r w:rsidR="000D5C33">
        <w:rPr>
          <w:b/>
        </w:rPr>
        <w:t xml:space="preserve">            </w:t>
      </w:r>
      <w:r w:rsidRPr="00047C13">
        <w:rPr>
          <w:b/>
        </w:rPr>
        <w:t>CASE NO. LC/H/</w:t>
      </w:r>
      <w:r>
        <w:rPr>
          <w:b/>
        </w:rPr>
        <w:t>29/13</w:t>
      </w:r>
    </w:p>
    <w:p w:rsidR="00100A64" w:rsidRDefault="00100A64" w:rsidP="00A80944">
      <w:pPr>
        <w:spacing w:line="360" w:lineRule="auto"/>
        <w:jc w:val="both"/>
        <w:rPr>
          <w:b/>
        </w:rPr>
      </w:pPr>
      <w:r>
        <w:rPr>
          <w:b/>
        </w:rPr>
        <w:t xml:space="preserve">&amp; </w:t>
      </w:r>
      <w:r w:rsidR="00A52FC7">
        <w:rPr>
          <w:b/>
        </w:rPr>
        <w:t>20</w:t>
      </w:r>
      <w:r w:rsidR="00735453">
        <w:rPr>
          <w:b/>
        </w:rPr>
        <w:t xml:space="preserve"> JUNE</w:t>
      </w:r>
      <w:r>
        <w:rPr>
          <w:b/>
        </w:rPr>
        <w:t xml:space="preserve"> 2014</w:t>
      </w:r>
    </w:p>
    <w:p w:rsidR="00A80944" w:rsidRPr="00047C13" w:rsidRDefault="00A80944" w:rsidP="00A80944">
      <w:pPr>
        <w:spacing w:line="360" w:lineRule="auto"/>
        <w:jc w:val="both"/>
      </w:pPr>
      <w:r w:rsidRPr="00047C13">
        <w:t>In the matter between</w:t>
      </w:r>
      <w:r>
        <w:t>:-</w:t>
      </w:r>
    </w:p>
    <w:p w:rsidR="00A80944" w:rsidRPr="00047C13" w:rsidRDefault="00A80944" w:rsidP="00A80944">
      <w:pPr>
        <w:spacing w:line="360" w:lineRule="auto"/>
        <w:jc w:val="both"/>
      </w:pPr>
    </w:p>
    <w:p w:rsidR="00A80944" w:rsidRPr="00047C13" w:rsidRDefault="00A80944" w:rsidP="00A80944">
      <w:pPr>
        <w:spacing w:line="360" w:lineRule="auto"/>
        <w:jc w:val="both"/>
        <w:rPr>
          <w:b/>
        </w:rPr>
      </w:pPr>
      <w:r>
        <w:rPr>
          <w:b/>
        </w:rPr>
        <w:t>AMON CHAGONDA &amp; 15 OTHERS</w:t>
      </w:r>
      <w:r>
        <w:rPr>
          <w:b/>
        </w:rPr>
        <w:tab/>
      </w:r>
      <w:r>
        <w:rPr>
          <w:b/>
        </w:rPr>
        <w:tab/>
      </w:r>
      <w:r>
        <w:rPr>
          <w:b/>
        </w:rPr>
        <w:tab/>
      </w:r>
      <w:r>
        <w:rPr>
          <w:b/>
        </w:rPr>
        <w:tab/>
        <w:t>Applicants</w:t>
      </w:r>
    </w:p>
    <w:p w:rsidR="00A80944" w:rsidRPr="00047C13" w:rsidRDefault="00A80944" w:rsidP="00A80944">
      <w:pPr>
        <w:tabs>
          <w:tab w:val="left" w:pos="1995"/>
        </w:tabs>
        <w:spacing w:line="360" w:lineRule="auto"/>
        <w:jc w:val="both"/>
      </w:pPr>
      <w:r w:rsidRPr="00047C13">
        <w:t>And</w:t>
      </w:r>
      <w:r w:rsidRPr="00047C13">
        <w:tab/>
      </w:r>
    </w:p>
    <w:p w:rsidR="00A80944" w:rsidRPr="00047C13" w:rsidRDefault="00A80944" w:rsidP="00A80944">
      <w:pPr>
        <w:spacing w:line="360" w:lineRule="auto"/>
        <w:jc w:val="both"/>
        <w:rPr>
          <w:b/>
        </w:rPr>
      </w:pPr>
      <w:r>
        <w:rPr>
          <w:b/>
        </w:rPr>
        <w:t>NATION</w:t>
      </w:r>
      <w:r w:rsidR="00DD376B">
        <w:rPr>
          <w:b/>
        </w:rPr>
        <w:t>AL</w:t>
      </w:r>
      <w:r>
        <w:rPr>
          <w:b/>
        </w:rPr>
        <w:t xml:space="preserve"> FOODS OPERATIONS LIMITED</w:t>
      </w:r>
      <w:r>
        <w:rPr>
          <w:b/>
        </w:rPr>
        <w:tab/>
      </w:r>
      <w:r>
        <w:rPr>
          <w:b/>
        </w:rPr>
        <w:tab/>
      </w:r>
      <w:r>
        <w:rPr>
          <w:b/>
        </w:rPr>
        <w:tab/>
        <w:t>Respondent</w:t>
      </w:r>
    </w:p>
    <w:p w:rsidR="00A80944" w:rsidRPr="00047C13" w:rsidRDefault="00A80944" w:rsidP="00A80944">
      <w:pPr>
        <w:spacing w:line="360" w:lineRule="auto"/>
        <w:jc w:val="both"/>
        <w:rPr>
          <w:b/>
        </w:rPr>
      </w:pPr>
    </w:p>
    <w:p w:rsidR="00A80944" w:rsidRPr="00047C13" w:rsidRDefault="00A80944" w:rsidP="00A80944">
      <w:pPr>
        <w:spacing w:line="360" w:lineRule="auto"/>
        <w:jc w:val="both"/>
      </w:pPr>
      <w:r>
        <w:t xml:space="preserve">Before </w:t>
      </w:r>
      <w:r w:rsidRPr="00047C13">
        <w:t>Honourable</w:t>
      </w:r>
      <w:r>
        <w:t xml:space="preserve"> L Hove, Judge</w:t>
      </w:r>
    </w:p>
    <w:p w:rsidR="00A80944" w:rsidRPr="00047C13" w:rsidRDefault="00A80944" w:rsidP="00A80944">
      <w:pPr>
        <w:spacing w:line="360" w:lineRule="auto"/>
        <w:jc w:val="both"/>
      </w:pPr>
      <w:r w:rsidRPr="00047C13">
        <w:tab/>
      </w:r>
      <w:r w:rsidRPr="00047C13">
        <w:tab/>
      </w:r>
      <w:r w:rsidRPr="00047C13">
        <w:tab/>
      </w:r>
    </w:p>
    <w:p w:rsidR="00A80944" w:rsidRDefault="00A80944" w:rsidP="00A80944">
      <w:pPr>
        <w:spacing w:line="360" w:lineRule="auto"/>
        <w:jc w:val="both"/>
        <w:rPr>
          <w:b/>
        </w:rPr>
      </w:pPr>
      <w:r>
        <w:rPr>
          <w:b/>
        </w:rPr>
        <w:t>For Applicants</w:t>
      </w:r>
      <w:r w:rsidRPr="00047C13">
        <w:rPr>
          <w:b/>
        </w:rPr>
        <w:t xml:space="preserve"> </w:t>
      </w:r>
      <w:r w:rsidRPr="00047C13">
        <w:rPr>
          <w:b/>
        </w:rPr>
        <w:tab/>
        <w:t>-</w:t>
      </w:r>
      <w:r w:rsidRPr="00047C13">
        <w:rPr>
          <w:b/>
        </w:rPr>
        <w:tab/>
      </w:r>
      <w:r>
        <w:rPr>
          <w:b/>
        </w:rPr>
        <w:t xml:space="preserve"> Mr. G.J. </w:t>
      </w:r>
      <w:proofErr w:type="spellStart"/>
      <w:r>
        <w:rPr>
          <w:b/>
        </w:rPr>
        <w:t>Maposa</w:t>
      </w:r>
      <w:proofErr w:type="spellEnd"/>
      <w:r>
        <w:rPr>
          <w:b/>
        </w:rPr>
        <w:t xml:space="preserve"> (Legal Practitioner)</w:t>
      </w:r>
    </w:p>
    <w:p w:rsidR="00A80944" w:rsidRDefault="00A80944" w:rsidP="00A80944">
      <w:pPr>
        <w:spacing w:line="360" w:lineRule="auto"/>
        <w:jc w:val="both"/>
        <w:rPr>
          <w:b/>
        </w:rPr>
      </w:pPr>
      <w:r>
        <w:rPr>
          <w:b/>
        </w:rPr>
        <w:t>For Respondent</w:t>
      </w:r>
      <w:r>
        <w:rPr>
          <w:b/>
        </w:rPr>
        <w:tab/>
        <w:t>-</w:t>
      </w:r>
      <w:r>
        <w:rPr>
          <w:b/>
        </w:rPr>
        <w:tab/>
        <w:t xml:space="preserve">Mr. A.K. </w:t>
      </w:r>
      <w:proofErr w:type="spellStart"/>
      <w:r>
        <w:rPr>
          <w:b/>
        </w:rPr>
        <w:t>Maguchu</w:t>
      </w:r>
      <w:proofErr w:type="spellEnd"/>
      <w:r>
        <w:rPr>
          <w:b/>
        </w:rPr>
        <w:t xml:space="preserve"> (Legal Practitioner) </w:t>
      </w:r>
    </w:p>
    <w:p w:rsidR="00A80944" w:rsidRPr="00047C13" w:rsidRDefault="00A80944" w:rsidP="00A80944">
      <w:pPr>
        <w:spacing w:line="360" w:lineRule="auto"/>
        <w:jc w:val="both"/>
        <w:rPr>
          <w:b/>
        </w:rPr>
      </w:pPr>
    </w:p>
    <w:p w:rsidR="00A80944" w:rsidRDefault="00A80944" w:rsidP="00A80944">
      <w:pPr>
        <w:spacing w:line="360" w:lineRule="auto"/>
        <w:jc w:val="both"/>
        <w:rPr>
          <w:b/>
        </w:rPr>
      </w:pPr>
      <w:r>
        <w:rPr>
          <w:b/>
        </w:rPr>
        <w:t>HOVE J:</w:t>
      </w:r>
    </w:p>
    <w:p w:rsidR="00A80944" w:rsidRDefault="00A80944" w:rsidP="00C539EB">
      <w:pPr>
        <w:jc w:val="both"/>
      </w:pPr>
    </w:p>
    <w:p w:rsidR="00EF1447" w:rsidRDefault="00A80944" w:rsidP="0053160F">
      <w:pPr>
        <w:spacing w:line="360" w:lineRule="auto"/>
        <w:ind w:firstLine="720"/>
        <w:jc w:val="both"/>
      </w:pPr>
      <w:r>
        <w:t>This is an application for rescission of Judgment granted by this court on 29 July 2013 dismissing the applicants’ appeal.</w:t>
      </w:r>
    </w:p>
    <w:p w:rsidR="00A80944" w:rsidRDefault="00A80944" w:rsidP="00C539EB">
      <w:pPr>
        <w:jc w:val="both"/>
      </w:pPr>
    </w:p>
    <w:p w:rsidR="00A80944" w:rsidRDefault="00A80944" w:rsidP="0053160F">
      <w:pPr>
        <w:spacing w:line="360" w:lineRule="auto"/>
        <w:ind w:firstLine="720"/>
        <w:jc w:val="both"/>
      </w:pPr>
      <w:r>
        <w:t>On 8 January 2014</w:t>
      </w:r>
      <w:r w:rsidR="00100A64">
        <w:t xml:space="preserve"> </w:t>
      </w:r>
      <w:r>
        <w:t>the applicants applied for rescission of the default order.</w:t>
      </w:r>
    </w:p>
    <w:p w:rsidR="00A80944" w:rsidRDefault="00A80944" w:rsidP="00A80944">
      <w:pPr>
        <w:spacing w:line="360" w:lineRule="auto"/>
        <w:jc w:val="both"/>
      </w:pPr>
      <w:r>
        <w:t>The factors to be considered in an application such as this one are;</w:t>
      </w:r>
    </w:p>
    <w:p w:rsidR="00C539EB" w:rsidRDefault="00C539EB" w:rsidP="00C539EB">
      <w:pPr>
        <w:jc w:val="both"/>
      </w:pPr>
    </w:p>
    <w:p w:rsidR="00A80944" w:rsidRDefault="00A80944" w:rsidP="00A80944">
      <w:pPr>
        <w:pStyle w:val="ListParagraph"/>
        <w:numPr>
          <w:ilvl w:val="0"/>
          <w:numId w:val="1"/>
        </w:numPr>
        <w:spacing w:line="360" w:lineRule="auto"/>
        <w:jc w:val="both"/>
      </w:pPr>
      <w:proofErr w:type="gramStart"/>
      <w:r>
        <w:t>length</w:t>
      </w:r>
      <w:proofErr w:type="gramEnd"/>
      <w:r>
        <w:t xml:space="preserve"> of delay in applying for rescission.</w:t>
      </w:r>
    </w:p>
    <w:p w:rsidR="00A80944" w:rsidRDefault="00A80944" w:rsidP="00A80944">
      <w:pPr>
        <w:pStyle w:val="ListParagraph"/>
        <w:numPr>
          <w:ilvl w:val="0"/>
          <w:numId w:val="1"/>
        </w:numPr>
        <w:spacing w:line="360" w:lineRule="auto"/>
        <w:jc w:val="both"/>
      </w:pPr>
      <w:proofErr w:type="gramStart"/>
      <w:r>
        <w:t>reasons</w:t>
      </w:r>
      <w:proofErr w:type="gramEnd"/>
      <w:r>
        <w:t xml:space="preserve"> for the default.</w:t>
      </w:r>
    </w:p>
    <w:p w:rsidR="00A80944" w:rsidRDefault="00A80944" w:rsidP="00A80944">
      <w:pPr>
        <w:pStyle w:val="ListParagraph"/>
        <w:numPr>
          <w:ilvl w:val="0"/>
          <w:numId w:val="1"/>
        </w:numPr>
        <w:spacing w:line="360" w:lineRule="auto"/>
        <w:jc w:val="both"/>
      </w:pPr>
      <w:proofErr w:type="gramStart"/>
      <w:r>
        <w:t>prospects</w:t>
      </w:r>
      <w:proofErr w:type="gramEnd"/>
      <w:r>
        <w:t xml:space="preserve"> of success, and balance of convenience.</w:t>
      </w:r>
    </w:p>
    <w:p w:rsidR="00C539EB" w:rsidRDefault="00C539EB" w:rsidP="00C539EB">
      <w:pPr>
        <w:pStyle w:val="ListParagraph"/>
        <w:jc w:val="both"/>
      </w:pPr>
    </w:p>
    <w:p w:rsidR="00A80944" w:rsidRDefault="00F55F96" w:rsidP="00A80944">
      <w:pPr>
        <w:spacing w:line="360" w:lineRule="auto"/>
        <w:jc w:val="both"/>
      </w:pPr>
      <w:r w:rsidRPr="00C539EB">
        <w:rPr>
          <w:i/>
        </w:rPr>
        <w:t xml:space="preserve">Du </w:t>
      </w:r>
      <w:proofErr w:type="spellStart"/>
      <w:r w:rsidRPr="00C539EB">
        <w:rPr>
          <w:i/>
        </w:rPr>
        <w:t>Preez</w:t>
      </w:r>
      <w:proofErr w:type="spellEnd"/>
      <w:r>
        <w:t xml:space="preserve"> v </w:t>
      </w:r>
      <w:r w:rsidRPr="00C539EB">
        <w:rPr>
          <w:i/>
        </w:rPr>
        <w:t>Hughes</w:t>
      </w:r>
      <w:r>
        <w:t xml:space="preserve"> 1957 Z</w:t>
      </w:r>
      <w:r w:rsidR="00A80944">
        <w:t>LR 7007</w:t>
      </w:r>
    </w:p>
    <w:p w:rsidR="00A80944" w:rsidRDefault="00A80944" w:rsidP="00A80944">
      <w:pPr>
        <w:spacing w:line="360" w:lineRule="auto"/>
        <w:jc w:val="both"/>
      </w:pPr>
      <w:proofErr w:type="spellStart"/>
      <w:r w:rsidRPr="00C539EB">
        <w:rPr>
          <w:i/>
        </w:rPr>
        <w:t>Songore</w:t>
      </w:r>
      <w:proofErr w:type="spellEnd"/>
      <w:r>
        <w:t xml:space="preserve"> v </w:t>
      </w:r>
      <w:r w:rsidRPr="00C539EB">
        <w:rPr>
          <w:i/>
        </w:rPr>
        <w:t>Olivine Industries (</w:t>
      </w:r>
      <w:proofErr w:type="spellStart"/>
      <w:r w:rsidRPr="00C539EB">
        <w:rPr>
          <w:i/>
        </w:rPr>
        <w:t>Pvt</w:t>
      </w:r>
      <w:proofErr w:type="spellEnd"/>
      <w:r w:rsidRPr="00C539EB">
        <w:rPr>
          <w:i/>
        </w:rPr>
        <w:t>) Ltd</w:t>
      </w:r>
      <w:r>
        <w:t xml:space="preserve"> 1988 (2) ZL</w:t>
      </w:r>
      <w:r w:rsidR="00F55F96">
        <w:t>R 210</w:t>
      </w:r>
    </w:p>
    <w:p w:rsidR="00F55F96" w:rsidRDefault="00F55F96" w:rsidP="00A80944">
      <w:pPr>
        <w:spacing w:line="360" w:lineRule="auto"/>
        <w:jc w:val="both"/>
      </w:pPr>
      <w:proofErr w:type="spellStart"/>
      <w:proofErr w:type="gramStart"/>
      <w:r w:rsidRPr="00C539EB">
        <w:rPr>
          <w:i/>
        </w:rPr>
        <w:t>Simbi</w:t>
      </w:r>
      <w:proofErr w:type="spellEnd"/>
      <w:r>
        <w:t xml:space="preserve"> v </w:t>
      </w:r>
      <w:proofErr w:type="spellStart"/>
      <w:r w:rsidRPr="00C539EB">
        <w:rPr>
          <w:i/>
        </w:rPr>
        <w:t>Simbi</w:t>
      </w:r>
      <w:proofErr w:type="spellEnd"/>
      <w:r>
        <w:t xml:space="preserve"> SC 164/90.</w:t>
      </w:r>
      <w:proofErr w:type="gramEnd"/>
    </w:p>
    <w:p w:rsidR="00F55F96" w:rsidRDefault="00F55F96" w:rsidP="00C539EB">
      <w:pPr>
        <w:jc w:val="both"/>
      </w:pPr>
    </w:p>
    <w:p w:rsidR="00F55F96" w:rsidRDefault="00F55F96" w:rsidP="00D84139">
      <w:pPr>
        <w:spacing w:line="360" w:lineRule="auto"/>
        <w:ind w:firstLine="720"/>
        <w:jc w:val="both"/>
      </w:pPr>
      <w:r>
        <w:t xml:space="preserve">The applicants in </w:t>
      </w:r>
      <w:r w:rsidRPr="00C539EB">
        <w:rPr>
          <w:i/>
        </w:rPr>
        <w:t xml:space="preserve">casu </w:t>
      </w:r>
      <w:r>
        <w:t>must therefore give a reasonable explanation of their default.  If it appears that the default</w:t>
      </w:r>
      <w:r w:rsidR="00100A64">
        <w:t xml:space="preserve"> was wil</w:t>
      </w:r>
      <w:r>
        <w:t>ful or that it was due to gross negligence, the Court should not come to their assistance.</w:t>
      </w:r>
    </w:p>
    <w:p w:rsidR="00F55F96" w:rsidRDefault="00F55F96" w:rsidP="00A80944">
      <w:pPr>
        <w:spacing w:line="360" w:lineRule="auto"/>
        <w:jc w:val="both"/>
      </w:pPr>
    </w:p>
    <w:p w:rsidR="00F55F96" w:rsidRDefault="00F55F96" w:rsidP="0053160F">
      <w:pPr>
        <w:spacing w:line="360" w:lineRule="auto"/>
        <w:ind w:firstLine="720"/>
        <w:jc w:val="both"/>
      </w:pPr>
      <w:r>
        <w:lastRenderedPageBreak/>
        <w:t>The explanation given by the applicants for the default in this case in the founding affidavit</w:t>
      </w:r>
      <w:r w:rsidR="00100A64">
        <w:t>,</w:t>
      </w:r>
      <w:r>
        <w:t xml:space="preserve"> is that while the notice of set down was served at the correct address of service as given in their papers, it was however served on a wrong person o</w:t>
      </w:r>
      <w:r w:rsidR="0053160F">
        <w:t xml:space="preserve">ne </w:t>
      </w:r>
      <w:proofErr w:type="spellStart"/>
      <w:r w:rsidR="0053160F">
        <w:t>Ms</w:t>
      </w:r>
      <w:proofErr w:type="spellEnd"/>
      <w:r w:rsidR="0053160F">
        <w:t xml:space="preserve"> C. </w:t>
      </w:r>
      <w:proofErr w:type="spellStart"/>
      <w:r w:rsidR="0053160F">
        <w:t>Chipanga</w:t>
      </w:r>
      <w:proofErr w:type="spellEnd"/>
      <w:r w:rsidR="0053160F">
        <w:t xml:space="preserve">.  The correct person authorized to receive process in the matter was one </w:t>
      </w:r>
      <w:proofErr w:type="spellStart"/>
      <w:r w:rsidR="0053160F">
        <w:t>Ms</w:t>
      </w:r>
      <w:proofErr w:type="spellEnd"/>
      <w:r w:rsidR="0053160F">
        <w:t xml:space="preserve"> </w:t>
      </w:r>
      <w:proofErr w:type="spellStart"/>
      <w:r w:rsidR="0057079F">
        <w:t>Mpo</w:t>
      </w:r>
      <w:proofErr w:type="spellEnd"/>
      <w:r w:rsidR="0057079F">
        <w:t xml:space="preserve"> </w:t>
      </w:r>
      <w:proofErr w:type="spellStart"/>
      <w:r w:rsidR="0053160F">
        <w:t>Chetsanga</w:t>
      </w:r>
      <w:proofErr w:type="spellEnd"/>
      <w:r w:rsidR="0053160F">
        <w:t xml:space="preserve">.  When the notice of </w:t>
      </w:r>
      <w:r w:rsidR="00111446">
        <w:t xml:space="preserve">set down was served, </w:t>
      </w:r>
      <w:proofErr w:type="spellStart"/>
      <w:r w:rsidR="00111446">
        <w:t>Ms</w:t>
      </w:r>
      <w:proofErr w:type="spellEnd"/>
      <w:r w:rsidR="00111446">
        <w:t xml:space="preserve"> </w:t>
      </w:r>
      <w:proofErr w:type="spellStart"/>
      <w:r w:rsidR="00111446">
        <w:t>Chetsanga</w:t>
      </w:r>
      <w:proofErr w:type="spellEnd"/>
      <w:r w:rsidR="00111446">
        <w:t xml:space="preserve"> had taken two days off work.</w:t>
      </w:r>
    </w:p>
    <w:p w:rsidR="00691BED" w:rsidRDefault="00691BED" w:rsidP="00C539EB">
      <w:pPr>
        <w:ind w:firstLine="720"/>
        <w:jc w:val="both"/>
      </w:pPr>
    </w:p>
    <w:p w:rsidR="00691BED" w:rsidRDefault="00691BED" w:rsidP="0053160F">
      <w:pPr>
        <w:spacing w:line="360" w:lineRule="auto"/>
        <w:ind w:firstLine="720"/>
        <w:jc w:val="both"/>
      </w:pPr>
      <w:r>
        <w:t>In the heads of arguments filed in their behalf, the applicants submitted that they were never aware that service of the notice of set down had been served on them.  The Labour consultants did not advise the applicants of the service.</w:t>
      </w:r>
    </w:p>
    <w:p w:rsidR="00691BED" w:rsidRDefault="00691BED" w:rsidP="00C539EB">
      <w:pPr>
        <w:ind w:firstLine="720"/>
        <w:jc w:val="both"/>
      </w:pPr>
    </w:p>
    <w:p w:rsidR="00691BED" w:rsidRDefault="00691BED" w:rsidP="0053160F">
      <w:pPr>
        <w:spacing w:line="360" w:lineRule="auto"/>
        <w:ind w:firstLine="720"/>
        <w:jc w:val="both"/>
      </w:pPr>
      <w:r>
        <w:t>A point was taken by the Respondents that this explanation about the Labour consultant not advising them was being improperly placed before the court.  It was not the explanation given in the founding affidavit and new facts cannot be placed before the court by way of heads of arguments.</w:t>
      </w:r>
    </w:p>
    <w:p w:rsidR="00691BED" w:rsidRDefault="00691BED" w:rsidP="00C539EB">
      <w:pPr>
        <w:ind w:firstLine="720"/>
        <w:jc w:val="both"/>
      </w:pPr>
    </w:p>
    <w:p w:rsidR="00100A64" w:rsidRDefault="00691BED" w:rsidP="0053160F">
      <w:pPr>
        <w:spacing w:line="360" w:lineRule="auto"/>
        <w:ind w:firstLine="720"/>
        <w:jc w:val="both"/>
      </w:pPr>
      <w:r>
        <w:t xml:space="preserve">That </w:t>
      </w:r>
      <w:r w:rsidR="00735453">
        <w:t xml:space="preserve">this </w:t>
      </w:r>
      <w:r>
        <w:t xml:space="preserve">is the correct position of </w:t>
      </w:r>
      <w:proofErr w:type="gramStart"/>
      <w:r>
        <w:t>law</w:t>
      </w:r>
      <w:r w:rsidR="00735453">
        <w:t>,</w:t>
      </w:r>
      <w:proofErr w:type="gramEnd"/>
      <w:r>
        <w:t xml:space="preserve"> is trite.  A </w:t>
      </w:r>
      <w:r w:rsidR="00100A64">
        <w:t>litigant</w:t>
      </w:r>
      <w:r>
        <w:t xml:space="preserve"> cannot introduce new facts which are not in the founding papers in their heads of argument</w:t>
      </w:r>
      <w:r w:rsidR="00100A64">
        <w:t>.  E</w:t>
      </w:r>
      <w:r>
        <w:t xml:space="preserve">vidence must be sworn to in an affidavit by a person who has knowledge of those facts and can properly attest to it.  </w:t>
      </w:r>
    </w:p>
    <w:p w:rsidR="00735453" w:rsidRDefault="00735453" w:rsidP="00735453">
      <w:pPr>
        <w:spacing w:line="276" w:lineRule="auto"/>
        <w:ind w:firstLine="720"/>
        <w:jc w:val="both"/>
      </w:pPr>
    </w:p>
    <w:p w:rsidR="00691BED" w:rsidRDefault="00691BED" w:rsidP="0053160F">
      <w:pPr>
        <w:spacing w:line="360" w:lineRule="auto"/>
        <w:ind w:firstLine="720"/>
        <w:jc w:val="both"/>
      </w:pPr>
      <w:r>
        <w:t>Even if that evidence were to be found to be properly before the court, (which I do not) it would</w:t>
      </w:r>
      <w:r w:rsidR="00CC24F1">
        <w:t xml:space="preserve"> only serve to show that the ex</w:t>
      </w:r>
      <w:r>
        <w:t>planation being given for the default is not</w:t>
      </w:r>
      <w:r w:rsidR="00100A64">
        <w:t xml:space="preserve"> a</w:t>
      </w:r>
      <w:r>
        <w:t xml:space="preserve"> bona fide</w:t>
      </w:r>
      <w:r w:rsidR="00100A64">
        <w:t xml:space="preserve"> one.  I</w:t>
      </w:r>
      <w:r>
        <w:t>f their consultant had lost interest in the matter and neglected to bring to the applicants the service of the affidavit</w:t>
      </w:r>
      <w:r w:rsidR="000D77DB">
        <w:t xml:space="preserve">, then the applicants would not have neglected to include this in their </w:t>
      </w:r>
      <w:r w:rsidR="00100A64">
        <w:t>founding</w:t>
      </w:r>
      <w:r w:rsidR="000D77DB">
        <w:t xml:space="preserve"> papers.</w:t>
      </w:r>
    </w:p>
    <w:p w:rsidR="000D77DB" w:rsidRDefault="000D77DB" w:rsidP="00A910E2">
      <w:pPr>
        <w:spacing w:line="276" w:lineRule="auto"/>
        <w:ind w:firstLine="720"/>
        <w:jc w:val="both"/>
      </w:pPr>
    </w:p>
    <w:p w:rsidR="000D77DB" w:rsidRDefault="000D77DB" w:rsidP="000D77DB">
      <w:pPr>
        <w:spacing w:line="360" w:lineRule="auto"/>
        <w:jc w:val="both"/>
      </w:pPr>
      <w:r>
        <w:tab/>
        <w:t>As matter stand now, the court is not sure which one of the two explanations proffered is the correct explanation.  The Court is of the opinion that the applicants are not being truthful but manufacturing what they think may pass as a reasonable explanation.</w:t>
      </w:r>
    </w:p>
    <w:p w:rsidR="000D77DB" w:rsidRDefault="000D77DB" w:rsidP="00C539EB">
      <w:pPr>
        <w:jc w:val="both"/>
      </w:pPr>
    </w:p>
    <w:p w:rsidR="000D77DB" w:rsidRDefault="000D77DB" w:rsidP="000D77DB">
      <w:pPr>
        <w:spacing w:line="360" w:lineRule="auto"/>
        <w:jc w:val="both"/>
      </w:pPr>
      <w:r>
        <w:tab/>
        <w:t xml:space="preserve">The two explanations even if they were the truthful explanations, </w:t>
      </w:r>
      <w:r w:rsidR="00100A64">
        <w:t>are not</w:t>
      </w:r>
      <w:r>
        <w:t xml:space="preserve"> reasonable explanations</w:t>
      </w:r>
      <w:r w:rsidR="00100A64">
        <w:t>.  F</w:t>
      </w:r>
      <w:r>
        <w:t xml:space="preserve">irstly it is the applicants who gave the address for service </w:t>
      </w:r>
      <w:r>
        <w:lastRenderedPageBreak/>
        <w:t xml:space="preserve">but neglected to include that service was to be served on a </w:t>
      </w:r>
      <w:r w:rsidR="0057079F">
        <w:t xml:space="preserve">specific person </w:t>
      </w:r>
      <w:r w:rsidR="00100A64">
        <w:t>at</w:t>
      </w:r>
      <w:r w:rsidR="0057079F">
        <w:t xml:space="preserve"> the premises.  They could have given the address of service with the qualification that it would be care of </w:t>
      </w:r>
      <w:proofErr w:type="spellStart"/>
      <w:r w:rsidR="0057079F">
        <w:t>Ms</w:t>
      </w:r>
      <w:proofErr w:type="spellEnd"/>
      <w:r w:rsidR="0057079F">
        <w:t xml:space="preserve"> </w:t>
      </w:r>
      <w:proofErr w:type="spellStart"/>
      <w:r w:rsidR="0057079F">
        <w:t>Mpo</w:t>
      </w:r>
      <w:proofErr w:type="spellEnd"/>
      <w:r w:rsidR="0057079F">
        <w:t xml:space="preserve"> </w:t>
      </w:r>
      <w:proofErr w:type="spellStart"/>
      <w:r w:rsidR="0057079F">
        <w:t>Chetsanga</w:t>
      </w:r>
      <w:proofErr w:type="spellEnd"/>
      <w:r w:rsidR="0057079F">
        <w:t xml:space="preserve">. </w:t>
      </w:r>
      <w:r w:rsidR="00A65939">
        <w:t xml:space="preserve">They knew that </w:t>
      </w:r>
      <w:proofErr w:type="spellStart"/>
      <w:r w:rsidR="00A65939">
        <w:t>Ms</w:t>
      </w:r>
      <w:proofErr w:type="spellEnd"/>
      <w:r w:rsidR="00A65939">
        <w:t xml:space="preserve"> </w:t>
      </w:r>
      <w:proofErr w:type="spellStart"/>
      <w:r w:rsidR="00A65939">
        <w:t>Chipanga</w:t>
      </w:r>
      <w:proofErr w:type="spellEnd"/>
      <w:r w:rsidR="00A65939">
        <w:t xml:space="preserve"> shared the same office space.  How was the </w:t>
      </w:r>
      <w:r w:rsidR="00C539EB">
        <w:t>other side</w:t>
      </w:r>
      <w:r w:rsidR="00A65939">
        <w:t xml:space="preserve"> expected to know that service was to be on a particular person if the one giving the </w:t>
      </w:r>
      <w:r w:rsidR="004B786C">
        <w:t xml:space="preserve">address of service neglected to be </w:t>
      </w:r>
      <w:r w:rsidR="00C539EB">
        <w:t>specific?</w:t>
      </w:r>
      <w:r w:rsidR="004B786C">
        <w:t xml:space="preserve">  How were they to know that the specific person was off </w:t>
      </w:r>
      <w:r w:rsidR="00C539EB">
        <w:t>work?</w:t>
      </w:r>
    </w:p>
    <w:p w:rsidR="004B786C" w:rsidRDefault="004B786C" w:rsidP="00C539EB">
      <w:pPr>
        <w:jc w:val="both"/>
      </w:pPr>
    </w:p>
    <w:p w:rsidR="004B786C" w:rsidRDefault="004B786C" w:rsidP="000D77DB">
      <w:pPr>
        <w:spacing w:line="360" w:lineRule="auto"/>
        <w:jc w:val="both"/>
      </w:pPr>
      <w:r>
        <w:tab/>
        <w:t xml:space="preserve">It is unreasonable to expect the </w:t>
      </w:r>
      <w:r w:rsidR="00C539EB">
        <w:t>other side</w:t>
      </w:r>
      <w:r>
        <w:t xml:space="preserve"> to avoid service on a particular person, unless you had so indicated.  In the circumstances service was properly made </w:t>
      </w:r>
      <w:r w:rsidR="00100A64">
        <w:t>at</w:t>
      </w:r>
      <w:r>
        <w:t xml:space="preserve"> the given address of service.</w:t>
      </w:r>
    </w:p>
    <w:p w:rsidR="004B786C" w:rsidRDefault="004B786C" w:rsidP="00C539EB">
      <w:pPr>
        <w:jc w:val="both"/>
      </w:pPr>
    </w:p>
    <w:p w:rsidR="004B786C" w:rsidRDefault="004B786C" w:rsidP="000D77DB">
      <w:pPr>
        <w:spacing w:line="360" w:lineRule="auto"/>
        <w:jc w:val="both"/>
      </w:pPr>
      <w:r>
        <w:tab/>
        <w:t>Secondly, the explanation that their consultant had lost interest is again not a reasonable one.  There is no aff</w:t>
      </w:r>
      <w:r w:rsidR="00100A64">
        <w:t>idavit f</w:t>
      </w:r>
      <w:r>
        <w:t>r</w:t>
      </w:r>
      <w:r w:rsidR="00100A64">
        <w:t>om</w:t>
      </w:r>
      <w:r>
        <w:t xml:space="preserve"> the consultant indicating that this was so.  It only comes up in the heads of argument showing that it is only an </w:t>
      </w:r>
      <w:proofErr w:type="spellStart"/>
      <w:r>
        <w:t>after though</w:t>
      </w:r>
      <w:r w:rsidR="000551DD">
        <w:t>t</w:t>
      </w:r>
      <w:proofErr w:type="spellEnd"/>
      <w:r>
        <w:t xml:space="preserve"> by the applicants otherwise they could not have failed to include it in the </w:t>
      </w:r>
      <w:r w:rsidR="000551DD">
        <w:t>founding</w:t>
      </w:r>
      <w:r>
        <w:t xml:space="preserve"> </w:t>
      </w:r>
      <w:r w:rsidR="000551DD">
        <w:t>affidavit.</w:t>
      </w:r>
    </w:p>
    <w:p w:rsidR="004B786C" w:rsidRDefault="004B786C" w:rsidP="00C539EB">
      <w:pPr>
        <w:jc w:val="both"/>
      </w:pPr>
    </w:p>
    <w:p w:rsidR="004B786C" w:rsidRDefault="004B786C" w:rsidP="000D77DB">
      <w:pPr>
        <w:spacing w:line="360" w:lineRule="auto"/>
        <w:jc w:val="both"/>
      </w:pPr>
      <w:r>
        <w:tab/>
        <w:t xml:space="preserve">I am not persuaded that there is a reasonable explanation especially because there are no affidavits from either </w:t>
      </w:r>
      <w:proofErr w:type="spellStart"/>
      <w:r>
        <w:t>Ms</w:t>
      </w:r>
      <w:proofErr w:type="spellEnd"/>
      <w:r>
        <w:t xml:space="preserve"> </w:t>
      </w:r>
      <w:proofErr w:type="spellStart"/>
      <w:r>
        <w:t>Chetsanga</w:t>
      </w:r>
      <w:proofErr w:type="spellEnd"/>
      <w:r>
        <w:t xml:space="preserve"> or </w:t>
      </w:r>
      <w:proofErr w:type="spellStart"/>
      <w:r>
        <w:t>Ms</w:t>
      </w:r>
      <w:proofErr w:type="spellEnd"/>
      <w:r>
        <w:t xml:space="preserve"> </w:t>
      </w:r>
      <w:proofErr w:type="spellStart"/>
      <w:r>
        <w:t>Chipanga</w:t>
      </w:r>
      <w:proofErr w:type="spellEnd"/>
      <w:r w:rsidR="000551DD">
        <w:t xml:space="preserve"> neither is there an affidavit from the consultant</w:t>
      </w:r>
      <w:r>
        <w:t>.</w:t>
      </w:r>
    </w:p>
    <w:p w:rsidR="004B786C" w:rsidRDefault="004B786C" w:rsidP="00C539EB">
      <w:pPr>
        <w:jc w:val="both"/>
      </w:pPr>
    </w:p>
    <w:p w:rsidR="004B786C" w:rsidRDefault="004B786C" w:rsidP="000D77DB">
      <w:pPr>
        <w:spacing w:line="360" w:lineRule="auto"/>
        <w:jc w:val="both"/>
      </w:pPr>
      <w:r>
        <w:tab/>
        <w:t xml:space="preserve">As argued by the respondent, the applicants cannot attest to facts that they have no knowledge of.  The fact that service was on a day that </w:t>
      </w:r>
      <w:proofErr w:type="spellStart"/>
      <w:r>
        <w:t>Chatsenga</w:t>
      </w:r>
      <w:proofErr w:type="spellEnd"/>
      <w:r>
        <w:t xml:space="preserve"> was off work or that </w:t>
      </w:r>
      <w:proofErr w:type="spellStart"/>
      <w:r>
        <w:t>Chipanga</w:t>
      </w:r>
      <w:proofErr w:type="spellEnd"/>
      <w:r>
        <w:t xml:space="preserve"> acc</w:t>
      </w:r>
      <w:r w:rsidR="00C539EB">
        <w:t xml:space="preserve">epted service but did not tell </w:t>
      </w:r>
      <w:proofErr w:type="spellStart"/>
      <w:r w:rsidR="00C539EB">
        <w:t>C</w:t>
      </w:r>
      <w:r>
        <w:t>hetsanga</w:t>
      </w:r>
      <w:proofErr w:type="spellEnd"/>
      <w:r>
        <w:t xml:space="preserve"> is not in the personal</w:t>
      </w:r>
      <w:r w:rsidR="00207028">
        <w:t xml:space="preserve"> knowledge of either of the applicants.</w:t>
      </w:r>
    </w:p>
    <w:p w:rsidR="00207028" w:rsidRDefault="00207028" w:rsidP="00C539EB">
      <w:pPr>
        <w:jc w:val="both"/>
      </w:pPr>
    </w:p>
    <w:p w:rsidR="00207028" w:rsidRDefault="00207028" w:rsidP="000D77DB">
      <w:pPr>
        <w:spacing w:line="360" w:lineRule="auto"/>
        <w:jc w:val="both"/>
      </w:pPr>
      <w:r>
        <w:tab/>
        <w:t xml:space="preserve">In this regard see the case of </w:t>
      </w:r>
      <w:r w:rsidRPr="00C539EB">
        <w:rPr>
          <w:i/>
        </w:rPr>
        <w:t>Time Bank of Zimbabwe Ltd</w:t>
      </w:r>
      <w:r>
        <w:t xml:space="preserve"> v </w:t>
      </w:r>
      <w:proofErr w:type="spellStart"/>
      <w:r w:rsidRPr="00C539EB">
        <w:rPr>
          <w:i/>
        </w:rPr>
        <w:t>Moyo</w:t>
      </w:r>
      <w:proofErr w:type="spellEnd"/>
      <w:r>
        <w:t xml:space="preserve"> 2002 (1) 121 (H) where the court stated that an affidavit should be deposed by a person who can swear positively to the facts.  There is thus no explanation before the court for the default</w:t>
      </w:r>
      <w:r w:rsidR="000551DD">
        <w:t>. E</w:t>
      </w:r>
      <w:r>
        <w:t>ven if I was to bend over backwards and allow the applicants to proceed to argue their matter, they have a hopeless case.</w:t>
      </w:r>
    </w:p>
    <w:p w:rsidR="00207028" w:rsidRDefault="00207028" w:rsidP="000D77DB">
      <w:pPr>
        <w:spacing w:line="360" w:lineRule="auto"/>
        <w:jc w:val="both"/>
      </w:pPr>
    </w:p>
    <w:p w:rsidR="00207028" w:rsidRDefault="00207028" w:rsidP="000D77DB">
      <w:pPr>
        <w:spacing w:line="360" w:lineRule="auto"/>
        <w:jc w:val="both"/>
      </w:pPr>
      <w:r>
        <w:t>The appeal that they seek to reinstate is improperly before the court.  It was filed out of</w:t>
      </w:r>
      <w:r w:rsidR="000551DD">
        <w:t xml:space="preserve"> time</w:t>
      </w:r>
      <w:r>
        <w:t xml:space="preserve"> no application for condonation was ever made inspite of this having been </w:t>
      </w:r>
      <w:r>
        <w:lastRenderedPageBreak/>
        <w:t xml:space="preserve">pointed out </w:t>
      </w:r>
      <w:r w:rsidR="000551DD">
        <w:t>by</w:t>
      </w:r>
      <w:r>
        <w:t xml:space="preserve"> the </w:t>
      </w:r>
      <w:proofErr w:type="spellStart"/>
      <w:r w:rsidR="000551DD">
        <w:t>repondent</w:t>
      </w:r>
      <w:proofErr w:type="spellEnd"/>
      <w:r>
        <w:t xml:space="preserve"> in the opposing papers filed in response to the application for rescission.</w:t>
      </w:r>
    </w:p>
    <w:p w:rsidR="00207028" w:rsidRDefault="00207028" w:rsidP="00C539EB">
      <w:pPr>
        <w:jc w:val="both"/>
      </w:pPr>
    </w:p>
    <w:p w:rsidR="00207028" w:rsidRDefault="00207028" w:rsidP="000D77DB">
      <w:pPr>
        <w:spacing w:line="360" w:lineRule="auto"/>
        <w:jc w:val="both"/>
      </w:pPr>
      <w:r>
        <w:tab/>
        <w:t>The law requires that the applicants submit</w:t>
      </w:r>
      <w:r w:rsidR="000551DD">
        <w:t>s</w:t>
      </w:r>
      <w:r w:rsidR="00735453">
        <w:t>,</w:t>
      </w:r>
      <w:r w:rsidR="000551DD">
        <w:t xml:space="preserve"> in </w:t>
      </w:r>
      <w:r w:rsidR="00735453">
        <w:t>the application</w:t>
      </w:r>
      <w:r w:rsidR="000551DD">
        <w:t xml:space="preserve"> for rescission</w:t>
      </w:r>
      <w:proofErr w:type="gramStart"/>
      <w:r w:rsidR="00735453">
        <w:t>,</w:t>
      </w:r>
      <w:r w:rsidR="00DD376B">
        <w:t xml:space="preserve"> </w:t>
      </w:r>
      <w:r>
        <w:t xml:space="preserve"> their</w:t>
      </w:r>
      <w:proofErr w:type="gramEnd"/>
      <w:r>
        <w:t xml:space="preserve"> prospects of success.</w:t>
      </w:r>
    </w:p>
    <w:p w:rsidR="00207028" w:rsidRDefault="00207028" w:rsidP="000D77DB">
      <w:pPr>
        <w:spacing w:line="360" w:lineRule="auto"/>
        <w:jc w:val="both"/>
      </w:pPr>
      <w:proofErr w:type="gramStart"/>
      <w:r w:rsidRPr="00C539EB">
        <w:rPr>
          <w:i/>
        </w:rPr>
        <w:t>Wild Cat (</w:t>
      </w:r>
      <w:proofErr w:type="spellStart"/>
      <w:r w:rsidRPr="00C539EB">
        <w:rPr>
          <w:i/>
        </w:rPr>
        <w:t>Pvt</w:t>
      </w:r>
      <w:proofErr w:type="spellEnd"/>
      <w:r w:rsidRPr="00C539EB">
        <w:rPr>
          <w:i/>
        </w:rPr>
        <w:t>) Ltd</w:t>
      </w:r>
      <w:r>
        <w:t xml:space="preserve"> v </w:t>
      </w:r>
      <w:proofErr w:type="spellStart"/>
      <w:r w:rsidRPr="00C539EB">
        <w:rPr>
          <w:i/>
        </w:rPr>
        <w:t>Tundu</w:t>
      </w:r>
      <w:proofErr w:type="spellEnd"/>
      <w:r w:rsidRPr="00C539EB">
        <w:rPr>
          <w:i/>
        </w:rPr>
        <w:t xml:space="preserve"> Distributors (</w:t>
      </w:r>
      <w:proofErr w:type="spellStart"/>
      <w:r w:rsidRPr="00C539EB">
        <w:rPr>
          <w:i/>
        </w:rPr>
        <w:t>Pvt</w:t>
      </w:r>
      <w:proofErr w:type="spellEnd"/>
      <w:r w:rsidRPr="00C539EB">
        <w:rPr>
          <w:i/>
        </w:rPr>
        <w:t>) Ltd</w:t>
      </w:r>
      <w:r>
        <w:t xml:space="preserve"> 1990 (1) ZLR 133 (H).</w:t>
      </w:r>
      <w:proofErr w:type="gramEnd"/>
    </w:p>
    <w:p w:rsidR="00207028" w:rsidRDefault="00207028" w:rsidP="00C539EB">
      <w:pPr>
        <w:jc w:val="both"/>
      </w:pPr>
    </w:p>
    <w:p w:rsidR="00207028" w:rsidRDefault="00207028" w:rsidP="000D77DB">
      <w:pPr>
        <w:spacing w:line="360" w:lineRule="auto"/>
        <w:jc w:val="both"/>
      </w:pPr>
      <w:r>
        <w:tab/>
        <w:t xml:space="preserve">I do not see how the applicant can </w:t>
      </w:r>
      <w:r w:rsidR="00C539EB">
        <w:t>overcome</w:t>
      </w:r>
      <w:r>
        <w:t xml:space="preserve"> the preliminary point raised that the appeal is itself out of time and therefore a nullity particularly as no attempt has been made to apply for condonation of late noting of </w:t>
      </w:r>
      <w:r w:rsidR="00874D3C">
        <w:t xml:space="preserve">appeal against a judgment given more </w:t>
      </w:r>
      <w:proofErr w:type="spellStart"/>
      <w:r w:rsidR="00874D3C">
        <w:t>that</w:t>
      </w:r>
      <w:proofErr w:type="spellEnd"/>
      <w:r w:rsidR="00874D3C">
        <w:t xml:space="preserve"> 8 months ago.</w:t>
      </w:r>
    </w:p>
    <w:p w:rsidR="00874D3C" w:rsidRDefault="00874D3C" w:rsidP="00C539EB">
      <w:pPr>
        <w:jc w:val="both"/>
      </w:pPr>
    </w:p>
    <w:p w:rsidR="007E141B" w:rsidRDefault="00874D3C" w:rsidP="000D77DB">
      <w:pPr>
        <w:spacing w:line="360" w:lineRule="auto"/>
        <w:jc w:val="both"/>
      </w:pPr>
      <w:r>
        <w:tab/>
        <w:t xml:space="preserve">On the actual merits of the matter, the applicants again have a very weak case.  The applicants voluntarily signed the agreements to terminate their employment.  No duress or </w:t>
      </w:r>
      <w:r w:rsidR="000551DD">
        <w:t>some</w:t>
      </w:r>
      <w:r>
        <w:t xml:space="preserve"> misrepresentation is alleged to have induced them into signing.  Once it is accepted that they signed to terminate their employment contracts the employer was then not obliged to initiate retrenchment proceedings in terms of the </w:t>
      </w:r>
      <w:r w:rsidR="007E141B">
        <w:t>Labour Act.</w:t>
      </w:r>
    </w:p>
    <w:p w:rsidR="007E141B" w:rsidRDefault="007E141B" w:rsidP="00C539EB">
      <w:pPr>
        <w:jc w:val="both"/>
      </w:pPr>
    </w:p>
    <w:p w:rsidR="007E141B" w:rsidRDefault="007E141B" w:rsidP="000D77DB">
      <w:pPr>
        <w:spacing w:line="360" w:lineRule="auto"/>
        <w:jc w:val="both"/>
      </w:pPr>
      <w:r>
        <w:t xml:space="preserve">In the case of </w:t>
      </w:r>
    </w:p>
    <w:p w:rsidR="007E141B" w:rsidRDefault="007E141B" w:rsidP="000D77DB">
      <w:pPr>
        <w:spacing w:line="360" w:lineRule="auto"/>
        <w:jc w:val="both"/>
      </w:pPr>
      <w:r w:rsidRPr="00C539EB">
        <w:rPr>
          <w:i/>
        </w:rPr>
        <w:t xml:space="preserve">Retrenched Employees of </w:t>
      </w:r>
      <w:proofErr w:type="spellStart"/>
      <w:r w:rsidRPr="00C539EB">
        <w:rPr>
          <w:i/>
        </w:rPr>
        <w:t>Natbrew</w:t>
      </w:r>
      <w:proofErr w:type="spellEnd"/>
      <w:r>
        <w:t xml:space="preserve"> v </w:t>
      </w:r>
      <w:proofErr w:type="spellStart"/>
      <w:r w:rsidRPr="00C539EB">
        <w:rPr>
          <w:i/>
        </w:rPr>
        <w:t>Natbrew</w:t>
      </w:r>
      <w:proofErr w:type="spellEnd"/>
      <w:r>
        <w:t xml:space="preserve"> SC 121-02</w:t>
      </w:r>
    </w:p>
    <w:p w:rsidR="007E141B" w:rsidRDefault="007E141B" w:rsidP="000D77DB">
      <w:pPr>
        <w:spacing w:line="360" w:lineRule="auto"/>
        <w:jc w:val="both"/>
      </w:pPr>
      <w:proofErr w:type="gramStart"/>
      <w:r>
        <w:t>the</w:t>
      </w:r>
      <w:proofErr w:type="gramEnd"/>
      <w:r>
        <w:t xml:space="preserve"> court stated that</w:t>
      </w:r>
    </w:p>
    <w:p w:rsidR="007E141B" w:rsidRDefault="007E141B" w:rsidP="000D77DB">
      <w:pPr>
        <w:spacing w:line="360" w:lineRule="auto"/>
        <w:jc w:val="both"/>
      </w:pPr>
    </w:p>
    <w:p w:rsidR="007E141B" w:rsidRDefault="007E141B" w:rsidP="00C539EB">
      <w:pPr>
        <w:spacing w:line="276" w:lineRule="auto"/>
        <w:ind w:left="720"/>
        <w:jc w:val="both"/>
      </w:pPr>
      <w:r w:rsidRPr="00C539EB">
        <w:rPr>
          <w:sz w:val="22"/>
          <w:szCs w:val="22"/>
        </w:rPr>
        <w:t>“</w:t>
      </w:r>
      <w:proofErr w:type="gramStart"/>
      <w:r w:rsidRPr="00C539EB">
        <w:rPr>
          <w:sz w:val="22"/>
          <w:szCs w:val="22"/>
        </w:rPr>
        <w:t>in</w:t>
      </w:r>
      <w:proofErr w:type="gramEnd"/>
      <w:r w:rsidRPr="00C539EB">
        <w:rPr>
          <w:sz w:val="22"/>
          <w:szCs w:val="22"/>
        </w:rPr>
        <w:t xml:space="preserve"> other words, if an employer and an employee decide and agree to part, for whatever reasons, and the agreement is in writing, then the retrenchment procedures fall away.  There is no need to go through the steps laid down for retrenchment</w:t>
      </w:r>
      <w:r>
        <w:t>.”</w:t>
      </w:r>
    </w:p>
    <w:p w:rsidR="007E141B" w:rsidRDefault="007E141B" w:rsidP="00C539EB">
      <w:pPr>
        <w:jc w:val="both"/>
      </w:pPr>
    </w:p>
    <w:p w:rsidR="007E141B" w:rsidRDefault="007E141B" w:rsidP="000D77DB">
      <w:pPr>
        <w:spacing w:line="360" w:lineRule="auto"/>
        <w:jc w:val="both"/>
      </w:pPr>
      <w:r>
        <w:tab/>
        <w:t xml:space="preserve">Further the applicants accepted the benefits in terms of their agreements to terminate their contracts of employment.  They are </w:t>
      </w:r>
      <w:r w:rsidR="000551DD">
        <w:t>es</w:t>
      </w:r>
      <w:r>
        <w:t xml:space="preserve">topped from </w:t>
      </w:r>
      <w:r w:rsidR="00C539EB">
        <w:t>reneging</w:t>
      </w:r>
      <w:r>
        <w:t xml:space="preserve"> on the contracts</w:t>
      </w:r>
      <w:r w:rsidR="00735453">
        <w:t>.  O</w:t>
      </w:r>
      <w:r>
        <w:t>nce they accepted the benefits they waived their rights to challenge the termination.</w:t>
      </w:r>
    </w:p>
    <w:p w:rsidR="00C539EB" w:rsidRDefault="00C539EB" w:rsidP="00C539EB">
      <w:pPr>
        <w:jc w:val="both"/>
      </w:pPr>
    </w:p>
    <w:p w:rsidR="007E141B" w:rsidRDefault="007E141B" w:rsidP="000D77DB">
      <w:pPr>
        <w:spacing w:line="360" w:lineRule="auto"/>
        <w:jc w:val="both"/>
      </w:pPr>
      <w:r>
        <w:t xml:space="preserve">See the case of </w:t>
      </w:r>
      <w:proofErr w:type="spellStart"/>
      <w:r w:rsidRPr="006E4FFD">
        <w:rPr>
          <w:i/>
        </w:rPr>
        <w:t>Chidziva</w:t>
      </w:r>
      <w:proofErr w:type="spellEnd"/>
      <w:r w:rsidRPr="006E4FFD">
        <w:rPr>
          <w:i/>
        </w:rPr>
        <w:t xml:space="preserve"> &amp; Others</w:t>
      </w:r>
      <w:r>
        <w:t xml:space="preserve"> v </w:t>
      </w:r>
      <w:proofErr w:type="spellStart"/>
      <w:r w:rsidRPr="006E4FFD">
        <w:rPr>
          <w:i/>
        </w:rPr>
        <w:t>Ziscosteel</w:t>
      </w:r>
      <w:proofErr w:type="spellEnd"/>
      <w:r>
        <w:t xml:space="preserve"> 1997 (2) </w:t>
      </w:r>
      <w:r w:rsidR="00192EFA">
        <w:t xml:space="preserve">ZLR 386 (S) where the principle </w:t>
      </w:r>
      <w:r w:rsidR="00735453">
        <w:t xml:space="preserve">           </w:t>
      </w:r>
      <w:r>
        <w:t xml:space="preserve">was </w:t>
      </w:r>
      <w:r w:rsidR="00735453">
        <w:t xml:space="preserve">       </w:t>
      </w:r>
      <w:r>
        <w:t xml:space="preserve">accepted </w:t>
      </w:r>
      <w:r w:rsidR="00735453">
        <w:t xml:space="preserve">          </w:t>
      </w:r>
      <w:r>
        <w:t>that</w:t>
      </w:r>
      <w:r w:rsidR="000551DD">
        <w:t xml:space="preserve"> </w:t>
      </w:r>
      <w:r w:rsidR="00735453">
        <w:t xml:space="preserve">           </w:t>
      </w:r>
      <w:r w:rsidR="000551DD">
        <w:t>a</w:t>
      </w:r>
      <w:r w:rsidR="00192EFA">
        <w:t xml:space="preserve"> </w:t>
      </w:r>
      <w:r w:rsidR="00735453">
        <w:t xml:space="preserve">                                    </w:t>
      </w:r>
      <w:r w:rsidR="00192EFA">
        <w:lastRenderedPageBreak/>
        <w:t xml:space="preserve">party waives its rights, if with full knowledge of its </w:t>
      </w:r>
      <w:r w:rsidR="00735453">
        <w:t xml:space="preserve">rights </w:t>
      </w:r>
      <w:r w:rsidR="00192EFA">
        <w:t xml:space="preserve">knowingly abandons those                                                                                                                                                                                                                                                         </w:t>
      </w:r>
      <w:r>
        <w:t xml:space="preserve"> </w:t>
      </w:r>
      <w:r w:rsidR="006E4FFD">
        <w:t xml:space="preserve">rights.  In </w:t>
      </w:r>
      <w:r w:rsidR="006E4FFD" w:rsidRPr="00735453">
        <w:rPr>
          <w:i/>
        </w:rPr>
        <w:t>casu</w:t>
      </w:r>
      <w:r w:rsidR="006E4FFD">
        <w:t>, they accepted the benefits in full and final settlement.  I do not believe that they have any prospects of success on the merits.</w:t>
      </w:r>
    </w:p>
    <w:p w:rsidR="006E4FFD" w:rsidRDefault="006E4FFD" w:rsidP="006E4FFD">
      <w:pPr>
        <w:jc w:val="both"/>
      </w:pPr>
    </w:p>
    <w:p w:rsidR="006E4FFD" w:rsidRDefault="006E4FFD" w:rsidP="000D77DB">
      <w:pPr>
        <w:spacing w:line="360" w:lineRule="auto"/>
        <w:jc w:val="both"/>
      </w:pPr>
      <w:r>
        <w:tab/>
        <w:t>In the result, the application for rescission of the default order must fail.</w:t>
      </w:r>
    </w:p>
    <w:p w:rsidR="006E4FFD" w:rsidRDefault="006E4FFD" w:rsidP="006E4FFD">
      <w:pPr>
        <w:jc w:val="both"/>
      </w:pPr>
    </w:p>
    <w:p w:rsidR="006E4FFD" w:rsidRDefault="006E4FFD" w:rsidP="000D77DB">
      <w:pPr>
        <w:spacing w:line="360" w:lineRule="auto"/>
        <w:jc w:val="both"/>
      </w:pPr>
      <w:r>
        <w:t>I therefore make the following order;</w:t>
      </w:r>
    </w:p>
    <w:p w:rsidR="006E4FFD" w:rsidRDefault="006E4FFD" w:rsidP="000D77DB">
      <w:pPr>
        <w:spacing w:line="360" w:lineRule="auto"/>
        <w:jc w:val="both"/>
      </w:pPr>
      <w:r>
        <w:t>The application for rescission is dismissed with costs.</w:t>
      </w:r>
    </w:p>
    <w:p w:rsidR="006E4FFD" w:rsidRDefault="006E4FFD" w:rsidP="000D77DB">
      <w:pPr>
        <w:spacing w:line="360" w:lineRule="auto"/>
        <w:jc w:val="both"/>
      </w:pPr>
    </w:p>
    <w:p w:rsidR="006E4FFD" w:rsidRDefault="006E4FFD" w:rsidP="000D77DB">
      <w:pPr>
        <w:spacing w:line="360" w:lineRule="auto"/>
        <w:jc w:val="both"/>
      </w:pPr>
    </w:p>
    <w:p w:rsidR="006E4FFD" w:rsidRDefault="006E4FFD" w:rsidP="000D77DB">
      <w:pPr>
        <w:spacing w:line="360" w:lineRule="auto"/>
        <w:jc w:val="both"/>
      </w:pPr>
    </w:p>
    <w:p w:rsidR="006E4FFD" w:rsidRDefault="006E4FFD" w:rsidP="000D77DB">
      <w:pPr>
        <w:spacing w:line="360" w:lineRule="auto"/>
        <w:jc w:val="both"/>
      </w:pPr>
    </w:p>
    <w:p w:rsidR="006E4FFD" w:rsidRPr="006E4FFD" w:rsidRDefault="006E4FFD" w:rsidP="000D77DB">
      <w:pPr>
        <w:spacing w:line="360" w:lineRule="auto"/>
        <w:jc w:val="both"/>
        <w:rPr>
          <w:b/>
        </w:rPr>
      </w:pPr>
      <w:proofErr w:type="spellStart"/>
      <w:r w:rsidRPr="006E4FFD">
        <w:rPr>
          <w:b/>
          <w:i/>
        </w:rPr>
        <w:t>Scanlen</w:t>
      </w:r>
      <w:proofErr w:type="spellEnd"/>
      <w:r w:rsidRPr="006E4FFD">
        <w:rPr>
          <w:b/>
          <w:i/>
        </w:rPr>
        <w:t xml:space="preserve"> &amp; Holderness</w:t>
      </w:r>
      <w:r w:rsidRPr="006E4FFD">
        <w:rPr>
          <w:b/>
        </w:rPr>
        <w:t>, Applicants’ legal practitioners</w:t>
      </w:r>
    </w:p>
    <w:p w:rsidR="006E4FFD" w:rsidRPr="006E4FFD" w:rsidRDefault="006E4FFD" w:rsidP="000D77DB">
      <w:pPr>
        <w:spacing w:line="360" w:lineRule="auto"/>
        <w:jc w:val="both"/>
        <w:rPr>
          <w:b/>
        </w:rPr>
      </w:pPr>
      <w:proofErr w:type="spellStart"/>
      <w:r w:rsidRPr="006E4FFD">
        <w:rPr>
          <w:b/>
          <w:i/>
        </w:rPr>
        <w:t>Dube</w:t>
      </w:r>
      <w:proofErr w:type="spellEnd"/>
      <w:r w:rsidRPr="006E4FFD">
        <w:rPr>
          <w:b/>
          <w:i/>
        </w:rPr>
        <w:t xml:space="preserve">, </w:t>
      </w:r>
      <w:proofErr w:type="spellStart"/>
      <w:r w:rsidRPr="006E4FFD">
        <w:rPr>
          <w:b/>
          <w:i/>
        </w:rPr>
        <w:t>Manikai</w:t>
      </w:r>
      <w:proofErr w:type="spellEnd"/>
      <w:r w:rsidRPr="006E4FFD">
        <w:rPr>
          <w:b/>
          <w:i/>
        </w:rPr>
        <w:t xml:space="preserve"> &amp; </w:t>
      </w:r>
      <w:proofErr w:type="spellStart"/>
      <w:r w:rsidRPr="006E4FFD">
        <w:rPr>
          <w:b/>
          <w:i/>
        </w:rPr>
        <w:t>Hwacha</w:t>
      </w:r>
      <w:proofErr w:type="spellEnd"/>
      <w:r w:rsidRPr="006E4FFD">
        <w:rPr>
          <w:b/>
        </w:rPr>
        <w:t>, Respondent’s legal practitioners</w:t>
      </w:r>
    </w:p>
    <w:p w:rsidR="004B786C" w:rsidRDefault="004B786C" w:rsidP="000D77DB">
      <w:pPr>
        <w:spacing w:line="360" w:lineRule="auto"/>
        <w:jc w:val="both"/>
      </w:pPr>
    </w:p>
    <w:p w:rsidR="004B786C" w:rsidRDefault="004B786C" w:rsidP="000D77DB">
      <w:pPr>
        <w:spacing w:line="360" w:lineRule="auto"/>
        <w:jc w:val="both"/>
      </w:pPr>
    </w:p>
    <w:p w:rsidR="004B786C" w:rsidRDefault="004B786C" w:rsidP="000D77DB">
      <w:pPr>
        <w:spacing w:line="360" w:lineRule="auto"/>
        <w:jc w:val="both"/>
      </w:pPr>
    </w:p>
    <w:p w:rsidR="004B786C" w:rsidRDefault="004B786C" w:rsidP="000D77DB">
      <w:pPr>
        <w:spacing w:line="360" w:lineRule="auto"/>
        <w:jc w:val="both"/>
      </w:pPr>
      <w:r>
        <w:tab/>
      </w:r>
    </w:p>
    <w:p w:rsidR="00111446" w:rsidRDefault="00111446" w:rsidP="0053160F">
      <w:pPr>
        <w:spacing w:line="360" w:lineRule="auto"/>
        <w:ind w:firstLine="720"/>
        <w:jc w:val="both"/>
      </w:pPr>
    </w:p>
    <w:p w:rsidR="00111446" w:rsidRDefault="00111446" w:rsidP="0053160F">
      <w:pPr>
        <w:spacing w:line="360" w:lineRule="auto"/>
        <w:ind w:firstLine="720"/>
        <w:jc w:val="both"/>
      </w:pPr>
    </w:p>
    <w:sectPr w:rsidR="00111446" w:rsidSect="001E6E0E">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1D" w:rsidRDefault="001D691D" w:rsidP="001E6E0E">
      <w:r>
        <w:separator/>
      </w:r>
    </w:p>
  </w:endnote>
  <w:endnote w:type="continuationSeparator" w:id="0">
    <w:p w:rsidR="001D691D" w:rsidRDefault="001D691D" w:rsidP="001E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746"/>
      <w:docPartObj>
        <w:docPartGallery w:val="Page Numbers (Bottom of Page)"/>
        <w:docPartUnique/>
      </w:docPartObj>
    </w:sdtPr>
    <w:sdtEndPr/>
    <w:sdtContent>
      <w:p w:rsidR="007E141B" w:rsidRDefault="001D691D">
        <w:pPr>
          <w:pStyle w:val="Footer"/>
          <w:jc w:val="center"/>
        </w:pPr>
        <w:r>
          <w:fldChar w:fldCharType="begin"/>
        </w:r>
        <w:r>
          <w:instrText xml:space="preserve"> PAGE   \* MERGEFORMAT </w:instrText>
        </w:r>
        <w:r>
          <w:fldChar w:fldCharType="separate"/>
        </w:r>
        <w:r w:rsidR="00C76720">
          <w:rPr>
            <w:noProof/>
          </w:rPr>
          <w:t>5</w:t>
        </w:r>
        <w:r>
          <w:rPr>
            <w:noProof/>
          </w:rPr>
          <w:fldChar w:fldCharType="end"/>
        </w:r>
      </w:p>
    </w:sdtContent>
  </w:sdt>
  <w:p w:rsidR="007E141B" w:rsidRDefault="007E1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1D" w:rsidRDefault="001D691D" w:rsidP="001E6E0E">
      <w:r>
        <w:separator/>
      </w:r>
    </w:p>
  </w:footnote>
  <w:footnote w:type="continuationSeparator" w:id="0">
    <w:p w:rsidR="001D691D" w:rsidRDefault="001D691D" w:rsidP="001E6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1B" w:rsidRPr="001E6E0E" w:rsidRDefault="000D5C33">
    <w:pPr>
      <w:pStyle w:val="Header"/>
      <w:rPr>
        <w:lang w:val="en-ZW"/>
      </w:rPr>
    </w:pPr>
    <w:r>
      <w:rPr>
        <w:lang w:val="en-ZW"/>
      </w:rPr>
      <w:tab/>
    </w:r>
    <w:r>
      <w:rPr>
        <w:lang w:val="en-ZW"/>
      </w:rPr>
      <w:tab/>
      <w:t>JUDGMENT NO. LC/H/327</w:t>
    </w:r>
    <w:r w:rsidR="007E141B">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87FCC"/>
    <w:multiLevelType w:val="hybridMultilevel"/>
    <w:tmpl w:val="2236F4E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44"/>
    <w:rsid w:val="00031789"/>
    <w:rsid w:val="000551DD"/>
    <w:rsid w:val="00060C47"/>
    <w:rsid w:val="000D5C33"/>
    <w:rsid w:val="000D77DB"/>
    <w:rsid w:val="00100A64"/>
    <w:rsid w:val="00111446"/>
    <w:rsid w:val="00192EFA"/>
    <w:rsid w:val="001B1788"/>
    <w:rsid w:val="001C0EA1"/>
    <w:rsid w:val="001D1594"/>
    <w:rsid w:val="001D691D"/>
    <w:rsid w:val="001E6E0E"/>
    <w:rsid w:val="00207028"/>
    <w:rsid w:val="00282EB5"/>
    <w:rsid w:val="00331077"/>
    <w:rsid w:val="0041741C"/>
    <w:rsid w:val="004B786C"/>
    <w:rsid w:val="0053160F"/>
    <w:rsid w:val="0057079F"/>
    <w:rsid w:val="00691BED"/>
    <w:rsid w:val="006E4FFD"/>
    <w:rsid w:val="006F2DC4"/>
    <w:rsid w:val="00735453"/>
    <w:rsid w:val="00746370"/>
    <w:rsid w:val="007E141B"/>
    <w:rsid w:val="00874D3C"/>
    <w:rsid w:val="00A52FC7"/>
    <w:rsid w:val="00A65939"/>
    <w:rsid w:val="00A80944"/>
    <w:rsid w:val="00A910E2"/>
    <w:rsid w:val="00BC484B"/>
    <w:rsid w:val="00BF17B4"/>
    <w:rsid w:val="00C539EB"/>
    <w:rsid w:val="00C714AC"/>
    <w:rsid w:val="00C76720"/>
    <w:rsid w:val="00CC24F1"/>
    <w:rsid w:val="00D15558"/>
    <w:rsid w:val="00D84139"/>
    <w:rsid w:val="00DD376B"/>
    <w:rsid w:val="00E45482"/>
    <w:rsid w:val="00E95B3C"/>
    <w:rsid w:val="00EC4BDC"/>
    <w:rsid w:val="00EF1447"/>
    <w:rsid w:val="00F3196A"/>
    <w:rsid w:val="00F55F96"/>
    <w:rsid w:val="00FB08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4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944"/>
    <w:pPr>
      <w:ind w:left="720"/>
      <w:contextualSpacing/>
    </w:pPr>
  </w:style>
  <w:style w:type="paragraph" w:styleId="Header">
    <w:name w:val="header"/>
    <w:basedOn w:val="Normal"/>
    <w:link w:val="HeaderChar"/>
    <w:uiPriority w:val="99"/>
    <w:semiHidden/>
    <w:unhideWhenUsed/>
    <w:rsid w:val="001E6E0E"/>
    <w:pPr>
      <w:tabs>
        <w:tab w:val="center" w:pos="4513"/>
        <w:tab w:val="right" w:pos="9026"/>
      </w:tabs>
    </w:pPr>
  </w:style>
  <w:style w:type="character" w:customStyle="1" w:styleId="HeaderChar">
    <w:name w:val="Header Char"/>
    <w:basedOn w:val="DefaultParagraphFont"/>
    <w:link w:val="Header"/>
    <w:uiPriority w:val="99"/>
    <w:semiHidden/>
    <w:rsid w:val="001E6E0E"/>
    <w:rPr>
      <w:rFonts w:ascii="Tahoma" w:eastAsia="Times New Roman" w:hAnsi="Tahoma" w:cs="Times New Roman"/>
      <w:sz w:val="24"/>
      <w:szCs w:val="24"/>
      <w:lang w:val="en-US"/>
    </w:rPr>
  </w:style>
  <w:style w:type="paragraph" w:styleId="Footer">
    <w:name w:val="footer"/>
    <w:basedOn w:val="Normal"/>
    <w:link w:val="FooterChar"/>
    <w:uiPriority w:val="99"/>
    <w:unhideWhenUsed/>
    <w:rsid w:val="001E6E0E"/>
    <w:pPr>
      <w:tabs>
        <w:tab w:val="center" w:pos="4513"/>
        <w:tab w:val="right" w:pos="9026"/>
      </w:tabs>
    </w:pPr>
  </w:style>
  <w:style w:type="character" w:customStyle="1" w:styleId="FooterChar">
    <w:name w:val="Footer Char"/>
    <w:basedOn w:val="DefaultParagraphFont"/>
    <w:link w:val="Footer"/>
    <w:uiPriority w:val="99"/>
    <w:rsid w:val="001E6E0E"/>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4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944"/>
    <w:pPr>
      <w:ind w:left="720"/>
      <w:contextualSpacing/>
    </w:pPr>
  </w:style>
  <w:style w:type="paragraph" w:styleId="Header">
    <w:name w:val="header"/>
    <w:basedOn w:val="Normal"/>
    <w:link w:val="HeaderChar"/>
    <w:uiPriority w:val="99"/>
    <w:semiHidden/>
    <w:unhideWhenUsed/>
    <w:rsid w:val="001E6E0E"/>
    <w:pPr>
      <w:tabs>
        <w:tab w:val="center" w:pos="4513"/>
        <w:tab w:val="right" w:pos="9026"/>
      </w:tabs>
    </w:pPr>
  </w:style>
  <w:style w:type="character" w:customStyle="1" w:styleId="HeaderChar">
    <w:name w:val="Header Char"/>
    <w:basedOn w:val="DefaultParagraphFont"/>
    <w:link w:val="Header"/>
    <w:uiPriority w:val="99"/>
    <w:semiHidden/>
    <w:rsid w:val="001E6E0E"/>
    <w:rPr>
      <w:rFonts w:ascii="Tahoma" w:eastAsia="Times New Roman" w:hAnsi="Tahoma" w:cs="Times New Roman"/>
      <w:sz w:val="24"/>
      <w:szCs w:val="24"/>
      <w:lang w:val="en-US"/>
    </w:rPr>
  </w:style>
  <w:style w:type="paragraph" w:styleId="Footer">
    <w:name w:val="footer"/>
    <w:basedOn w:val="Normal"/>
    <w:link w:val="FooterChar"/>
    <w:uiPriority w:val="99"/>
    <w:unhideWhenUsed/>
    <w:rsid w:val="001E6E0E"/>
    <w:pPr>
      <w:tabs>
        <w:tab w:val="center" w:pos="4513"/>
        <w:tab w:val="right" w:pos="9026"/>
      </w:tabs>
    </w:pPr>
  </w:style>
  <w:style w:type="character" w:customStyle="1" w:styleId="FooterChar">
    <w:name w:val="Footer Char"/>
    <w:basedOn w:val="DefaultParagraphFont"/>
    <w:link w:val="Footer"/>
    <w:uiPriority w:val="99"/>
    <w:rsid w:val="001E6E0E"/>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E192-9550-49C7-B52B-017FB94A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2014-06-13T09:17:00Z</cp:lastPrinted>
  <dcterms:created xsi:type="dcterms:W3CDTF">2017-04-06T07:59:00Z</dcterms:created>
  <dcterms:modified xsi:type="dcterms:W3CDTF">2017-04-06T07:59:00Z</dcterms:modified>
</cp:coreProperties>
</file>