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4E3" w:rsidRPr="00D10188" w:rsidRDefault="00E033B8" w:rsidP="007C44E3">
      <w:pPr>
        <w:pStyle w:val="NoSpacing"/>
        <w:jc w:val="both"/>
        <w:rPr>
          <w:b/>
          <w:szCs w:val="24"/>
        </w:rPr>
      </w:pPr>
      <w:r>
        <w:rPr>
          <w:b/>
          <w:szCs w:val="24"/>
        </w:rPr>
        <w:t>AMES ENGINEERING (P</w:t>
      </w:r>
      <w:r w:rsidR="00601ECA">
        <w:rPr>
          <w:b/>
          <w:szCs w:val="24"/>
        </w:rPr>
        <w:t xml:space="preserve">VT) LTD </w:t>
      </w:r>
    </w:p>
    <w:p w:rsidR="007C44E3" w:rsidRPr="00D10188" w:rsidRDefault="007C44E3" w:rsidP="007C44E3">
      <w:pPr>
        <w:pStyle w:val="NoSpacing"/>
        <w:jc w:val="both"/>
        <w:rPr>
          <w:b/>
          <w:szCs w:val="24"/>
        </w:rPr>
      </w:pPr>
    </w:p>
    <w:p w:rsidR="007C44E3" w:rsidRPr="00D10188" w:rsidRDefault="007C44E3" w:rsidP="007C44E3">
      <w:pPr>
        <w:pStyle w:val="NoSpacing"/>
        <w:jc w:val="both"/>
        <w:rPr>
          <w:b/>
          <w:szCs w:val="24"/>
        </w:rPr>
      </w:pPr>
      <w:r w:rsidRPr="00D10188">
        <w:rPr>
          <w:b/>
          <w:szCs w:val="24"/>
        </w:rPr>
        <w:t>Versus</w:t>
      </w:r>
    </w:p>
    <w:p w:rsidR="007C44E3" w:rsidRPr="00D10188" w:rsidRDefault="007C44E3" w:rsidP="007C44E3">
      <w:pPr>
        <w:pStyle w:val="NoSpacing"/>
        <w:jc w:val="both"/>
        <w:rPr>
          <w:b/>
          <w:szCs w:val="24"/>
        </w:rPr>
      </w:pPr>
    </w:p>
    <w:p w:rsidR="007C44E3" w:rsidRDefault="00601ECA" w:rsidP="007C44E3">
      <w:pPr>
        <w:pStyle w:val="NoSpacing"/>
        <w:jc w:val="both"/>
        <w:rPr>
          <w:b/>
          <w:szCs w:val="24"/>
        </w:rPr>
      </w:pPr>
      <w:r>
        <w:rPr>
          <w:b/>
          <w:szCs w:val="24"/>
        </w:rPr>
        <w:t xml:space="preserve">MEKIAS MUNYARADZI </w:t>
      </w:r>
    </w:p>
    <w:p w:rsidR="00601ECA" w:rsidRDefault="00601ECA" w:rsidP="007C44E3">
      <w:pPr>
        <w:pStyle w:val="NoSpacing"/>
        <w:jc w:val="both"/>
        <w:rPr>
          <w:b/>
          <w:szCs w:val="24"/>
        </w:rPr>
      </w:pPr>
    </w:p>
    <w:p w:rsidR="00601ECA" w:rsidRDefault="00601ECA" w:rsidP="007C44E3">
      <w:pPr>
        <w:pStyle w:val="NoSpacing"/>
        <w:jc w:val="both"/>
        <w:rPr>
          <w:b/>
          <w:szCs w:val="24"/>
        </w:rPr>
      </w:pPr>
      <w:r>
        <w:rPr>
          <w:b/>
          <w:szCs w:val="24"/>
        </w:rPr>
        <w:t xml:space="preserve">And </w:t>
      </w:r>
    </w:p>
    <w:p w:rsidR="00601ECA" w:rsidRDefault="00601ECA" w:rsidP="007C44E3">
      <w:pPr>
        <w:pStyle w:val="NoSpacing"/>
        <w:jc w:val="both"/>
        <w:rPr>
          <w:b/>
          <w:szCs w:val="24"/>
        </w:rPr>
      </w:pPr>
    </w:p>
    <w:p w:rsidR="00601ECA" w:rsidRDefault="00601ECA" w:rsidP="007C44E3">
      <w:pPr>
        <w:pStyle w:val="NoSpacing"/>
        <w:jc w:val="both"/>
        <w:rPr>
          <w:b/>
          <w:szCs w:val="24"/>
        </w:rPr>
      </w:pPr>
      <w:r>
        <w:rPr>
          <w:b/>
          <w:szCs w:val="24"/>
        </w:rPr>
        <w:t xml:space="preserve">GODFEREY </w:t>
      </w:r>
      <w:r w:rsidR="00061F39">
        <w:rPr>
          <w:b/>
          <w:szCs w:val="24"/>
        </w:rPr>
        <w:t>KARASE CHAKANYUK</w:t>
      </w:r>
      <w:r w:rsidR="005C5C80">
        <w:rPr>
          <w:b/>
          <w:szCs w:val="24"/>
        </w:rPr>
        <w:t>A</w:t>
      </w:r>
    </w:p>
    <w:p w:rsidR="00061F39" w:rsidRDefault="00061F39" w:rsidP="007C44E3">
      <w:pPr>
        <w:pStyle w:val="NoSpacing"/>
        <w:jc w:val="both"/>
        <w:rPr>
          <w:b/>
          <w:szCs w:val="24"/>
        </w:rPr>
      </w:pPr>
    </w:p>
    <w:p w:rsidR="00061F39" w:rsidRDefault="00061F39" w:rsidP="007C44E3">
      <w:pPr>
        <w:pStyle w:val="NoSpacing"/>
        <w:jc w:val="both"/>
        <w:rPr>
          <w:b/>
          <w:szCs w:val="24"/>
        </w:rPr>
      </w:pPr>
      <w:r>
        <w:rPr>
          <w:b/>
          <w:szCs w:val="24"/>
        </w:rPr>
        <w:t xml:space="preserve">And </w:t>
      </w:r>
    </w:p>
    <w:p w:rsidR="00061F39" w:rsidRDefault="00061F39" w:rsidP="007C44E3">
      <w:pPr>
        <w:pStyle w:val="NoSpacing"/>
        <w:jc w:val="both"/>
        <w:rPr>
          <w:b/>
          <w:szCs w:val="24"/>
        </w:rPr>
      </w:pPr>
    </w:p>
    <w:p w:rsidR="00061F39" w:rsidRDefault="00061F39" w:rsidP="007C44E3">
      <w:pPr>
        <w:pStyle w:val="NoSpacing"/>
        <w:jc w:val="both"/>
        <w:rPr>
          <w:b/>
          <w:szCs w:val="24"/>
        </w:rPr>
      </w:pPr>
      <w:r>
        <w:rPr>
          <w:b/>
          <w:szCs w:val="24"/>
        </w:rPr>
        <w:t xml:space="preserve">MIKE BOND </w:t>
      </w:r>
    </w:p>
    <w:p w:rsidR="00061F39" w:rsidRDefault="00061F39" w:rsidP="007C44E3">
      <w:pPr>
        <w:pStyle w:val="NoSpacing"/>
        <w:jc w:val="both"/>
        <w:rPr>
          <w:b/>
          <w:szCs w:val="24"/>
        </w:rPr>
      </w:pPr>
    </w:p>
    <w:p w:rsidR="00061F39" w:rsidRDefault="00061F39" w:rsidP="007C44E3">
      <w:pPr>
        <w:pStyle w:val="NoSpacing"/>
        <w:jc w:val="both"/>
        <w:rPr>
          <w:b/>
          <w:szCs w:val="24"/>
        </w:rPr>
      </w:pPr>
      <w:r>
        <w:rPr>
          <w:b/>
          <w:szCs w:val="24"/>
        </w:rPr>
        <w:t xml:space="preserve">And </w:t>
      </w:r>
    </w:p>
    <w:p w:rsidR="00061F39" w:rsidRDefault="00061F39" w:rsidP="007C44E3">
      <w:pPr>
        <w:pStyle w:val="NoSpacing"/>
        <w:jc w:val="both"/>
        <w:rPr>
          <w:b/>
          <w:szCs w:val="24"/>
        </w:rPr>
      </w:pPr>
    </w:p>
    <w:p w:rsidR="00061F39" w:rsidRDefault="00061F39" w:rsidP="007C44E3">
      <w:pPr>
        <w:pStyle w:val="NoSpacing"/>
        <w:jc w:val="both"/>
        <w:rPr>
          <w:b/>
          <w:szCs w:val="24"/>
        </w:rPr>
      </w:pPr>
      <w:r>
        <w:rPr>
          <w:b/>
          <w:szCs w:val="24"/>
        </w:rPr>
        <w:t>ADRIAN HAMILTON-MANNS</w:t>
      </w:r>
    </w:p>
    <w:p w:rsidR="00061F39" w:rsidRDefault="00061F39" w:rsidP="007C44E3">
      <w:pPr>
        <w:pStyle w:val="NoSpacing"/>
        <w:jc w:val="both"/>
        <w:rPr>
          <w:b/>
          <w:szCs w:val="24"/>
        </w:rPr>
      </w:pPr>
    </w:p>
    <w:p w:rsidR="00061F39" w:rsidRDefault="00061F39" w:rsidP="007C44E3">
      <w:pPr>
        <w:pStyle w:val="NoSpacing"/>
        <w:jc w:val="both"/>
        <w:rPr>
          <w:b/>
          <w:szCs w:val="24"/>
        </w:rPr>
      </w:pPr>
      <w:r>
        <w:rPr>
          <w:b/>
          <w:szCs w:val="24"/>
        </w:rPr>
        <w:t xml:space="preserve">And </w:t>
      </w:r>
    </w:p>
    <w:p w:rsidR="00061F39" w:rsidRDefault="00061F39" w:rsidP="008B0FCC">
      <w:pPr>
        <w:pStyle w:val="NoSpacing"/>
        <w:jc w:val="center"/>
        <w:rPr>
          <w:b/>
          <w:szCs w:val="24"/>
        </w:rPr>
      </w:pPr>
    </w:p>
    <w:p w:rsidR="00061F39" w:rsidRDefault="0037437F" w:rsidP="007C44E3">
      <w:pPr>
        <w:pStyle w:val="NoSpacing"/>
        <w:jc w:val="both"/>
        <w:rPr>
          <w:b/>
          <w:szCs w:val="24"/>
        </w:rPr>
      </w:pPr>
      <w:r>
        <w:rPr>
          <w:b/>
          <w:szCs w:val="24"/>
        </w:rPr>
        <w:t xml:space="preserve">KARASE MATIPEDZA </w:t>
      </w:r>
    </w:p>
    <w:p w:rsidR="0037437F" w:rsidRDefault="0037437F" w:rsidP="007C44E3">
      <w:pPr>
        <w:pStyle w:val="NoSpacing"/>
        <w:jc w:val="both"/>
        <w:rPr>
          <w:b/>
          <w:szCs w:val="24"/>
        </w:rPr>
      </w:pPr>
    </w:p>
    <w:p w:rsidR="0037437F" w:rsidRDefault="0037437F" w:rsidP="007C44E3">
      <w:pPr>
        <w:pStyle w:val="NoSpacing"/>
        <w:jc w:val="both"/>
        <w:rPr>
          <w:b/>
          <w:szCs w:val="24"/>
        </w:rPr>
      </w:pPr>
      <w:r>
        <w:rPr>
          <w:b/>
          <w:szCs w:val="24"/>
        </w:rPr>
        <w:t xml:space="preserve">And </w:t>
      </w:r>
    </w:p>
    <w:p w:rsidR="0037437F" w:rsidRDefault="0037437F" w:rsidP="007C44E3">
      <w:pPr>
        <w:pStyle w:val="NoSpacing"/>
        <w:jc w:val="both"/>
        <w:rPr>
          <w:b/>
          <w:szCs w:val="24"/>
        </w:rPr>
      </w:pPr>
    </w:p>
    <w:p w:rsidR="0037437F" w:rsidRDefault="0037437F" w:rsidP="007C44E3">
      <w:pPr>
        <w:pStyle w:val="NoSpacing"/>
        <w:jc w:val="both"/>
        <w:rPr>
          <w:b/>
          <w:szCs w:val="24"/>
        </w:rPr>
      </w:pPr>
      <w:r>
        <w:rPr>
          <w:b/>
          <w:szCs w:val="24"/>
        </w:rPr>
        <w:t xml:space="preserve">NU AERO </w:t>
      </w:r>
      <w:r w:rsidR="00BA77E9">
        <w:rPr>
          <w:b/>
          <w:szCs w:val="24"/>
        </w:rPr>
        <w:t>(PVT) LTD T/A FLY AFRICA</w:t>
      </w:r>
    </w:p>
    <w:p w:rsidR="008032A7" w:rsidRDefault="008032A7" w:rsidP="007C44E3">
      <w:pPr>
        <w:pStyle w:val="NoSpacing"/>
        <w:jc w:val="both"/>
        <w:rPr>
          <w:b/>
          <w:szCs w:val="24"/>
        </w:rPr>
      </w:pPr>
    </w:p>
    <w:p w:rsidR="008032A7" w:rsidRDefault="008032A7" w:rsidP="007C44E3">
      <w:pPr>
        <w:pStyle w:val="NoSpacing"/>
        <w:jc w:val="both"/>
        <w:rPr>
          <w:b/>
          <w:szCs w:val="24"/>
        </w:rPr>
      </w:pPr>
      <w:r>
        <w:rPr>
          <w:b/>
          <w:szCs w:val="24"/>
        </w:rPr>
        <w:t xml:space="preserve">And </w:t>
      </w:r>
    </w:p>
    <w:p w:rsidR="008032A7" w:rsidRDefault="008032A7" w:rsidP="007C44E3">
      <w:pPr>
        <w:pStyle w:val="NoSpacing"/>
        <w:jc w:val="both"/>
        <w:rPr>
          <w:b/>
          <w:szCs w:val="24"/>
        </w:rPr>
      </w:pPr>
    </w:p>
    <w:p w:rsidR="008032A7" w:rsidRPr="00D10188" w:rsidRDefault="008032A7" w:rsidP="007C44E3">
      <w:pPr>
        <w:pStyle w:val="NoSpacing"/>
        <w:jc w:val="both"/>
        <w:rPr>
          <w:b/>
          <w:szCs w:val="24"/>
        </w:rPr>
      </w:pPr>
      <w:r>
        <w:rPr>
          <w:b/>
          <w:szCs w:val="24"/>
        </w:rPr>
        <w:t>C</w:t>
      </w:r>
      <w:r w:rsidR="005E5174">
        <w:rPr>
          <w:b/>
          <w:szCs w:val="24"/>
        </w:rPr>
        <w:t>A</w:t>
      </w:r>
      <w:r w:rsidR="00122CDA">
        <w:rPr>
          <w:b/>
          <w:szCs w:val="24"/>
        </w:rPr>
        <w:t xml:space="preserve">SSINDY MUGWAGWA </w:t>
      </w:r>
    </w:p>
    <w:p w:rsidR="007C44E3" w:rsidRPr="00D10188" w:rsidRDefault="007C44E3" w:rsidP="007C44E3">
      <w:pPr>
        <w:pStyle w:val="NoSpacing"/>
        <w:jc w:val="both"/>
        <w:rPr>
          <w:b/>
          <w:szCs w:val="24"/>
        </w:rPr>
      </w:pPr>
    </w:p>
    <w:p w:rsidR="007C44E3" w:rsidRPr="00D10188" w:rsidRDefault="007C44E3" w:rsidP="007C44E3">
      <w:pPr>
        <w:pStyle w:val="NoSpacing"/>
        <w:jc w:val="both"/>
        <w:rPr>
          <w:szCs w:val="24"/>
        </w:rPr>
      </w:pPr>
      <w:r w:rsidRPr="00D10188">
        <w:rPr>
          <w:szCs w:val="24"/>
        </w:rPr>
        <w:t>IN THE HIGH COURT OF ZIMBABWE</w:t>
      </w:r>
    </w:p>
    <w:p w:rsidR="007C44E3" w:rsidRPr="00D10188" w:rsidRDefault="0081327E" w:rsidP="007C44E3">
      <w:pPr>
        <w:pStyle w:val="NoSpacing"/>
        <w:jc w:val="both"/>
        <w:rPr>
          <w:szCs w:val="24"/>
        </w:rPr>
      </w:pPr>
      <w:r>
        <w:rPr>
          <w:szCs w:val="24"/>
        </w:rPr>
        <w:t>DUBE</w:t>
      </w:r>
      <w:r w:rsidR="00C67AE1">
        <w:rPr>
          <w:szCs w:val="24"/>
        </w:rPr>
        <w:t>-BANDA</w:t>
      </w:r>
      <w:r w:rsidR="007C44E3" w:rsidRPr="00D10188">
        <w:rPr>
          <w:szCs w:val="24"/>
        </w:rPr>
        <w:t xml:space="preserve"> J</w:t>
      </w:r>
    </w:p>
    <w:p w:rsidR="007C44E3" w:rsidRPr="00D10188" w:rsidRDefault="00C67AE1" w:rsidP="007C44E3">
      <w:pPr>
        <w:pStyle w:val="NoSpacing"/>
        <w:jc w:val="both"/>
        <w:rPr>
          <w:szCs w:val="24"/>
        </w:rPr>
      </w:pPr>
      <w:r>
        <w:rPr>
          <w:szCs w:val="24"/>
        </w:rPr>
        <w:t xml:space="preserve">BULAWAYO 16 </w:t>
      </w:r>
      <w:r w:rsidR="007A3AD9">
        <w:rPr>
          <w:szCs w:val="24"/>
        </w:rPr>
        <w:t>NOVEMBER 2021 &amp; 6</w:t>
      </w:r>
      <w:r w:rsidR="001A2174">
        <w:rPr>
          <w:szCs w:val="24"/>
        </w:rPr>
        <w:t xml:space="preserve"> JANUARY 2022</w:t>
      </w:r>
    </w:p>
    <w:p w:rsidR="007C44E3" w:rsidRPr="00D10188" w:rsidRDefault="007C44E3" w:rsidP="007C44E3">
      <w:pPr>
        <w:pStyle w:val="NoSpacing"/>
        <w:jc w:val="both"/>
        <w:rPr>
          <w:szCs w:val="24"/>
        </w:rPr>
      </w:pPr>
    </w:p>
    <w:p w:rsidR="007C44E3" w:rsidRPr="00D10188" w:rsidRDefault="0082573B" w:rsidP="007C44E3">
      <w:pPr>
        <w:pStyle w:val="NoSpacing"/>
        <w:jc w:val="both"/>
        <w:rPr>
          <w:b/>
          <w:szCs w:val="24"/>
        </w:rPr>
      </w:pPr>
      <w:r>
        <w:rPr>
          <w:b/>
          <w:szCs w:val="24"/>
        </w:rPr>
        <w:t xml:space="preserve">Opposed court application </w:t>
      </w:r>
    </w:p>
    <w:p w:rsidR="007C44E3" w:rsidRPr="00D10188" w:rsidRDefault="007C44E3" w:rsidP="007C44E3">
      <w:pPr>
        <w:pStyle w:val="NoSpacing"/>
        <w:jc w:val="both"/>
        <w:rPr>
          <w:szCs w:val="24"/>
        </w:rPr>
      </w:pPr>
    </w:p>
    <w:p w:rsidR="007C44E3" w:rsidRPr="00D10188" w:rsidRDefault="0082573B" w:rsidP="007C44E3">
      <w:pPr>
        <w:pStyle w:val="NoSpacing"/>
        <w:jc w:val="both"/>
        <w:rPr>
          <w:szCs w:val="24"/>
        </w:rPr>
      </w:pPr>
      <w:r>
        <w:rPr>
          <w:i/>
          <w:szCs w:val="24"/>
        </w:rPr>
        <w:t xml:space="preserve">J. </w:t>
      </w:r>
      <w:proofErr w:type="spellStart"/>
      <w:r>
        <w:rPr>
          <w:i/>
          <w:szCs w:val="24"/>
        </w:rPr>
        <w:t>Tshuma</w:t>
      </w:r>
      <w:proofErr w:type="spellEnd"/>
      <w:r>
        <w:rPr>
          <w:i/>
          <w:szCs w:val="24"/>
        </w:rPr>
        <w:t xml:space="preserve"> </w:t>
      </w:r>
      <w:r w:rsidR="007C44E3" w:rsidRPr="00D10188">
        <w:rPr>
          <w:szCs w:val="24"/>
        </w:rPr>
        <w:t>for the applicant</w:t>
      </w:r>
    </w:p>
    <w:p w:rsidR="007C44E3" w:rsidRPr="00D10188" w:rsidRDefault="0082573B" w:rsidP="007C44E3">
      <w:pPr>
        <w:pStyle w:val="NoSpacing"/>
        <w:jc w:val="both"/>
        <w:rPr>
          <w:szCs w:val="24"/>
        </w:rPr>
      </w:pPr>
      <w:r>
        <w:rPr>
          <w:i/>
          <w:szCs w:val="24"/>
        </w:rPr>
        <w:t xml:space="preserve">P. </w:t>
      </w:r>
      <w:proofErr w:type="spellStart"/>
      <w:r>
        <w:rPr>
          <w:i/>
          <w:szCs w:val="24"/>
        </w:rPr>
        <w:t>Madzi</w:t>
      </w:r>
      <w:r w:rsidR="00C079F6">
        <w:rPr>
          <w:i/>
          <w:szCs w:val="24"/>
        </w:rPr>
        <w:t>vire</w:t>
      </w:r>
      <w:proofErr w:type="spellEnd"/>
      <w:r w:rsidR="007C44E3" w:rsidRPr="00D10188">
        <w:rPr>
          <w:szCs w:val="24"/>
        </w:rPr>
        <w:t xml:space="preserve"> for the respondent</w:t>
      </w:r>
    </w:p>
    <w:p w:rsidR="00E708B2" w:rsidRDefault="007C44E3" w:rsidP="00A23F2C">
      <w:pPr>
        <w:jc w:val="both"/>
        <w:rPr>
          <w:szCs w:val="24"/>
        </w:rPr>
      </w:pPr>
      <w:r w:rsidRPr="00D10188">
        <w:rPr>
          <w:szCs w:val="24"/>
        </w:rPr>
        <w:tab/>
      </w:r>
      <w:r w:rsidR="00C079F6">
        <w:rPr>
          <w:b/>
          <w:szCs w:val="24"/>
        </w:rPr>
        <w:t>DUBE-BANDA</w:t>
      </w:r>
      <w:r w:rsidRPr="00D10188">
        <w:rPr>
          <w:b/>
          <w:szCs w:val="24"/>
        </w:rPr>
        <w:t xml:space="preserve"> J:</w:t>
      </w:r>
      <w:r w:rsidRPr="00D10188">
        <w:rPr>
          <w:b/>
          <w:szCs w:val="24"/>
        </w:rPr>
        <w:tab/>
      </w:r>
      <w:r w:rsidR="00D02030">
        <w:rPr>
          <w:szCs w:val="24"/>
        </w:rPr>
        <w:t xml:space="preserve">This is a court application </w:t>
      </w:r>
      <w:r w:rsidR="000C461D">
        <w:rPr>
          <w:szCs w:val="24"/>
        </w:rPr>
        <w:t xml:space="preserve">filed </w:t>
      </w:r>
      <w:r w:rsidR="007A3737">
        <w:rPr>
          <w:szCs w:val="24"/>
        </w:rPr>
        <w:t>in term of section 318 of the</w:t>
      </w:r>
      <w:r w:rsidR="001521ED">
        <w:rPr>
          <w:szCs w:val="24"/>
        </w:rPr>
        <w:t xml:space="preserve"> Companies Act </w:t>
      </w:r>
      <w:r w:rsidR="007A3737">
        <w:rPr>
          <w:szCs w:val="24"/>
        </w:rPr>
        <w:t>[Chapter 24:03]</w:t>
      </w:r>
      <w:r w:rsidR="00877367">
        <w:rPr>
          <w:szCs w:val="24"/>
        </w:rPr>
        <w:t xml:space="preserve"> </w:t>
      </w:r>
      <w:r w:rsidR="002C4D58">
        <w:rPr>
          <w:szCs w:val="24"/>
        </w:rPr>
        <w:t>for an order declaring 1</w:t>
      </w:r>
      <w:r w:rsidR="002C4D58" w:rsidRPr="002C4D58">
        <w:rPr>
          <w:szCs w:val="24"/>
          <w:vertAlign w:val="superscript"/>
        </w:rPr>
        <w:t>st</w:t>
      </w:r>
      <w:r w:rsidR="002C4D58">
        <w:rPr>
          <w:szCs w:val="24"/>
        </w:rPr>
        <w:t xml:space="preserve"> and 7</w:t>
      </w:r>
      <w:r w:rsidR="002C4D58" w:rsidRPr="002C4D58">
        <w:rPr>
          <w:szCs w:val="24"/>
          <w:vertAlign w:val="superscript"/>
        </w:rPr>
        <w:t>th</w:t>
      </w:r>
      <w:r w:rsidR="002C4D58">
        <w:rPr>
          <w:szCs w:val="24"/>
        </w:rPr>
        <w:t xml:space="preserve"> respondents to be</w:t>
      </w:r>
      <w:r w:rsidR="00971035">
        <w:rPr>
          <w:szCs w:val="24"/>
        </w:rPr>
        <w:t xml:space="preserve"> personally li</w:t>
      </w:r>
      <w:r w:rsidR="00683FD7">
        <w:rPr>
          <w:szCs w:val="24"/>
        </w:rPr>
        <w:t xml:space="preserve">able for the </w:t>
      </w:r>
      <w:r w:rsidR="002C4D58">
        <w:rPr>
          <w:szCs w:val="24"/>
        </w:rPr>
        <w:t xml:space="preserve">judgment </w:t>
      </w:r>
      <w:r w:rsidR="00771BAE">
        <w:rPr>
          <w:szCs w:val="24"/>
        </w:rPr>
        <w:t xml:space="preserve">debt in </w:t>
      </w:r>
      <w:r w:rsidR="00771BAE" w:rsidRPr="000C461D">
        <w:rPr>
          <w:i/>
          <w:szCs w:val="24"/>
        </w:rPr>
        <w:t>Ames Engineering (</w:t>
      </w:r>
      <w:proofErr w:type="spellStart"/>
      <w:r w:rsidR="00771BAE" w:rsidRPr="000C461D">
        <w:rPr>
          <w:i/>
          <w:szCs w:val="24"/>
        </w:rPr>
        <w:t>Pvt</w:t>
      </w:r>
      <w:proofErr w:type="spellEnd"/>
      <w:r w:rsidR="00771BAE" w:rsidRPr="000C461D">
        <w:rPr>
          <w:i/>
          <w:szCs w:val="24"/>
        </w:rPr>
        <w:t xml:space="preserve">) Ltd (applicant) v </w:t>
      </w:r>
      <w:r w:rsidR="00877367" w:rsidRPr="000C461D">
        <w:rPr>
          <w:i/>
          <w:szCs w:val="24"/>
        </w:rPr>
        <w:t xml:space="preserve"> Nu Aero (</w:t>
      </w:r>
      <w:proofErr w:type="spellStart"/>
      <w:r w:rsidR="00877367" w:rsidRPr="000C461D">
        <w:rPr>
          <w:i/>
          <w:szCs w:val="24"/>
        </w:rPr>
        <w:t>Pvt</w:t>
      </w:r>
      <w:proofErr w:type="spellEnd"/>
      <w:r w:rsidR="00877367" w:rsidRPr="000C461D">
        <w:rPr>
          <w:i/>
          <w:szCs w:val="24"/>
        </w:rPr>
        <w:t>) Ltd t/a Fly Africa</w:t>
      </w:r>
      <w:r w:rsidR="00BA4011">
        <w:rPr>
          <w:szCs w:val="24"/>
        </w:rPr>
        <w:t xml:space="preserve"> </w:t>
      </w:r>
      <w:r w:rsidR="00D155E6">
        <w:rPr>
          <w:szCs w:val="24"/>
        </w:rPr>
        <w:t>HC 2915/18</w:t>
      </w:r>
      <w:r w:rsidR="00D52121">
        <w:rPr>
          <w:szCs w:val="24"/>
        </w:rPr>
        <w:t xml:space="preserve">. </w:t>
      </w:r>
      <w:r w:rsidR="0045475F">
        <w:rPr>
          <w:szCs w:val="24"/>
        </w:rPr>
        <w:t xml:space="preserve">The basis of this application is that the </w:t>
      </w:r>
      <w:r w:rsidR="00D365AE">
        <w:rPr>
          <w:szCs w:val="24"/>
        </w:rPr>
        <w:t>directors</w:t>
      </w:r>
      <w:r w:rsidR="0045475F">
        <w:rPr>
          <w:szCs w:val="24"/>
        </w:rPr>
        <w:t xml:space="preserve"> of the 6</w:t>
      </w:r>
      <w:r w:rsidR="0045475F" w:rsidRPr="0045475F">
        <w:rPr>
          <w:szCs w:val="24"/>
          <w:vertAlign w:val="superscript"/>
        </w:rPr>
        <w:t>th</w:t>
      </w:r>
      <w:r w:rsidR="0045475F">
        <w:rPr>
          <w:szCs w:val="24"/>
        </w:rPr>
        <w:t xml:space="preserve"> respondent </w:t>
      </w:r>
      <w:r w:rsidR="00D365AE">
        <w:rPr>
          <w:szCs w:val="24"/>
        </w:rPr>
        <w:t>(company)</w:t>
      </w:r>
      <w:r w:rsidR="002E2A86">
        <w:rPr>
          <w:szCs w:val="24"/>
        </w:rPr>
        <w:t xml:space="preserve"> conducted </w:t>
      </w:r>
      <w:r w:rsidR="00D365AE">
        <w:rPr>
          <w:szCs w:val="24"/>
        </w:rPr>
        <w:t xml:space="preserve">its business </w:t>
      </w:r>
      <w:r w:rsidR="002E2A86">
        <w:rPr>
          <w:szCs w:val="24"/>
        </w:rPr>
        <w:t xml:space="preserve">in a manner that is fraudulent, alternatively reckless or grossly negligent. </w:t>
      </w:r>
    </w:p>
    <w:p w:rsidR="00B250BC" w:rsidRPr="0038524A" w:rsidRDefault="00E708B2" w:rsidP="0038524A">
      <w:pPr>
        <w:ind w:firstLine="720"/>
        <w:jc w:val="both"/>
        <w:rPr>
          <w:rFonts w:cs="Times New Roman"/>
          <w:szCs w:val="24"/>
        </w:rPr>
      </w:pPr>
      <w:proofErr w:type="spellStart"/>
      <w:r>
        <w:rPr>
          <w:szCs w:val="24"/>
        </w:rPr>
        <w:lastRenderedPageBreak/>
        <w:t>Cassindy</w:t>
      </w:r>
      <w:proofErr w:type="spellEnd"/>
      <w:r>
        <w:rPr>
          <w:szCs w:val="24"/>
        </w:rPr>
        <w:t xml:space="preserve"> </w:t>
      </w:r>
      <w:proofErr w:type="spellStart"/>
      <w:r>
        <w:rPr>
          <w:szCs w:val="24"/>
        </w:rPr>
        <w:t>Mugwagwa</w:t>
      </w:r>
      <w:proofErr w:type="spellEnd"/>
      <w:r>
        <w:rPr>
          <w:szCs w:val="24"/>
        </w:rPr>
        <w:t xml:space="preserve"> was joined as 7</w:t>
      </w:r>
      <w:r w:rsidRPr="005E5174">
        <w:rPr>
          <w:szCs w:val="24"/>
          <w:vertAlign w:val="superscript"/>
        </w:rPr>
        <w:t>th</w:t>
      </w:r>
      <w:r>
        <w:rPr>
          <w:szCs w:val="24"/>
        </w:rPr>
        <w:t xml:space="preserve"> respondent in terms of an order obtained in HC 775/19.  On the 3</w:t>
      </w:r>
      <w:r w:rsidRPr="002F6014">
        <w:rPr>
          <w:szCs w:val="24"/>
          <w:vertAlign w:val="superscript"/>
        </w:rPr>
        <w:t>rd</w:t>
      </w:r>
      <w:r>
        <w:rPr>
          <w:szCs w:val="24"/>
        </w:rPr>
        <w:t xml:space="preserve"> April 2019, applicant filed a notice of withdrawal in respect of 2</w:t>
      </w:r>
      <w:r w:rsidRPr="002F6014">
        <w:rPr>
          <w:szCs w:val="24"/>
          <w:vertAlign w:val="superscript"/>
        </w:rPr>
        <w:t>nd</w:t>
      </w:r>
      <w:r>
        <w:rPr>
          <w:szCs w:val="24"/>
        </w:rPr>
        <w:t>, 3</w:t>
      </w:r>
      <w:r w:rsidRPr="002F6014">
        <w:rPr>
          <w:szCs w:val="24"/>
          <w:vertAlign w:val="superscript"/>
        </w:rPr>
        <w:t>rd</w:t>
      </w:r>
      <w:r>
        <w:rPr>
          <w:szCs w:val="24"/>
        </w:rPr>
        <w:t>, 4</w:t>
      </w:r>
      <w:r w:rsidRPr="002F6014">
        <w:rPr>
          <w:szCs w:val="24"/>
          <w:vertAlign w:val="superscript"/>
        </w:rPr>
        <w:t>th</w:t>
      </w:r>
      <w:r>
        <w:rPr>
          <w:szCs w:val="24"/>
        </w:rPr>
        <w:t xml:space="preserve"> and 5</w:t>
      </w:r>
      <w:r w:rsidRPr="002F6014">
        <w:rPr>
          <w:szCs w:val="24"/>
          <w:vertAlign w:val="superscript"/>
        </w:rPr>
        <w:t>th</w:t>
      </w:r>
      <w:r>
        <w:rPr>
          <w:szCs w:val="24"/>
        </w:rPr>
        <w:t xml:space="preserve"> respondents, leaving 1</w:t>
      </w:r>
      <w:r w:rsidRPr="00F125B6">
        <w:rPr>
          <w:szCs w:val="24"/>
          <w:vertAlign w:val="superscript"/>
        </w:rPr>
        <w:t>st</w:t>
      </w:r>
      <w:r w:rsidR="00AA6FAB">
        <w:rPr>
          <w:szCs w:val="24"/>
        </w:rPr>
        <w:t>,</w:t>
      </w:r>
      <w:r>
        <w:rPr>
          <w:szCs w:val="24"/>
        </w:rPr>
        <w:t xml:space="preserve"> 7</w:t>
      </w:r>
      <w:r w:rsidRPr="00F125B6">
        <w:rPr>
          <w:szCs w:val="24"/>
          <w:vertAlign w:val="superscript"/>
        </w:rPr>
        <w:t>th</w:t>
      </w:r>
      <w:r w:rsidR="00C7576E">
        <w:rPr>
          <w:szCs w:val="24"/>
        </w:rPr>
        <w:t xml:space="preserve"> respondents and the company. The company </w:t>
      </w:r>
      <w:r>
        <w:rPr>
          <w:szCs w:val="24"/>
        </w:rPr>
        <w:t>and 7</w:t>
      </w:r>
      <w:r w:rsidRPr="004A5931">
        <w:rPr>
          <w:szCs w:val="24"/>
          <w:vertAlign w:val="superscript"/>
        </w:rPr>
        <w:t>th</w:t>
      </w:r>
      <w:r>
        <w:rPr>
          <w:szCs w:val="24"/>
        </w:rPr>
        <w:t xml:space="preserve"> respondent did not oppose this application, it is only opposed by the 1</w:t>
      </w:r>
      <w:r w:rsidRPr="00ED0944">
        <w:rPr>
          <w:szCs w:val="24"/>
          <w:vertAlign w:val="superscript"/>
        </w:rPr>
        <w:t>st</w:t>
      </w:r>
      <w:r>
        <w:rPr>
          <w:szCs w:val="24"/>
        </w:rPr>
        <w:t xml:space="preserve"> respondent. </w:t>
      </w:r>
      <w:r w:rsidR="00B250BC">
        <w:rPr>
          <w:szCs w:val="24"/>
        </w:rPr>
        <w:t>T</w:t>
      </w:r>
      <w:r w:rsidR="00074091">
        <w:rPr>
          <w:szCs w:val="24"/>
        </w:rPr>
        <w:t xml:space="preserve">he applicant </w:t>
      </w:r>
      <w:r w:rsidR="00B250BC">
        <w:rPr>
          <w:szCs w:val="24"/>
        </w:rPr>
        <w:t xml:space="preserve">seeks relief couched in the following terms: </w:t>
      </w:r>
    </w:p>
    <w:p w:rsidR="00074091" w:rsidRDefault="00074091" w:rsidP="00074091">
      <w:pPr>
        <w:pStyle w:val="ListParagraph"/>
        <w:numPr>
          <w:ilvl w:val="0"/>
          <w:numId w:val="1"/>
        </w:numPr>
        <w:jc w:val="both"/>
        <w:rPr>
          <w:szCs w:val="24"/>
        </w:rPr>
      </w:pPr>
      <w:r>
        <w:rPr>
          <w:szCs w:val="24"/>
        </w:rPr>
        <w:t xml:space="preserve">It is declared that the </w:t>
      </w:r>
      <w:r w:rsidR="00E16524">
        <w:rPr>
          <w:szCs w:val="24"/>
        </w:rPr>
        <w:t>1</w:t>
      </w:r>
      <w:r w:rsidR="00E16524" w:rsidRPr="00E16524">
        <w:rPr>
          <w:szCs w:val="24"/>
          <w:vertAlign w:val="superscript"/>
        </w:rPr>
        <w:t>st</w:t>
      </w:r>
      <w:r w:rsidR="00E16524">
        <w:rPr>
          <w:szCs w:val="24"/>
        </w:rPr>
        <w:t>, 6</w:t>
      </w:r>
      <w:r w:rsidR="00E16524" w:rsidRPr="00E16524">
        <w:rPr>
          <w:szCs w:val="24"/>
          <w:vertAlign w:val="superscript"/>
        </w:rPr>
        <w:t>th</w:t>
      </w:r>
      <w:r w:rsidR="00E16524">
        <w:rPr>
          <w:szCs w:val="24"/>
        </w:rPr>
        <w:t xml:space="preserve"> and 7</w:t>
      </w:r>
      <w:r w:rsidR="00E16524" w:rsidRPr="00E16524">
        <w:rPr>
          <w:szCs w:val="24"/>
          <w:vertAlign w:val="superscript"/>
        </w:rPr>
        <w:t>th</w:t>
      </w:r>
      <w:r w:rsidR="00E16524">
        <w:rPr>
          <w:szCs w:val="24"/>
        </w:rPr>
        <w:t xml:space="preserve"> respondents be and hereby declared personally responsible, without limitation, for the debt owed to the applicant </w:t>
      </w:r>
      <w:r w:rsidR="00C01E56">
        <w:rPr>
          <w:szCs w:val="24"/>
        </w:rPr>
        <w:t>by the 6</w:t>
      </w:r>
      <w:r w:rsidR="00C01E56" w:rsidRPr="00C01E56">
        <w:rPr>
          <w:szCs w:val="24"/>
          <w:vertAlign w:val="superscript"/>
        </w:rPr>
        <w:t>th</w:t>
      </w:r>
      <w:r w:rsidR="00C01E56">
        <w:rPr>
          <w:szCs w:val="24"/>
        </w:rPr>
        <w:t xml:space="preserve"> respondent in terms of section 318 of the Companies Act. </w:t>
      </w:r>
    </w:p>
    <w:p w:rsidR="00C01E56" w:rsidRDefault="00C01E56" w:rsidP="00074091">
      <w:pPr>
        <w:pStyle w:val="ListParagraph"/>
        <w:numPr>
          <w:ilvl w:val="0"/>
          <w:numId w:val="1"/>
        </w:numPr>
        <w:jc w:val="both"/>
        <w:rPr>
          <w:szCs w:val="24"/>
        </w:rPr>
      </w:pPr>
      <w:r>
        <w:rPr>
          <w:szCs w:val="24"/>
        </w:rPr>
        <w:t>The 1</w:t>
      </w:r>
      <w:r w:rsidRPr="00C01E56">
        <w:rPr>
          <w:szCs w:val="24"/>
          <w:vertAlign w:val="superscript"/>
        </w:rPr>
        <w:t>st</w:t>
      </w:r>
      <w:r>
        <w:rPr>
          <w:szCs w:val="24"/>
        </w:rPr>
        <w:t>, 6</w:t>
      </w:r>
      <w:r w:rsidRPr="00C01E56">
        <w:rPr>
          <w:szCs w:val="24"/>
          <w:vertAlign w:val="superscript"/>
        </w:rPr>
        <w:t>th</w:t>
      </w:r>
      <w:r>
        <w:rPr>
          <w:szCs w:val="24"/>
        </w:rPr>
        <w:t xml:space="preserve"> and 7</w:t>
      </w:r>
      <w:r w:rsidRPr="00C01E56">
        <w:rPr>
          <w:szCs w:val="24"/>
          <w:vertAlign w:val="superscript"/>
        </w:rPr>
        <w:t>th</w:t>
      </w:r>
      <w:r>
        <w:rPr>
          <w:szCs w:val="24"/>
        </w:rPr>
        <w:t xml:space="preserve"> resp</w:t>
      </w:r>
      <w:r w:rsidR="005B49CC">
        <w:rPr>
          <w:szCs w:val="24"/>
        </w:rPr>
        <w:t xml:space="preserve">ondents be and is hereby joined as joint and several judgment debtors to the judgment debt owed to the applicant in terms of the court order handed down by the </w:t>
      </w:r>
      <w:proofErr w:type="spellStart"/>
      <w:r w:rsidR="005B49CC">
        <w:rPr>
          <w:szCs w:val="24"/>
        </w:rPr>
        <w:t>Honourable</w:t>
      </w:r>
      <w:proofErr w:type="spellEnd"/>
      <w:r w:rsidR="005B49CC">
        <w:rPr>
          <w:szCs w:val="24"/>
        </w:rPr>
        <w:t xml:space="preserve"> Mr. Justice </w:t>
      </w:r>
      <w:proofErr w:type="spellStart"/>
      <w:r w:rsidR="008A6C4E">
        <w:rPr>
          <w:szCs w:val="24"/>
        </w:rPr>
        <w:t>Mabhikwa</w:t>
      </w:r>
      <w:proofErr w:type="spellEnd"/>
      <w:r w:rsidR="008A6C4E">
        <w:rPr>
          <w:szCs w:val="24"/>
        </w:rPr>
        <w:t xml:space="preserve"> J on the 29</w:t>
      </w:r>
      <w:r w:rsidR="008A6C4E" w:rsidRPr="008A6C4E">
        <w:rPr>
          <w:szCs w:val="24"/>
          <w:vertAlign w:val="superscript"/>
        </w:rPr>
        <w:t>th</w:t>
      </w:r>
      <w:r w:rsidR="008A6C4E">
        <w:rPr>
          <w:szCs w:val="24"/>
        </w:rPr>
        <w:t xml:space="preserve"> November 2018 in case No. HC 2915/18. </w:t>
      </w:r>
    </w:p>
    <w:p w:rsidR="00B250BC" w:rsidRPr="00001254" w:rsidRDefault="008A6C4E" w:rsidP="00A23F2C">
      <w:pPr>
        <w:pStyle w:val="ListParagraph"/>
        <w:numPr>
          <w:ilvl w:val="0"/>
          <w:numId w:val="1"/>
        </w:numPr>
        <w:jc w:val="both"/>
        <w:rPr>
          <w:szCs w:val="24"/>
        </w:rPr>
      </w:pPr>
      <w:r>
        <w:rPr>
          <w:szCs w:val="24"/>
        </w:rPr>
        <w:t>The 1</w:t>
      </w:r>
      <w:r w:rsidRPr="008A6C4E">
        <w:rPr>
          <w:szCs w:val="24"/>
          <w:vertAlign w:val="superscript"/>
        </w:rPr>
        <w:t>st</w:t>
      </w:r>
      <w:r w:rsidR="006F1627">
        <w:rPr>
          <w:szCs w:val="24"/>
        </w:rPr>
        <w:t>, 6</w:t>
      </w:r>
      <w:r w:rsidR="006F1627" w:rsidRPr="006F1627">
        <w:rPr>
          <w:szCs w:val="24"/>
          <w:vertAlign w:val="superscript"/>
        </w:rPr>
        <w:t>th</w:t>
      </w:r>
      <w:r w:rsidR="006F1627">
        <w:rPr>
          <w:szCs w:val="24"/>
        </w:rPr>
        <w:t xml:space="preserve"> and 7</w:t>
      </w:r>
      <w:r w:rsidR="006F1627" w:rsidRPr="006F1627">
        <w:rPr>
          <w:szCs w:val="24"/>
          <w:vertAlign w:val="superscript"/>
        </w:rPr>
        <w:t>th</w:t>
      </w:r>
      <w:r w:rsidR="006F1627">
        <w:rPr>
          <w:szCs w:val="24"/>
        </w:rPr>
        <w:t xml:space="preserve"> respondents be and hereby ordered to pay costs of suit on an attorney-client scale, jointly and severally, the one paying the others to be absolved. </w:t>
      </w:r>
    </w:p>
    <w:p w:rsidR="003C5D07" w:rsidRDefault="003C5D07" w:rsidP="007C44E3">
      <w:pPr>
        <w:rPr>
          <w:b/>
          <w:szCs w:val="24"/>
        </w:rPr>
      </w:pPr>
      <w:r>
        <w:rPr>
          <w:b/>
          <w:szCs w:val="24"/>
        </w:rPr>
        <w:t xml:space="preserve">Background facts </w:t>
      </w:r>
    </w:p>
    <w:p w:rsidR="00841532" w:rsidRDefault="003C5D07" w:rsidP="00210657">
      <w:pPr>
        <w:jc w:val="both"/>
        <w:rPr>
          <w:szCs w:val="24"/>
        </w:rPr>
      </w:pPr>
      <w:r w:rsidRPr="00720330">
        <w:rPr>
          <w:szCs w:val="24"/>
        </w:rPr>
        <w:tab/>
      </w:r>
      <w:r w:rsidR="00007492" w:rsidRPr="00FF0FD0">
        <w:rPr>
          <w:color w:val="1F1F1F"/>
          <w:szCs w:val="24"/>
        </w:rPr>
        <w:t>This application will be better understood against the background that follows.</w:t>
      </w:r>
      <w:r w:rsidR="00007492">
        <w:rPr>
          <w:color w:val="1F1F1F"/>
          <w:szCs w:val="24"/>
        </w:rPr>
        <w:t xml:space="preserve"> </w:t>
      </w:r>
      <w:r w:rsidR="00EA185E">
        <w:rPr>
          <w:szCs w:val="24"/>
        </w:rPr>
        <w:t>In HC 1105/18 applicant sued out</w:t>
      </w:r>
      <w:r w:rsidR="00720330">
        <w:rPr>
          <w:szCs w:val="24"/>
        </w:rPr>
        <w:t xml:space="preserve"> a </w:t>
      </w:r>
      <w:r w:rsidR="00B845FD">
        <w:rPr>
          <w:szCs w:val="24"/>
        </w:rPr>
        <w:t xml:space="preserve">summons </w:t>
      </w:r>
      <w:r w:rsidR="002B0288">
        <w:rPr>
          <w:szCs w:val="24"/>
        </w:rPr>
        <w:t xml:space="preserve">against the company, which </w:t>
      </w:r>
      <w:r w:rsidR="00E86051">
        <w:rPr>
          <w:szCs w:val="24"/>
        </w:rPr>
        <w:t xml:space="preserve">filed a notice to defend and a plea. </w:t>
      </w:r>
      <w:r w:rsidR="008061BA">
        <w:rPr>
          <w:szCs w:val="24"/>
        </w:rPr>
        <w:t xml:space="preserve">In the summons it is pleaded that the parties entered into a verbal agreement in terms of which the defendant agreed to receive certain amounts of money from the plaintiff </w:t>
      </w:r>
      <w:r w:rsidR="00D21E1E">
        <w:rPr>
          <w:szCs w:val="24"/>
        </w:rPr>
        <w:t xml:space="preserve">and make payments to the plaintiff’s suppliers within fourteen days of receipt. </w:t>
      </w:r>
      <w:r w:rsidR="00A61DC1">
        <w:rPr>
          <w:szCs w:val="24"/>
        </w:rPr>
        <w:t xml:space="preserve">Defendant failed to make payment to plaintiff’s suppliers as agreed or at all. Plaintiff prayed for an order cancelling the verbal agreement and defendant to be ordered to repay the </w:t>
      </w:r>
      <w:r w:rsidR="0040000F">
        <w:rPr>
          <w:szCs w:val="24"/>
        </w:rPr>
        <w:t xml:space="preserve">sum of USD220 336.42. </w:t>
      </w:r>
    </w:p>
    <w:p w:rsidR="0040000F" w:rsidRDefault="0040000F" w:rsidP="00210657">
      <w:pPr>
        <w:jc w:val="both"/>
        <w:rPr>
          <w:szCs w:val="24"/>
        </w:rPr>
      </w:pPr>
      <w:r>
        <w:rPr>
          <w:szCs w:val="24"/>
        </w:rPr>
        <w:tab/>
        <w:t xml:space="preserve">In its plea the company </w:t>
      </w:r>
      <w:r w:rsidR="00B704FF">
        <w:rPr>
          <w:szCs w:val="24"/>
        </w:rPr>
        <w:t xml:space="preserve">admitted that it entered into a verbal agreement with the applicant. It however pleaded that the contract was null and void as it contravened section 11 (1) (b) of the Exchange Control Regulations SI 109/1996, </w:t>
      </w:r>
      <w:r w:rsidR="0082580B">
        <w:rPr>
          <w:szCs w:val="24"/>
        </w:rPr>
        <w:t xml:space="preserve">in that defendant undertook to incur an obligation to make payment outside Zimbabwe. </w:t>
      </w:r>
      <w:r w:rsidR="000A4D6B">
        <w:rPr>
          <w:szCs w:val="24"/>
        </w:rPr>
        <w:t xml:space="preserve">This court was urged to decline to determine the </w:t>
      </w:r>
      <w:r w:rsidR="00552D7E">
        <w:rPr>
          <w:szCs w:val="24"/>
        </w:rPr>
        <w:t>matter</w:t>
      </w:r>
      <w:r w:rsidR="000A4D6B">
        <w:rPr>
          <w:szCs w:val="24"/>
        </w:rPr>
        <w:t xml:space="preserve"> in favor of applicant </w:t>
      </w:r>
      <w:r w:rsidR="00552D7E">
        <w:rPr>
          <w:szCs w:val="24"/>
        </w:rPr>
        <w:t xml:space="preserve">on the basis of the </w:t>
      </w:r>
      <w:proofErr w:type="spellStart"/>
      <w:r w:rsidR="00552D7E" w:rsidRPr="00552D7E">
        <w:rPr>
          <w:i/>
          <w:szCs w:val="24"/>
        </w:rPr>
        <w:t>pari</w:t>
      </w:r>
      <w:proofErr w:type="spellEnd"/>
      <w:r w:rsidR="00552D7E" w:rsidRPr="00552D7E">
        <w:rPr>
          <w:i/>
          <w:szCs w:val="24"/>
        </w:rPr>
        <w:t xml:space="preserve"> delicto</w:t>
      </w:r>
      <w:r w:rsidR="00552D7E">
        <w:rPr>
          <w:szCs w:val="24"/>
        </w:rPr>
        <w:t xml:space="preserve"> principle. </w:t>
      </w:r>
    </w:p>
    <w:p w:rsidR="00720330" w:rsidRDefault="00532387" w:rsidP="00302AD2">
      <w:pPr>
        <w:ind w:firstLine="720"/>
        <w:jc w:val="both"/>
        <w:rPr>
          <w:szCs w:val="24"/>
        </w:rPr>
      </w:pPr>
      <w:r>
        <w:rPr>
          <w:szCs w:val="24"/>
        </w:rPr>
        <w:t>On the 1</w:t>
      </w:r>
      <w:r w:rsidRPr="00532387">
        <w:rPr>
          <w:szCs w:val="24"/>
          <w:vertAlign w:val="superscript"/>
        </w:rPr>
        <w:t>st</w:t>
      </w:r>
      <w:r>
        <w:rPr>
          <w:szCs w:val="24"/>
        </w:rPr>
        <w:t xml:space="preserve"> November 2021, applicant filed an application for summary judgment in HC 2915/18. </w:t>
      </w:r>
      <w:r w:rsidR="00AF3523">
        <w:rPr>
          <w:szCs w:val="24"/>
        </w:rPr>
        <w:t xml:space="preserve">In the summary judgment application it was contended that </w:t>
      </w:r>
      <w:r w:rsidR="00AE297F">
        <w:rPr>
          <w:szCs w:val="24"/>
        </w:rPr>
        <w:t xml:space="preserve">the company has filed a </w:t>
      </w:r>
      <w:r w:rsidR="00AE297F">
        <w:rPr>
          <w:szCs w:val="24"/>
        </w:rPr>
        <w:lastRenderedPageBreak/>
        <w:t xml:space="preserve">notice to defend </w:t>
      </w:r>
      <w:r w:rsidR="00A414CE">
        <w:rPr>
          <w:szCs w:val="24"/>
        </w:rPr>
        <w:t>for the purpose of delay. It</w:t>
      </w:r>
      <w:r w:rsidR="00867D47">
        <w:rPr>
          <w:szCs w:val="24"/>
        </w:rPr>
        <w:t xml:space="preserve"> had neither a</w:t>
      </w:r>
      <w:r w:rsidR="00A414CE">
        <w:rPr>
          <w:szCs w:val="24"/>
        </w:rPr>
        <w:t xml:space="preserve"> </w:t>
      </w:r>
      <w:r w:rsidR="00A414CE" w:rsidRPr="00A414CE">
        <w:rPr>
          <w:i/>
          <w:szCs w:val="24"/>
        </w:rPr>
        <w:t xml:space="preserve">bona fide </w:t>
      </w:r>
      <w:r w:rsidR="00867D47">
        <w:rPr>
          <w:szCs w:val="24"/>
        </w:rPr>
        <w:t xml:space="preserve">nor </w:t>
      </w:r>
      <w:r w:rsidR="00A414CE" w:rsidRPr="00867D47">
        <w:rPr>
          <w:i/>
          <w:szCs w:val="24"/>
        </w:rPr>
        <w:t xml:space="preserve">prima facie </w:t>
      </w:r>
      <w:proofErr w:type="spellStart"/>
      <w:r w:rsidR="00A414CE">
        <w:rPr>
          <w:szCs w:val="24"/>
        </w:rPr>
        <w:t>defence</w:t>
      </w:r>
      <w:proofErr w:type="spellEnd"/>
      <w:r w:rsidR="00A414CE">
        <w:rPr>
          <w:szCs w:val="24"/>
        </w:rPr>
        <w:t xml:space="preserve"> to the claim. </w:t>
      </w:r>
      <w:r w:rsidR="001B22A9">
        <w:rPr>
          <w:szCs w:val="24"/>
        </w:rPr>
        <w:t>On the 29 November 2021, this cou</w:t>
      </w:r>
      <w:r w:rsidR="00867D47">
        <w:rPr>
          <w:szCs w:val="24"/>
        </w:rPr>
        <w:t>rt</w:t>
      </w:r>
      <w:r w:rsidR="00B213F7">
        <w:rPr>
          <w:szCs w:val="24"/>
        </w:rPr>
        <w:t xml:space="preserve"> granted a</w:t>
      </w:r>
      <w:r w:rsidR="001B22A9">
        <w:rPr>
          <w:szCs w:val="24"/>
        </w:rPr>
        <w:t xml:space="preserve"> </w:t>
      </w:r>
      <w:r w:rsidR="00B213F7">
        <w:rPr>
          <w:szCs w:val="24"/>
        </w:rPr>
        <w:t xml:space="preserve">summary judgment </w:t>
      </w:r>
      <w:r w:rsidR="001B22A9">
        <w:rPr>
          <w:szCs w:val="24"/>
        </w:rPr>
        <w:t xml:space="preserve">order couched in the following terms: </w:t>
      </w:r>
    </w:p>
    <w:p w:rsidR="001B22A9" w:rsidRDefault="00115BEA" w:rsidP="00115BEA">
      <w:pPr>
        <w:ind w:firstLine="720"/>
        <w:jc w:val="both"/>
        <w:rPr>
          <w:szCs w:val="24"/>
        </w:rPr>
      </w:pPr>
      <w:r w:rsidRPr="00115BEA">
        <w:rPr>
          <w:szCs w:val="24"/>
        </w:rPr>
        <w:t>Judgment be and is hereby entered for the applicant against the respondent as follows:</w:t>
      </w:r>
    </w:p>
    <w:p w:rsidR="00115BEA" w:rsidRDefault="006E6EC2" w:rsidP="00115BEA">
      <w:pPr>
        <w:pStyle w:val="ListParagraph"/>
        <w:numPr>
          <w:ilvl w:val="0"/>
          <w:numId w:val="3"/>
        </w:numPr>
        <w:jc w:val="both"/>
        <w:rPr>
          <w:szCs w:val="24"/>
        </w:rPr>
      </w:pPr>
      <w:r>
        <w:rPr>
          <w:szCs w:val="24"/>
        </w:rPr>
        <w:t>Judgment may be summarily entered for the plaintiff in case number HC 1105/18.</w:t>
      </w:r>
    </w:p>
    <w:p w:rsidR="006E6EC2" w:rsidRDefault="00B519F4" w:rsidP="00115BEA">
      <w:pPr>
        <w:pStyle w:val="ListParagraph"/>
        <w:numPr>
          <w:ilvl w:val="0"/>
          <w:numId w:val="3"/>
        </w:numPr>
        <w:jc w:val="both"/>
        <w:rPr>
          <w:szCs w:val="24"/>
        </w:rPr>
      </w:pPr>
      <w:r>
        <w:rPr>
          <w:szCs w:val="24"/>
        </w:rPr>
        <w:t>Defendant shall pay to the plaintiff the sum of USD220 336.42.</w:t>
      </w:r>
    </w:p>
    <w:p w:rsidR="00B519F4" w:rsidRDefault="00B519F4" w:rsidP="00115BEA">
      <w:pPr>
        <w:pStyle w:val="ListParagraph"/>
        <w:numPr>
          <w:ilvl w:val="0"/>
          <w:numId w:val="3"/>
        </w:numPr>
        <w:jc w:val="both"/>
        <w:rPr>
          <w:szCs w:val="24"/>
        </w:rPr>
      </w:pPr>
      <w:r>
        <w:rPr>
          <w:szCs w:val="24"/>
        </w:rPr>
        <w:t>Defendant shall pay interest on the prescribed sum at the rate of 5% per annum from the 19</w:t>
      </w:r>
      <w:r w:rsidRPr="00B519F4">
        <w:rPr>
          <w:szCs w:val="24"/>
          <w:vertAlign w:val="superscript"/>
        </w:rPr>
        <w:t>th</w:t>
      </w:r>
      <w:r>
        <w:rPr>
          <w:szCs w:val="24"/>
        </w:rPr>
        <w:t xml:space="preserve"> February 2018, to date of payment in full.</w:t>
      </w:r>
    </w:p>
    <w:p w:rsidR="00B519F4" w:rsidRDefault="00B519F4" w:rsidP="00115BEA">
      <w:pPr>
        <w:pStyle w:val="ListParagraph"/>
        <w:numPr>
          <w:ilvl w:val="0"/>
          <w:numId w:val="3"/>
        </w:numPr>
        <w:jc w:val="both"/>
        <w:rPr>
          <w:szCs w:val="24"/>
        </w:rPr>
      </w:pPr>
      <w:r>
        <w:rPr>
          <w:szCs w:val="24"/>
        </w:rPr>
        <w:t xml:space="preserve">Costs of suit on the attorney-client scale. </w:t>
      </w:r>
    </w:p>
    <w:p w:rsidR="00B519F4" w:rsidRPr="004535AE" w:rsidRDefault="005631B7" w:rsidP="009E3519">
      <w:pPr>
        <w:ind w:firstLine="720"/>
        <w:jc w:val="both"/>
        <w:rPr>
          <w:szCs w:val="24"/>
        </w:rPr>
      </w:pPr>
      <w:r>
        <w:rPr>
          <w:szCs w:val="24"/>
        </w:rPr>
        <w:t xml:space="preserve">On the 12 December 2021 </w:t>
      </w:r>
      <w:r w:rsidR="0015781D">
        <w:rPr>
          <w:szCs w:val="24"/>
        </w:rPr>
        <w:t xml:space="preserve">applicant caused to be issued </w:t>
      </w:r>
      <w:r w:rsidR="004535AE">
        <w:rPr>
          <w:szCs w:val="24"/>
        </w:rPr>
        <w:t>out a writ of executi</w:t>
      </w:r>
      <w:r w:rsidR="0015781D">
        <w:rPr>
          <w:szCs w:val="24"/>
        </w:rPr>
        <w:t>on against the property of the company</w:t>
      </w:r>
      <w:r w:rsidR="004535AE">
        <w:rPr>
          <w:szCs w:val="24"/>
        </w:rPr>
        <w:t xml:space="preserve">. </w:t>
      </w:r>
      <w:r w:rsidR="009E3519">
        <w:rPr>
          <w:szCs w:val="24"/>
        </w:rPr>
        <w:t xml:space="preserve">The Sheriff rendered a </w:t>
      </w:r>
      <w:proofErr w:type="spellStart"/>
      <w:r w:rsidR="009E3519" w:rsidRPr="003B512C">
        <w:rPr>
          <w:i/>
          <w:szCs w:val="24"/>
        </w:rPr>
        <w:t>nulla</w:t>
      </w:r>
      <w:proofErr w:type="spellEnd"/>
      <w:r w:rsidR="009E3519" w:rsidRPr="003B512C">
        <w:rPr>
          <w:i/>
          <w:szCs w:val="24"/>
        </w:rPr>
        <w:t xml:space="preserve"> bona </w:t>
      </w:r>
      <w:r w:rsidR="009E3519">
        <w:rPr>
          <w:szCs w:val="24"/>
        </w:rPr>
        <w:t xml:space="preserve">return of service, </w:t>
      </w:r>
      <w:r w:rsidR="003B512C">
        <w:rPr>
          <w:szCs w:val="24"/>
        </w:rPr>
        <w:t xml:space="preserve">indicating </w:t>
      </w:r>
      <w:r w:rsidR="00711488">
        <w:rPr>
          <w:szCs w:val="24"/>
        </w:rPr>
        <w:t>that there was</w:t>
      </w:r>
      <w:r w:rsidR="003B512C">
        <w:rPr>
          <w:szCs w:val="24"/>
        </w:rPr>
        <w:t xml:space="preserve"> insufficient property belonging to the judgment debtor </w:t>
      </w:r>
      <w:r w:rsidR="00D57C8C">
        <w:rPr>
          <w:szCs w:val="24"/>
        </w:rPr>
        <w:t xml:space="preserve">to satisfy the amount in the writ. </w:t>
      </w:r>
    </w:p>
    <w:p w:rsidR="00107BC8" w:rsidRDefault="003C5D07" w:rsidP="006327B5">
      <w:pPr>
        <w:ind w:firstLine="720"/>
        <w:jc w:val="both"/>
        <w:rPr>
          <w:szCs w:val="24"/>
        </w:rPr>
      </w:pPr>
      <w:r w:rsidRPr="003C5D07">
        <w:rPr>
          <w:szCs w:val="24"/>
        </w:rPr>
        <w:t xml:space="preserve">Applicant </w:t>
      </w:r>
      <w:r w:rsidR="00711488">
        <w:rPr>
          <w:szCs w:val="24"/>
        </w:rPr>
        <w:t xml:space="preserve">turned to the directors of the company </w:t>
      </w:r>
      <w:r w:rsidR="00D57C8C">
        <w:rPr>
          <w:szCs w:val="24"/>
        </w:rPr>
        <w:t xml:space="preserve">and </w:t>
      </w:r>
      <w:r w:rsidR="004A45DB">
        <w:rPr>
          <w:szCs w:val="24"/>
        </w:rPr>
        <w:t>sued out this</w:t>
      </w:r>
      <w:r>
        <w:rPr>
          <w:szCs w:val="24"/>
        </w:rPr>
        <w:t xml:space="preserve"> court application against </w:t>
      </w:r>
      <w:r w:rsidR="005D20D8">
        <w:rPr>
          <w:szCs w:val="24"/>
        </w:rPr>
        <w:t>1</w:t>
      </w:r>
      <w:r w:rsidR="005D20D8" w:rsidRPr="005D20D8">
        <w:rPr>
          <w:szCs w:val="24"/>
          <w:vertAlign w:val="superscript"/>
        </w:rPr>
        <w:t>st</w:t>
      </w:r>
      <w:r w:rsidR="005D20D8">
        <w:rPr>
          <w:szCs w:val="24"/>
        </w:rPr>
        <w:t>, 2</w:t>
      </w:r>
      <w:r w:rsidR="005D20D8" w:rsidRPr="005D20D8">
        <w:rPr>
          <w:szCs w:val="24"/>
          <w:vertAlign w:val="superscript"/>
        </w:rPr>
        <w:t>nd</w:t>
      </w:r>
      <w:r w:rsidR="005D20D8">
        <w:rPr>
          <w:szCs w:val="24"/>
        </w:rPr>
        <w:t>, 3</w:t>
      </w:r>
      <w:r w:rsidR="005D20D8" w:rsidRPr="005D20D8">
        <w:rPr>
          <w:szCs w:val="24"/>
          <w:vertAlign w:val="superscript"/>
        </w:rPr>
        <w:t>rd</w:t>
      </w:r>
      <w:r w:rsidR="005D20D8">
        <w:rPr>
          <w:szCs w:val="24"/>
        </w:rPr>
        <w:t>, 4</w:t>
      </w:r>
      <w:r w:rsidR="005D20D8" w:rsidRPr="005D20D8">
        <w:rPr>
          <w:szCs w:val="24"/>
          <w:vertAlign w:val="superscript"/>
        </w:rPr>
        <w:t>th</w:t>
      </w:r>
      <w:r w:rsidR="005D20D8">
        <w:rPr>
          <w:szCs w:val="24"/>
        </w:rPr>
        <w:t>, 5</w:t>
      </w:r>
      <w:r w:rsidR="005D20D8" w:rsidRPr="005D20D8">
        <w:rPr>
          <w:szCs w:val="24"/>
          <w:vertAlign w:val="superscript"/>
        </w:rPr>
        <w:t>th</w:t>
      </w:r>
      <w:r w:rsidR="00711488">
        <w:rPr>
          <w:szCs w:val="24"/>
        </w:rPr>
        <w:t xml:space="preserve"> </w:t>
      </w:r>
      <w:r w:rsidR="006327B5">
        <w:rPr>
          <w:szCs w:val="24"/>
        </w:rPr>
        <w:t xml:space="preserve">respondents </w:t>
      </w:r>
      <w:r w:rsidR="00711488">
        <w:rPr>
          <w:szCs w:val="24"/>
        </w:rPr>
        <w:t>and the company</w:t>
      </w:r>
      <w:r w:rsidR="004A45DB">
        <w:rPr>
          <w:szCs w:val="24"/>
        </w:rPr>
        <w:t xml:space="preserve">, alleging that the </w:t>
      </w:r>
      <w:r w:rsidR="00653899">
        <w:rPr>
          <w:szCs w:val="24"/>
        </w:rPr>
        <w:t xml:space="preserve">directors conducted the </w:t>
      </w:r>
      <w:r w:rsidR="00711488">
        <w:rPr>
          <w:szCs w:val="24"/>
        </w:rPr>
        <w:t>business of the company</w:t>
      </w:r>
      <w:r w:rsidR="00653899">
        <w:rPr>
          <w:szCs w:val="24"/>
        </w:rPr>
        <w:t xml:space="preserve"> in a</w:t>
      </w:r>
      <w:r w:rsidR="004A45DB">
        <w:rPr>
          <w:szCs w:val="24"/>
        </w:rPr>
        <w:t xml:space="preserve"> fraudulent</w:t>
      </w:r>
      <w:r w:rsidR="00653899">
        <w:rPr>
          <w:szCs w:val="24"/>
        </w:rPr>
        <w:t xml:space="preserve"> manner</w:t>
      </w:r>
      <w:r w:rsidR="004A45DB">
        <w:rPr>
          <w:szCs w:val="24"/>
        </w:rPr>
        <w:t xml:space="preserve">, alternatively </w:t>
      </w:r>
      <w:r w:rsidR="00621099">
        <w:rPr>
          <w:szCs w:val="24"/>
        </w:rPr>
        <w:t xml:space="preserve">in a </w:t>
      </w:r>
      <w:r w:rsidR="004A45DB">
        <w:rPr>
          <w:szCs w:val="24"/>
        </w:rPr>
        <w:t>reckless or grossly negligent</w:t>
      </w:r>
      <w:r w:rsidR="00621099">
        <w:rPr>
          <w:szCs w:val="24"/>
        </w:rPr>
        <w:t xml:space="preserve"> manner</w:t>
      </w:r>
      <w:r w:rsidR="004A45DB">
        <w:rPr>
          <w:szCs w:val="24"/>
        </w:rPr>
        <w:t xml:space="preserve">. </w:t>
      </w:r>
      <w:r w:rsidR="00107BC8" w:rsidRPr="00107BC8">
        <w:rPr>
          <w:szCs w:val="24"/>
        </w:rPr>
        <w:t>It is against this background that applicant has launched this application seeking the relief mentioned above.</w:t>
      </w:r>
    </w:p>
    <w:p w:rsidR="00811D91" w:rsidRDefault="006727B5" w:rsidP="00811D91">
      <w:pPr>
        <w:jc w:val="both"/>
        <w:rPr>
          <w:b/>
          <w:szCs w:val="24"/>
        </w:rPr>
      </w:pPr>
      <w:r>
        <w:rPr>
          <w:b/>
          <w:szCs w:val="24"/>
        </w:rPr>
        <w:t>Applicant’s</w:t>
      </w:r>
      <w:r w:rsidR="00F81ED0">
        <w:rPr>
          <w:b/>
          <w:szCs w:val="24"/>
        </w:rPr>
        <w:t xml:space="preserve"> </w:t>
      </w:r>
      <w:r w:rsidR="00811D91" w:rsidRPr="00811D91">
        <w:rPr>
          <w:b/>
          <w:szCs w:val="24"/>
        </w:rPr>
        <w:t xml:space="preserve">case </w:t>
      </w:r>
    </w:p>
    <w:p w:rsidR="00811D91" w:rsidRDefault="00811D91" w:rsidP="00811D91">
      <w:pPr>
        <w:jc w:val="both"/>
        <w:rPr>
          <w:szCs w:val="24"/>
        </w:rPr>
      </w:pPr>
      <w:r>
        <w:rPr>
          <w:b/>
          <w:szCs w:val="24"/>
        </w:rPr>
        <w:tab/>
      </w:r>
      <w:r w:rsidR="00C05E2B">
        <w:rPr>
          <w:szCs w:val="24"/>
        </w:rPr>
        <w:t xml:space="preserve">Applicant avers that in November 2017, it was approached by one Mike </w:t>
      </w:r>
      <w:proofErr w:type="spellStart"/>
      <w:r w:rsidR="00C05E2B">
        <w:rPr>
          <w:szCs w:val="24"/>
        </w:rPr>
        <w:t>Favour</w:t>
      </w:r>
      <w:proofErr w:type="spellEnd"/>
      <w:r w:rsidR="00C05E2B">
        <w:rPr>
          <w:szCs w:val="24"/>
        </w:rPr>
        <w:t xml:space="preserve"> </w:t>
      </w:r>
      <w:proofErr w:type="spellStart"/>
      <w:r w:rsidR="00C05E2B">
        <w:rPr>
          <w:szCs w:val="24"/>
        </w:rPr>
        <w:t>Sayi</w:t>
      </w:r>
      <w:proofErr w:type="spellEnd"/>
      <w:r w:rsidR="00C05E2B">
        <w:rPr>
          <w:szCs w:val="24"/>
        </w:rPr>
        <w:t xml:space="preserve">, who advised that he could facilitate a commercial transaction between </w:t>
      </w:r>
      <w:r w:rsidR="00EC26A0">
        <w:rPr>
          <w:szCs w:val="24"/>
        </w:rPr>
        <w:t>applicant and the company</w:t>
      </w:r>
      <w:r w:rsidR="00B246F2">
        <w:rPr>
          <w:szCs w:val="24"/>
        </w:rPr>
        <w:t>.  In terms of which applicant would pay</w:t>
      </w:r>
      <w:r w:rsidR="00911148">
        <w:rPr>
          <w:szCs w:val="24"/>
        </w:rPr>
        <w:t xml:space="preserve"> cer</w:t>
      </w:r>
      <w:r w:rsidR="00B246F2">
        <w:rPr>
          <w:szCs w:val="24"/>
        </w:rPr>
        <w:t xml:space="preserve">tain monies </w:t>
      </w:r>
      <w:r w:rsidR="00EC26A0">
        <w:rPr>
          <w:szCs w:val="24"/>
        </w:rPr>
        <w:t xml:space="preserve">into </w:t>
      </w:r>
      <w:r w:rsidR="008141AD">
        <w:rPr>
          <w:szCs w:val="24"/>
        </w:rPr>
        <w:t xml:space="preserve">the </w:t>
      </w:r>
      <w:r w:rsidR="00EC26A0">
        <w:rPr>
          <w:szCs w:val="24"/>
        </w:rPr>
        <w:t>company’s</w:t>
      </w:r>
      <w:r w:rsidR="003E3A01">
        <w:rPr>
          <w:szCs w:val="24"/>
        </w:rPr>
        <w:t xml:space="preserve"> bank account in Zimbabwe a</w:t>
      </w:r>
      <w:r w:rsidR="008141AD">
        <w:rPr>
          <w:szCs w:val="24"/>
        </w:rPr>
        <w:t>nd it</w:t>
      </w:r>
      <w:r w:rsidR="003E3A01">
        <w:rPr>
          <w:szCs w:val="24"/>
        </w:rPr>
        <w:t xml:space="preserve"> would then pay applicant’s suppliers in South Africa. </w:t>
      </w:r>
      <w:r w:rsidR="002D623B">
        <w:rPr>
          <w:szCs w:val="24"/>
        </w:rPr>
        <w:t>Applicant says o</w:t>
      </w:r>
      <w:r w:rsidR="00280513">
        <w:rPr>
          <w:szCs w:val="24"/>
        </w:rPr>
        <w:t xml:space="preserve">n the 16 November 2017, </w:t>
      </w:r>
      <w:r w:rsidR="00FD4108">
        <w:rPr>
          <w:szCs w:val="24"/>
        </w:rPr>
        <w:t>7</w:t>
      </w:r>
      <w:r w:rsidR="00FD4108" w:rsidRPr="00FD4108">
        <w:rPr>
          <w:szCs w:val="24"/>
          <w:vertAlign w:val="superscript"/>
        </w:rPr>
        <w:t>th</w:t>
      </w:r>
      <w:r w:rsidR="00FD4108">
        <w:rPr>
          <w:szCs w:val="24"/>
        </w:rPr>
        <w:t xml:space="preserve"> respondent and one </w:t>
      </w:r>
      <w:proofErr w:type="spellStart"/>
      <w:r w:rsidR="00FD4108">
        <w:rPr>
          <w:szCs w:val="24"/>
        </w:rPr>
        <w:t>Mr</w:t>
      </w:r>
      <w:proofErr w:type="spellEnd"/>
      <w:r w:rsidR="00FD4108">
        <w:rPr>
          <w:szCs w:val="24"/>
        </w:rPr>
        <w:t xml:space="preserve"> Clyde </w:t>
      </w:r>
      <w:proofErr w:type="spellStart"/>
      <w:r w:rsidR="00FD4108">
        <w:rPr>
          <w:szCs w:val="24"/>
        </w:rPr>
        <w:t>Chimedza</w:t>
      </w:r>
      <w:proofErr w:type="spellEnd"/>
      <w:r w:rsidR="00FD4108">
        <w:rPr>
          <w:szCs w:val="24"/>
        </w:rPr>
        <w:t xml:space="preserve"> confirmed that the Reserve Bank of Zimbabwe </w:t>
      </w:r>
      <w:r w:rsidR="008E30BC">
        <w:rPr>
          <w:szCs w:val="24"/>
        </w:rPr>
        <w:t xml:space="preserve">had approved such transactions. </w:t>
      </w:r>
      <w:r w:rsidR="009A2A20">
        <w:rPr>
          <w:szCs w:val="24"/>
        </w:rPr>
        <w:t xml:space="preserve">The deponent to the applicant’s founding affidavit says it was shown references of payments made on behalf of other companies who had utilized the same facility which convinced him of its authenticity. </w:t>
      </w:r>
    </w:p>
    <w:p w:rsidR="006E4F9D" w:rsidRDefault="006E4F9D" w:rsidP="00811D91">
      <w:pPr>
        <w:jc w:val="both"/>
        <w:rPr>
          <w:szCs w:val="24"/>
        </w:rPr>
      </w:pPr>
      <w:r>
        <w:rPr>
          <w:szCs w:val="24"/>
        </w:rPr>
        <w:lastRenderedPageBreak/>
        <w:tab/>
        <w:t>It i</w:t>
      </w:r>
      <w:r w:rsidR="00215560">
        <w:rPr>
          <w:szCs w:val="24"/>
        </w:rPr>
        <w:t>s contended that applicant and the company</w:t>
      </w:r>
      <w:r w:rsidR="005D5CEE">
        <w:rPr>
          <w:szCs w:val="24"/>
        </w:rPr>
        <w:t xml:space="preserve"> then</w:t>
      </w:r>
      <w:r>
        <w:rPr>
          <w:szCs w:val="24"/>
        </w:rPr>
        <w:t xml:space="preserve"> entered into a verbal agreeme</w:t>
      </w:r>
      <w:r w:rsidR="009A6771">
        <w:rPr>
          <w:szCs w:val="24"/>
        </w:rPr>
        <w:t>nt,</w:t>
      </w:r>
      <w:r w:rsidR="005D5CEE">
        <w:rPr>
          <w:szCs w:val="24"/>
        </w:rPr>
        <w:t xml:space="preserve"> the material terms being that the company </w:t>
      </w:r>
      <w:r w:rsidR="009A6771">
        <w:rPr>
          <w:szCs w:val="24"/>
        </w:rPr>
        <w:t xml:space="preserve">would receive certain monies from the applicant in Zimbabwe and in turn make payments to applicant’s nominated suppliers in South Africa. </w:t>
      </w:r>
      <w:r w:rsidR="00387230">
        <w:rPr>
          <w:szCs w:val="24"/>
        </w:rPr>
        <w:t>From the 21</w:t>
      </w:r>
      <w:r w:rsidR="00387230" w:rsidRPr="00387230">
        <w:rPr>
          <w:szCs w:val="24"/>
          <w:vertAlign w:val="superscript"/>
        </w:rPr>
        <w:t>st</w:t>
      </w:r>
      <w:r w:rsidR="00784FAF">
        <w:rPr>
          <w:szCs w:val="24"/>
        </w:rPr>
        <w:t xml:space="preserve"> November 2017</w:t>
      </w:r>
      <w:r w:rsidR="00387230">
        <w:rPr>
          <w:szCs w:val="24"/>
        </w:rPr>
        <w:t xml:space="preserve"> to the 30</w:t>
      </w:r>
      <w:r w:rsidR="00387230" w:rsidRPr="00387230">
        <w:rPr>
          <w:szCs w:val="24"/>
          <w:vertAlign w:val="superscript"/>
        </w:rPr>
        <w:t>th</w:t>
      </w:r>
      <w:r w:rsidR="00387230">
        <w:rPr>
          <w:szCs w:val="24"/>
        </w:rPr>
        <w:t xml:space="preserve"> November 2017 applicant paid </w:t>
      </w:r>
      <w:r w:rsidR="00AA4FBE">
        <w:rPr>
          <w:szCs w:val="24"/>
        </w:rPr>
        <w:t>t</w:t>
      </w:r>
      <w:r w:rsidR="00926D5B">
        <w:rPr>
          <w:szCs w:val="24"/>
        </w:rPr>
        <w:t>he sum of USD220 336.42 to the company. Applicant supplied the company</w:t>
      </w:r>
      <w:r w:rsidR="00AA4FBE">
        <w:rPr>
          <w:szCs w:val="24"/>
        </w:rPr>
        <w:t xml:space="preserve"> with the details </w:t>
      </w:r>
      <w:r w:rsidR="00CF2EFB">
        <w:rPr>
          <w:szCs w:val="24"/>
        </w:rPr>
        <w:t>of its suppliers in Sout</w:t>
      </w:r>
      <w:r w:rsidR="00926D5B">
        <w:rPr>
          <w:szCs w:val="24"/>
        </w:rPr>
        <w:t>h Afr</w:t>
      </w:r>
      <w:r w:rsidR="002C09F3">
        <w:rPr>
          <w:szCs w:val="24"/>
        </w:rPr>
        <w:t>ica to whom</w:t>
      </w:r>
      <w:r w:rsidR="00CF2EFB">
        <w:rPr>
          <w:szCs w:val="24"/>
        </w:rPr>
        <w:t xml:space="preserve"> </w:t>
      </w:r>
      <w:r w:rsidR="00926D5B">
        <w:rPr>
          <w:szCs w:val="24"/>
        </w:rPr>
        <w:t>payment</w:t>
      </w:r>
      <w:r w:rsidR="002C09F3">
        <w:rPr>
          <w:szCs w:val="24"/>
        </w:rPr>
        <w:t>s were</w:t>
      </w:r>
      <w:r w:rsidR="00926D5B">
        <w:rPr>
          <w:szCs w:val="24"/>
        </w:rPr>
        <w:t xml:space="preserve"> to </w:t>
      </w:r>
      <w:r w:rsidR="002C09F3">
        <w:rPr>
          <w:szCs w:val="24"/>
        </w:rPr>
        <w:t xml:space="preserve">be </w:t>
      </w:r>
      <w:r w:rsidR="00926D5B">
        <w:rPr>
          <w:szCs w:val="24"/>
        </w:rPr>
        <w:t>made as</w:t>
      </w:r>
      <w:r w:rsidR="002C09F3">
        <w:rPr>
          <w:szCs w:val="24"/>
        </w:rPr>
        <w:t xml:space="preserve"> agreed</w:t>
      </w:r>
      <w:r w:rsidR="00CF2EFB">
        <w:rPr>
          <w:szCs w:val="24"/>
        </w:rPr>
        <w:t>. It is contended that in material breach of the agreement, and despite repeated demands</w:t>
      </w:r>
      <w:r w:rsidR="002C09F3">
        <w:rPr>
          <w:szCs w:val="24"/>
        </w:rPr>
        <w:t>, the company</w:t>
      </w:r>
      <w:r w:rsidR="007374BB">
        <w:rPr>
          <w:szCs w:val="24"/>
        </w:rPr>
        <w:t xml:space="preserve"> failed, refused or neglected to make the said payments to the applicant’s suppliers in South Africa. </w:t>
      </w:r>
    </w:p>
    <w:p w:rsidR="00DE699A" w:rsidRDefault="00BC2C67" w:rsidP="00A61668">
      <w:pPr>
        <w:jc w:val="both"/>
        <w:rPr>
          <w:szCs w:val="24"/>
        </w:rPr>
      </w:pPr>
      <w:r>
        <w:rPr>
          <w:szCs w:val="24"/>
        </w:rPr>
        <w:tab/>
        <w:t>Appl</w:t>
      </w:r>
      <w:r w:rsidR="00845A27">
        <w:rPr>
          <w:szCs w:val="24"/>
        </w:rPr>
        <w:t>icant contends that</w:t>
      </w:r>
      <w:r w:rsidR="00BE7CCD">
        <w:rPr>
          <w:szCs w:val="24"/>
        </w:rPr>
        <w:t xml:space="preserve"> the business of the company</w:t>
      </w:r>
      <w:r>
        <w:rPr>
          <w:szCs w:val="24"/>
        </w:rPr>
        <w:t xml:space="preserve"> was car</w:t>
      </w:r>
      <w:r w:rsidR="009E4EA5">
        <w:rPr>
          <w:szCs w:val="24"/>
        </w:rPr>
        <w:t>ried out in a fraudulent manner</w:t>
      </w:r>
      <w:r w:rsidR="00E522C8">
        <w:rPr>
          <w:szCs w:val="24"/>
        </w:rPr>
        <w:t xml:space="preserve"> in that</w:t>
      </w:r>
      <w:r w:rsidR="00A61668">
        <w:rPr>
          <w:szCs w:val="24"/>
        </w:rPr>
        <w:t xml:space="preserve"> t</w:t>
      </w:r>
      <w:r w:rsidR="00BE7CCD">
        <w:rPr>
          <w:szCs w:val="24"/>
        </w:rPr>
        <w:t>he company through its</w:t>
      </w:r>
      <w:r w:rsidR="00E522C8" w:rsidRPr="00A61668">
        <w:rPr>
          <w:szCs w:val="24"/>
        </w:rPr>
        <w:t xml:space="preserve"> agents made </w:t>
      </w:r>
      <w:r w:rsidR="000D3408">
        <w:rPr>
          <w:szCs w:val="24"/>
        </w:rPr>
        <w:t xml:space="preserve">fraudulent </w:t>
      </w:r>
      <w:r w:rsidR="00E522C8" w:rsidRPr="00A61668">
        <w:rPr>
          <w:szCs w:val="24"/>
        </w:rPr>
        <w:t>representations to the applicant that</w:t>
      </w:r>
      <w:r w:rsidR="00A61668">
        <w:rPr>
          <w:szCs w:val="24"/>
        </w:rPr>
        <w:t xml:space="preserve"> i</w:t>
      </w:r>
      <w:r w:rsidR="00287A31" w:rsidRPr="00A61668">
        <w:rPr>
          <w:szCs w:val="24"/>
        </w:rPr>
        <w:t>f applicant paid money to it in Zimbabwe, it would pay the applicant</w:t>
      </w:r>
      <w:r w:rsidR="00A61668">
        <w:rPr>
          <w:szCs w:val="24"/>
        </w:rPr>
        <w:t>’s suppliers in South Africa; that i</w:t>
      </w:r>
      <w:r w:rsidR="00DE699A" w:rsidRPr="00A61668">
        <w:rPr>
          <w:szCs w:val="24"/>
        </w:rPr>
        <w:t>t had the Reserve Bank authority and approval to use its foreign currency in South Africa to pay applicant’s suppliers</w:t>
      </w:r>
      <w:r w:rsidR="00A61668">
        <w:rPr>
          <w:szCs w:val="24"/>
        </w:rPr>
        <w:t>; and that i</w:t>
      </w:r>
      <w:r w:rsidR="00DE699A" w:rsidRPr="00A61668">
        <w:rPr>
          <w:szCs w:val="24"/>
        </w:rPr>
        <w:t xml:space="preserve">t had the capacity to pay applicant’s suppliers in South Africa. </w:t>
      </w:r>
    </w:p>
    <w:p w:rsidR="00A614E2" w:rsidRDefault="0028055E" w:rsidP="00A61668">
      <w:pPr>
        <w:jc w:val="both"/>
        <w:rPr>
          <w:szCs w:val="24"/>
        </w:rPr>
      </w:pPr>
      <w:r>
        <w:rPr>
          <w:szCs w:val="24"/>
        </w:rPr>
        <w:tab/>
        <w:t>It is alleged that applicant relied upon such representations in en</w:t>
      </w:r>
      <w:r w:rsidR="000D3408">
        <w:rPr>
          <w:szCs w:val="24"/>
        </w:rPr>
        <w:t>tering into the agreement with the company</w:t>
      </w:r>
      <w:r>
        <w:rPr>
          <w:szCs w:val="24"/>
        </w:rPr>
        <w:t xml:space="preserve"> </w:t>
      </w:r>
      <w:r w:rsidR="00251A62">
        <w:rPr>
          <w:szCs w:val="24"/>
        </w:rPr>
        <w:t xml:space="preserve">and paying </w:t>
      </w:r>
      <w:r w:rsidR="000D3408">
        <w:rPr>
          <w:szCs w:val="24"/>
        </w:rPr>
        <w:t xml:space="preserve">it </w:t>
      </w:r>
      <w:r w:rsidR="00251A62">
        <w:rPr>
          <w:szCs w:val="24"/>
        </w:rPr>
        <w:t>the sum of USD220 336.42. It is averred that such repr</w:t>
      </w:r>
      <w:r w:rsidR="000D3408">
        <w:rPr>
          <w:szCs w:val="24"/>
        </w:rPr>
        <w:t xml:space="preserve">esentations were false in that the company </w:t>
      </w:r>
      <w:r w:rsidR="00251A62">
        <w:rPr>
          <w:szCs w:val="24"/>
        </w:rPr>
        <w:t xml:space="preserve">failed to make the payment to the suppliers in South Africa. </w:t>
      </w:r>
      <w:r w:rsidR="009F793E">
        <w:rPr>
          <w:szCs w:val="24"/>
        </w:rPr>
        <w:t>It is contended that the company</w:t>
      </w:r>
      <w:r w:rsidR="00B0079F">
        <w:rPr>
          <w:szCs w:val="24"/>
        </w:rPr>
        <w:t xml:space="preserve"> compounded its fraudulent activities by refusing to return the sum of USD220 336.42 to the applicant. </w:t>
      </w:r>
      <w:r w:rsidR="00A614E2">
        <w:rPr>
          <w:szCs w:val="24"/>
        </w:rPr>
        <w:t>It is averred that in HC</w:t>
      </w:r>
      <w:r w:rsidR="00EB53A9">
        <w:rPr>
          <w:szCs w:val="24"/>
        </w:rPr>
        <w:t xml:space="preserve"> 1105/18 </w:t>
      </w:r>
      <w:r w:rsidR="009F793E">
        <w:rPr>
          <w:szCs w:val="24"/>
        </w:rPr>
        <w:t>the company</w:t>
      </w:r>
      <w:r w:rsidR="00AB5284">
        <w:rPr>
          <w:szCs w:val="24"/>
        </w:rPr>
        <w:t xml:space="preserve"> raised a defense that it did not have Reserve Bank authority or approval to use its foreign currency in South Africa to pay applicant’s suppliers. </w:t>
      </w:r>
    </w:p>
    <w:p w:rsidR="00A61668" w:rsidRPr="00C42BD9" w:rsidRDefault="00D10607" w:rsidP="00C42BD9">
      <w:pPr>
        <w:jc w:val="both"/>
        <w:rPr>
          <w:szCs w:val="24"/>
        </w:rPr>
      </w:pPr>
      <w:r>
        <w:rPr>
          <w:szCs w:val="24"/>
        </w:rPr>
        <w:tab/>
        <w:t>It is contended that further a</w:t>
      </w:r>
      <w:r w:rsidR="00FD5935">
        <w:rPr>
          <w:szCs w:val="24"/>
        </w:rPr>
        <w:t>nd / or in the alternative the company</w:t>
      </w:r>
      <w:r>
        <w:rPr>
          <w:szCs w:val="24"/>
        </w:rPr>
        <w:t xml:space="preserve"> </w:t>
      </w:r>
      <w:r w:rsidR="004A6568">
        <w:rPr>
          <w:szCs w:val="24"/>
        </w:rPr>
        <w:t xml:space="preserve">carried out its business recklessly or with gross negligence in that it willfully failed to perform its obligations under the contract but rather misappropriated </w:t>
      </w:r>
      <w:r w:rsidR="00A41355">
        <w:rPr>
          <w:szCs w:val="24"/>
        </w:rPr>
        <w:t>applicant’</w:t>
      </w:r>
      <w:r w:rsidR="00C42BD9">
        <w:rPr>
          <w:szCs w:val="24"/>
        </w:rPr>
        <w:t xml:space="preserve">s funds for its own use, was neither </w:t>
      </w:r>
      <w:r w:rsidR="002D768A">
        <w:rPr>
          <w:szCs w:val="24"/>
        </w:rPr>
        <w:t xml:space="preserve">able to repay the funds nor did it have </w:t>
      </w:r>
      <w:r w:rsidR="00C42BD9">
        <w:rPr>
          <w:szCs w:val="24"/>
        </w:rPr>
        <w:t xml:space="preserve">attachable assets in execution. </w:t>
      </w:r>
    </w:p>
    <w:p w:rsidR="00F24363" w:rsidRDefault="00F24363" w:rsidP="00811D91">
      <w:pPr>
        <w:jc w:val="both"/>
        <w:rPr>
          <w:szCs w:val="24"/>
        </w:rPr>
      </w:pPr>
      <w:r>
        <w:rPr>
          <w:szCs w:val="24"/>
        </w:rPr>
        <w:tab/>
        <w:t xml:space="preserve">In its answering affidavit applicant avers that in terms of </w:t>
      </w:r>
      <w:r w:rsidR="002F4C98">
        <w:rPr>
          <w:szCs w:val="24"/>
        </w:rPr>
        <w:t>the current Particulars of Register of Dire</w:t>
      </w:r>
      <w:r w:rsidR="00FD5935">
        <w:rPr>
          <w:szCs w:val="24"/>
        </w:rPr>
        <w:t>ctors and Shareholders (C.R. 14 for the company</w:t>
      </w:r>
      <w:r w:rsidR="002D768A">
        <w:rPr>
          <w:szCs w:val="24"/>
        </w:rPr>
        <w:t>)</w:t>
      </w:r>
      <w:r w:rsidR="002F4C98">
        <w:rPr>
          <w:szCs w:val="24"/>
        </w:rPr>
        <w:t xml:space="preserve"> </w:t>
      </w:r>
      <w:r w:rsidR="00E93ECF">
        <w:rPr>
          <w:szCs w:val="24"/>
        </w:rPr>
        <w:t>1</w:t>
      </w:r>
      <w:r w:rsidR="00E93ECF" w:rsidRPr="00E93ECF">
        <w:rPr>
          <w:szCs w:val="24"/>
          <w:vertAlign w:val="superscript"/>
        </w:rPr>
        <w:t>st</w:t>
      </w:r>
      <w:r w:rsidR="00E93ECF">
        <w:rPr>
          <w:szCs w:val="24"/>
        </w:rPr>
        <w:t xml:space="preserve"> respondent is listed as a director. </w:t>
      </w:r>
      <w:r w:rsidR="00422C9B">
        <w:rPr>
          <w:szCs w:val="24"/>
        </w:rPr>
        <w:t>It is contended that 1</w:t>
      </w:r>
      <w:r w:rsidR="00422C9B" w:rsidRPr="00422C9B">
        <w:rPr>
          <w:szCs w:val="24"/>
          <w:vertAlign w:val="superscript"/>
        </w:rPr>
        <w:t>st</w:t>
      </w:r>
      <w:r w:rsidR="00422C9B">
        <w:rPr>
          <w:szCs w:val="24"/>
        </w:rPr>
        <w:t xml:space="preserve"> respondent is not absolved of liability by either his purported </w:t>
      </w:r>
      <w:r w:rsidR="00422C9B">
        <w:rPr>
          <w:szCs w:val="24"/>
        </w:rPr>
        <w:lastRenderedPageBreak/>
        <w:t xml:space="preserve">resignation </w:t>
      </w:r>
      <w:r w:rsidR="008846F5">
        <w:rPr>
          <w:szCs w:val="24"/>
        </w:rPr>
        <w:t xml:space="preserve">from the directorship of the company </w:t>
      </w:r>
      <w:r w:rsidR="00422C9B">
        <w:rPr>
          <w:szCs w:val="24"/>
        </w:rPr>
        <w:t>or the indemnity</w:t>
      </w:r>
      <w:r w:rsidR="008846F5">
        <w:rPr>
          <w:szCs w:val="24"/>
        </w:rPr>
        <w:t xml:space="preserve"> given to him by the company</w:t>
      </w:r>
      <w:r w:rsidR="00422C9B">
        <w:rPr>
          <w:szCs w:val="24"/>
        </w:rPr>
        <w:t xml:space="preserve">. </w:t>
      </w:r>
    </w:p>
    <w:p w:rsidR="00AA4FBE" w:rsidRPr="00E8796B" w:rsidRDefault="00E8796B" w:rsidP="00811D91">
      <w:pPr>
        <w:jc w:val="both"/>
        <w:rPr>
          <w:b/>
          <w:szCs w:val="24"/>
        </w:rPr>
      </w:pPr>
      <w:r w:rsidRPr="00E8796B">
        <w:rPr>
          <w:b/>
          <w:szCs w:val="24"/>
        </w:rPr>
        <w:t>1</w:t>
      </w:r>
      <w:r w:rsidRPr="00E8796B">
        <w:rPr>
          <w:b/>
          <w:szCs w:val="24"/>
          <w:vertAlign w:val="superscript"/>
        </w:rPr>
        <w:t>st</w:t>
      </w:r>
      <w:r w:rsidR="00F20A67">
        <w:rPr>
          <w:b/>
          <w:szCs w:val="24"/>
        </w:rPr>
        <w:t xml:space="preserve"> respondent’s</w:t>
      </w:r>
      <w:r w:rsidR="00F81ED0">
        <w:rPr>
          <w:b/>
          <w:szCs w:val="24"/>
        </w:rPr>
        <w:t xml:space="preserve"> </w:t>
      </w:r>
      <w:r w:rsidRPr="00E8796B">
        <w:rPr>
          <w:b/>
          <w:szCs w:val="24"/>
        </w:rPr>
        <w:t>case</w:t>
      </w:r>
    </w:p>
    <w:p w:rsidR="00E8796B" w:rsidRDefault="00E8796B" w:rsidP="00811D91">
      <w:pPr>
        <w:jc w:val="both"/>
        <w:rPr>
          <w:szCs w:val="24"/>
        </w:rPr>
      </w:pPr>
      <w:r>
        <w:rPr>
          <w:szCs w:val="24"/>
        </w:rPr>
        <w:tab/>
      </w:r>
      <w:r w:rsidR="0051298A">
        <w:rPr>
          <w:szCs w:val="24"/>
        </w:rPr>
        <w:t>1</w:t>
      </w:r>
      <w:r w:rsidR="0051298A" w:rsidRPr="0051298A">
        <w:rPr>
          <w:szCs w:val="24"/>
          <w:vertAlign w:val="superscript"/>
        </w:rPr>
        <w:t>st</w:t>
      </w:r>
      <w:r w:rsidR="0051298A">
        <w:rPr>
          <w:szCs w:val="24"/>
        </w:rPr>
        <w:t xml:space="preserve"> respondent a</w:t>
      </w:r>
      <w:r w:rsidR="0007282F">
        <w:rPr>
          <w:szCs w:val="24"/>
        </w:rPr>
        <w:t xml:space="preserve">vers that he was a director of the company and </w:t>
      </w:r>
      <w:r w:rsidR="0051298A">
        <w:rPr>
          <w:szCs w:val="24"/>
        </w:rPr>
        <w:t xml:space="preserve">initially served on the Board with </w:t>
      </w:r>
      <w:r w:rsidR="00464C97">
        <w:rPr>
          <w:szCs w:val="24"/>
        </w:rPr>
        <w:t>2</w:t>
      </w:r>
      <w:r w:rsidR="00464C97" w:rsidRPr="00464C97">
        <w:rPr>
          <w:szCs w:val="24"/>
          <w:vertAlign w:val="superscript"/>
        </w:rPr>
        <w:t>nd</w:t>
      </w:r>
      <w:r w:rsidR="00464C97">
        <w:rPr>
          <w:szCs w:val="24"/>
        </w:rPr>
        <w:t xml:space="preserve"> and 5</w:t>
      </w:r>
      <w:r w:rsidR="00464C97" w:rsidRPr="00464C97">
        <w:rPr>
          <w:szCs w:val="24"/>
          <w:vertAlign w:val="superscript"/>
        </w:rPr>
        <w:t>th</w:t>
      </w:r>
      <w:r w:rsidR="0007282F">
        <w:rPr>
          <w:szCs w:val="24"/>
        </w:rPr>
        <w:t xml:space="preserve"> respondents. When the company</w:t>
      </w:r>
      <w:r w:rsidR="00464C97">
        <w:rPr>
          <w:szCs w:val="24"/>
        </w:rPr>
        <w:t xml:space="preserve"> changed shareholding he served on the Board with Cassidy </w:t>
      </w:r>
      <w:proofErr w:type="spellStart"/>
      <w:r w:rsidR="00464C97">
        <w:rPr>
          <w:szCs w:val="24"/>
        </w:rPr>
        <w:t>Mugwagwa</w:t>
      </w:r>
      <w:proofErr w:type="spellEnd"/>
      <w:r w:rsidR="00464C97">
        <w:rPr>
          <w:szCs w:val="24"/>
        </w:rPr>
        <w:t xml:space="preserve">. </w:t>
      </w:r>
      <w:r w:rsidR="00BE6405">
        <w:rPr>
          <w:szCs w:val="24"/>
        </w:rPr>
        <w:t xml:space="preserve">His tenure in the Boards was predicated on the need to have an aviation expert, </w:t>
      </w:r>
      <w:r w:rsidR="00FE2AC9">
        <w:rPr>
          <w:szCs w:val="24"/>
        </w:rPr>
        <w:t xml:space="preserve">as a pilot he was appointed for the purposes of complying with regulatory requirements. </w:t>
      </w:r>
    </w:p>
    <w:p w:rsidR="00727DDC" w:rsidRDefault="00727DDC" w:rsidP="00811D91">
      <w:pPr>
        <w:jc w:val="both"/>
        <w:rPr>
          <w:szCs w:val="24"/>
        </w:rPr>
      </w:pPr>
      <w:r>
        <w:rPr>
          <w:szCs w:val="24"/>
        </w:rPr>
        <w:tab/>
        <w:t>This respondent avers that he was in essence a non-executive director and he</w:t>
      </w:r>
      <w:r w:rsidR="00E45436">
        <w:rPr>
          <w:szCs w:val="24"/>
        </w:rPr>
        <w:t xml:space="preserve"> had no knowledge or access to company</w:t>
      </w:r>
      <w:r>
        <w:rPr>
          <w:szCs w:val="24"/>
        </w:rPr>
        <w:t xml:space="preserve">’s day to day financial dealings </w:t>
      </w:r>
      <w:r w:rsidR="00DA2BDD">
        <w:rPr>
          <w:szCs w:val="24"/>
        </w:rPr>
        <w:t>as this was not part of his duties. He neither car</w:t>
      </w:r>
      <w:r w:rsidR="0009729E">
        <w:rPr>
          <w:szCs w:val="24"/>
        </w:rPr>
        <w:t>ried out any financial tasks nor</w:t>
      </w:r>
      <w:r w:rsidR="00DA2BDD">
        <w:rPr>
          <w:szCs w:val="24"/>
        </w:rPr>
        <w:t xml:space="preserve"> was he a signatory </w:t>
      </w:r>
      <w:r w:rsidR="0009729E">
        <w:rPr>
          <w:szCs w:val="24"/>
        </w:rPr>
        <w:t>to the company</w:t>
      </w:r>
      <w:r w:rsidR="000058E1">
        <w:rPr>
          <w:szCs w:val="24"/>
        </w:rPr>
        <w:t>’s bank accounts. His duties were to interface with th</w:t>
      </w:r>
      <w:r w:rsidR="0009729E">
        <w:rPr>
          <w:szCs w:val="24"/>
        </w:rPr>
        <w:t>e regulator and to ensure that the company</w:t>
      </w:r>
      <w:r w:rsidR="000058E1">
        <w:rPr>
          <w:szCs w:val="24"/>
        </w:rPr>
        <w:t xml:space="preserve"> was </w:t>
      </w:r>
      <w:r w:rsidR="00D20C62">
        <w:rPr>
          <w:szCs w:val="24"/>
        </w:rPr>
        <w:t xml:space="preserve">complying with aviation requirements. </w:t>
      </w:r>
    </w:p>
    <w:p w:rsidR="00D20C62" w:rsidRDefault="00D20C62" w:rsidP="00811D91">
      <w:pPr>
        <w:jc w:val="both"/>
        <w:rPr>
          <w:szCs w:val="24"/>
        </w:rPr>
      </w:pPr>
      <w:r>
        <w:rPr>
          <w:szCs w:val="24"/>
        </w:rPr>
        <w:tab/>
        <w:t xml:space="preserve">It is contended that he resigned </w:t>
      </w:r>
      <w:r w:rsidR="003358DE">
        <w:rPr>
          <w:szCs w:val="24"/>
        </w:rPr>
        <w:t>as director of</w:t>
      </w:r>
      <w:r w:rsidR="006F24FB">
        <w:rPr>
          <w:szCs w:val="24"/>
        </w:rPr>
        <w:t xml:space="preserve"> the company</w:t>
      </w:r>
      <w:r w:rsidR="00153A75">
        <w:rPr>
          <w:szCs w:val="24"/>
        </w:rPr>
        <w:t xml:space="preserve"> on the 24 January 2017. </w:t>
      </w:r>
      <w:r w:rsidR="000D7EC4">
        <w:rPr>
          <w:szCs w:val="24"/>
        </w:rPr>
        <w:t>His resignation was caused by the fact that he was at that stage working for</w:t>
      </w:r>
      <w:r w:rsidR="006F24FB">
        <w:rPr>
          <w:szCs w:val="24"/>
        </w:rPr>
        <w:t xml:space="preserve"> another airline. He requested the company</w:t>
      </w:r>
      <w:r w:rsidR="000D7EC4">
        <w:rPr>
          <w:szCs w:val="24"/>
        </w:rPr>
        <w:t xml:space="preserve"> to provide him with an indemnity, </w:t>
      </w:r>
      <w:r w:rsidR="00BD4199">
        <w:rPr>
          <w:szCs w:val="24"/>
        </w:rPr>
        <w:t xml:space="preserve">and such an indemnity was duly provided. He had hoped that the new Board will lodge a new CR14 to reflect his resignation. </w:t>
      </w:r>
    </w:p>
    <w:p w:rsidR="00F81ED0" w:rsidRDefault="00D4271B" w:rsidP="00811D91">
      <w:pPr>
        <w:jc w:val="both"/>
        <w:rPr>
          <w:b/>
          <w:szCs w:val="24"/>
        </w:rPr>
      </w:pPr>
      <w:r>
        <w:rPr>
          <w:szCs w:val="24"/>
        </w:rPr>
        <w:tab/>
      </w:r>
      <w:r w:rsidR="00967431">
        <w:rPr>
          <w:szCs w:val="24"/>
        </w:rPr>
        <w:t>Further 1</w:t>
      </w:r>
      <w:r w:rsidR="00967431" w:rsidRPr="00967431">
        <w:rPr>
          <w:szCs w:val="24"/>
          <w:vertAlign w:val="superscript"/>
        </w:rPr>
        <w:t>st</w:t>
      </w:r>
      <w:r w:rsidR="00967431">
        <w:rPr>
          <w:szCs w:val="24"/>
        </w:rPr>
        <w:t xml:space="preserve"> respondent avers that he is not privy and has no knowledge of the facts or allegations that led to this application. </w:t>
      </w:r>
      <w:r w:rsidR="00087FA0">
        <w:rPr>
          <w:szCs w:val="24"/>
        </w:rPr>
        <w:t>He is not privy and has no knowledge of the circumstances that led to the pa</w:t>
      </w:r>
      <w:r w:rsidR="006F24FB">
        <w:rPr>
          <w:szCs w:val="24"/>
        </w:rPr>
        <w:t>yment of USD 220 336.42 to the company</w:t>
      </w:r>
      <w:r w:rsidR="0037062F">
        <w:rPr>
          <w:szCs w:val="24"/>
        </w:rPr>
        <w:t xml:space="preserve">, and he believes that Cassidy </w:t>
      </w:r>
      <w:proofErr w:type="spellStart"/>
      <w:r w:rsidR="0037062F">
        <w:rPr>
          <w:szCs w:val="24"/>
        </w:rPr>
        <w:t>Mugwagwa</w:t>
      </w:r>
      <w:proofErr w:type="spellEnd"/>
      <w:r w:rsidR="0037062F">
        <w:rPr>
          <w:szCs w:val="24"/>
        </w:rPr>
        <w:t xml:space="preserve"> is better placed to address the issues raised by the applicant. </w:t>
      </w:r>
      <w:r w:rsidR="00620554">
        <w:rPr>
          <w:szCs w:val="24"/>
        </w:rPr>
        <w:t>He contends</w:t>
      </w:r>
      <w:r w:rsidR="00980768">
        <w:rPr>
          <w:szCs w:val="24"/>
        </w:rPr>
        <w:t xml:space="preserve"> that he was not a director of the company</w:t>
      </w:r>
      <w:r w:rsidR="00620554">
        <w:rPr>
          <w:szCs w:val="24"/>
        </w:rPr>
        <w:t xml:space="preserve"> </w:t>
      </w:r>
      <w:r w:rsidR="00F35684">
        <w:rPr>
          <w:szCs w:val="24"/>
        </w:rPr>
        <w:t>when the cause of action arose and did not knowingly participate in the carr</w:t>
      </w:r>
      <w:r w:rsidR="00980768">
        <w:rPr>
          <w:szCs w:val="24"/>
        </w:rPr>
        <w:t>ying on of the business of the company</w:t>
      </w:r>
      <w:r w:rsidR="00F35684">
        <w:rPr>
          <w:szCs w:val="24"/>
        </w:rPr>
        <w:t xml:space="preserve">. </w:t>
      </w:r>
      <w:r w:rsidR="00560E5B" w:rsidRPr="00560E5B">
        <w:rPr>
          <w:b/>
          <w:szCs w:val="24"/>
        </w:rPr>
        <w:t xml:space="preserve"> </w:t>
      </w:r>
    </w:p>
    <w:p w:rsidR="00B5091A" w:rsidRPr="005F3831" w:rsidRDefault="00B5091A" w:rsidP="00B5091A">
      <w:pPr>
        <w:spacing w:after="0"/>
        <w:jc w:val="both"/>
        <w:rPr>
          <w:rFonts w:cs="Times New Roman"/>
          <w:b/>
          <w:szCs w:val="24"/>
        </w:rPr>
      </w:pPr>
      <w:r w:rsidRPr="005F3831">
        <w:rPr>
          <w:rFonts w:cs="Times New Roman"/>
          <w:b/>
          <w:szCs w:val="24"/>
        </w:rPr>
        <w:t xml:space="preserve">Applicant’s answering affidavit </w:t>
      </w:r>
    </w:p>
    <w:p w:rsidR="00B5091A" w:rsidRDefault="00B5091A" w:rsidP="00B5091A">
      <w:pPr>
        <w:ind w:firstLine="720"/>
        <w:jc w:val="both"/>
        <w:rPr>
          <w:szCs w:val="24"/>
        </w:rPr>
      </w:pPr>
      <w:proofErr w:type="spellStart"/>
      <w:r>
        <w:rPr>
          <w:rFonts w:cs="Times New Roman"/>
          <w:szCs w:val="24"/>
        </w:rPr>
        <w:t>Mr</w:t>
      </w:r>
      <w:proofErr w:type="spellEnd"/>
      <w:r>
        <w:rPr>
          <w:rFonts w:cs="Times New Roman"/>
          <w:szCs w:val="24"/>
        </w:rPr>
        <w:t xml:space="preserve"> </w:t>
      </w:r>
      <w:proofErr w:type="spellStart"/>
      <w:r w:rsidRPr="009805A7">
        <w:rPr>
          <w:rFonts w:cs="Times New Roman"/>
          <w:i/>
          <w:szCs w:val="24"/>
        </w:rPr>
        <w:t>Madzivire</w:t>
      </w:r>
      <w:proofErr w:type="spellEnd"/>
      <w:r w:rsidRPr="00FC3AFB">
        <w:rPr>
          <w:szCs w:val="24"/>
        </w:rPr>
        <w:t xml:space="preserve"> </w:t>
      </w:r>
      <w:r w:rsidR="00B52CD1">
        <w:rPr>
          <w:szCs w:val="24"/>
        </w:rPr>
        <w:t>counsel for the 1</w:t>
      </w:r>
      <w:r w:rsidR="00B52CD1" w:rsidRPr="00B52CD1">
        <w:rPr>
          <w:szCs w:val="24"/>
          <w:vertAlign w:val="superscript"/>
        </w:rPr>
        <w:t>st</w:t>
      </w:r>
      <w:r w:rsidR="00B52CD1">
        <w:rPr>
          <w:szCs w:val="24"/>
        </w:rPr>
        <w:t xml:space="preserve"> respondent </w:t>
      </w:r>
      <w:r w:rsidRPr="00FC3AFB">
        <w:rPr>
          <w:szCs w:val="24"/>
        </w:rPr>
        <w:t xml:space="preserve">urged this court to expunge </w:t>
      </w:r>
      <w:r>
        <w:rPr>
          <w:szCs w:val="24"/>
        </w:rPr>
        <w:t>the C.R.14 attached as an annexure to applicant’s answering affidavit. It is contended that a matter stands or falls on i</w:t>
      </w:r>
      <w:r w:rsidR="00AD3AF6">
        <w:rPr>
          <w:szCs w:val="24"/>
        </w:rPr>
        <w:t>ts founding affidavit and</w:t>
      </w:r>
      <w:r>
        <w:rPr>
          <w:szCs w:val="24"/>
        </w:rPr>
        <w:t xml:space="preserve"> applicant should not be permitted to adduce new evidence </w:t>
      </w:r>
      <w:r>
        <w:rPr>
          <w:szCs w:val="24"/>
        </w:rPr>
        <w:lastRenderedPageBreak/>
        <w:t>of the C.R.14 by the medium of an answering affidavit. It is argued that 1</w:t>
      </w:r>
      <w:r w:rsidRPr="00DD45E0">
        <w:rPr>
          <w:szCs w:val="24"/>
          <w:vertAlign w:val="superscript"/>
        </w:rPr>
        <w:t>st</w:t>
      </w:r>
      <w:r>
        <w:rPr>
          <w:szCs w:val="24"/>
        </w:rPr>
        <w:t xml:space="preserve"> respondent has no means at this stage to op</w:t>
      </w:r>
      <w:r w:rsidR="00C77BCA">
        <w:rPr>
          <w:szCs w:val="24"/>
        </w:rPr>
        <w:t xml:space="preserve">pose or deal with this C.R. 14issue. </w:t>
      </w:r>
    </w:p>
    <w:p w:rsidR="00B5091A" w:rsidRDefault="00B5091A" w:rsidP="00B5091A">
      <w:pPr>
        <w:ind w:firstLine="720"/>
        <w:jc w:val="both"/>
        <w:rPr>
          <w:szCs w:val="24"/>
        </w:rPr>
      </w:pPr>
      <w:r w:rsidRPr="00CF1764">
        <w:rPr>
          <w:i/>
          <w:szCs w:val="24"/>
        </w:rPr>
        <w:t>Per contra</w:t>
      </w:r>
      <w:r>
        <w:rPr>
          <w:szCs w:val="24"/>
        </w:rPr>
        <w:t xml:space="preserve"> </w:t>
      </w:r>
      <w:proofErr w:type="spellStart"/>
      <w:r>
        <w:rPr>
          <w:szCs w:val="24"/>
        </w:rPr>
        <w:t>Mr</w:t>
      </w:r>
      <w:proofErr w:type="spellEnd"/>
      <w:r>
        <w:rPr>
          <w:szCs w:val="24"/>
        </w:rPr>
        <w:t xml:space="preserve"> </w:t>
      </w:r>
      <w:proofErr w:type="spellStart"/>
      <w:r w:rsidRPr="00A16FC0">
        <w:rPr>
          <w:i/>
          <w:szCs w:val="24"/>
        </w:rPr>
        <w:t>Tshuma</w:t>
      </w:r>
      <w:proofErr w:type="spellEnd"/>
      <w:r w:rsidRPr="00A16FC0">
        <w:rPr>
          <w:i/>
          <w:szCs w:val="24"/>
        </w:rPr>
        <w:t xml:space="preserve"> </w:t>
      </w:r>
      <w:r>
        <w:rPr>
          <w:szCs w:val="24"/>
        </w:rPr>
        <w:t>contends that it is indeed correct that an applicant must make its case in the founding affidavit. It is argued that in this application a case has been made in the founding affidavit that 1</w:t>
      </w:r>
      <w:r w:rsidRPr="00CF1764">
        <w:rPr>
          <w:szCs w:val="24"/>
          <w:vertAlign w:val="superscript"/>
        </w:rPr>
        <w:t>st</w:t>
      </w:r>
      <w:r>
        <w:rPr>
          <w:szCs w:val="24"/>
        </w:rPr>
        <w:t xml:space="preserve"> respondent is a director of the company and hence liable in terms of section 318 of the Companies Act. It is submitted that such an averment is contained in the founding affidavit, wherein it is alleged that 1</w:t>
      </w:r>
      <w:r w:rsidRPr="00E55830">
        <w:rPr>
          <w:szCs w:val="24"/>
          <w:vertAlign w:val="superscript"/>
        </w:rPr>
        <w:t>st</w:t>
      </w:r>
      <w:r>
        <w:rPr>
          <w:szCs w:val="24"/>
        </w:rPr>
        <w:t xml:space="preserve"> respondent is a director of the company. It is argued t</w:t>
      </w:r>
      <w:r w:rsidR="009F1081">
        <w:rPr>
          <w:szCs w:val="24"/>
        </w:rPr>
        <w:t>hat in the opposing affidavit 1</w:t>
      </w:r>
      <w:r w:rsidR="009F1081" w:rsidRPr="009F1081">
        <w:rPr>
          <w:szCs w:val="24"/>
          <w:vertAlign w:val="superscript"/>
        </w:rPr>
        <w:t>st</w:t>
      </w:r>
      <w:r w:rsidR="009F1081">
        <w:rPr>
          <w:szCs w:val="24"/>
        </w:rPr>
        <w:t xml:space="preserve"> </w:t>
      </w:r>
      <w:r w:rsidR="00336976">
        <w:rPr>
          <w:szCs w:val="24"/>
        </w:rPr>
        <w:t>respondent</w:t>
      </w:r>
      <w:r>
        <w:rPr>
          <w:szCs w:val="24"/>
        </w:rPr>
        <w:t xml:space="preserve"> agrees that indeed he was a director. It is contended that the placing of the C.R.14 </w:t>
      </w:r>
      <w:r w:rsidRPr="00FB6DF3">
        <w:rPr>
          <w:i/>
          <w:szCs w:val="24"/>
        </w:rPr>
        <w:t>via</w:t>
      </w:r>
      <w:r>
        <w:rPr>
          <w:szCs w:val="24"/>
        </w:rPr>
        <w:t xml:space="preserve"> the answering affidavit must be seen in this context. </w:t>
      </w:r>
    </w:p>
    <w:p w:rsidR="00336976" w:rsidRDefault="00B5091A" w:rsidP="00B5091A">
      <w:pPr>
        <w:ind w:firstLine="720"/>
        <w:jc w:val="both"/>
        <w:rPr>
          <w:bCs/>
          <w:szCs w:val="24"/>
        </w:rPr>
      </w:pPr>
      <w:r>
        <w:rPr>
          <w:szCs w:val="24"/>
        </w:rPr>
        <w:t>It is an</w:t>
      </w:r>
      <w:r>
        <w:t xml:space="preserve"> established principle of our law that an applicant’s cause stands or falls on his founding affidavit and not in an answering affidavit. See: </w:t>
      </w:r>
      <w:proofErr w:type="spellStart"/>
      <w:r w:rsidRPr="00951AE2">
        <w:rPr>
          <w:i/>
          <w:iCs/>
          <w:szCs w:val="24"/>
        </w:rPr>
        <w:t>Chiangwa</w:t>
      </w:r>
      <w:proofErr w:type="spellEnd"/>
      <w:r w:rsidRPr="00951AE2">
        <w:rPr>
          <w:i/>
          <w:iCs/>
          <w:szCs w:val="24"/>
        </w:rPr>
        <w:t xml:space="preserve"> &amp; </w:t>
      </w:r>
      <w:proofErr w:type="gramStart"/>
      <w:r w:rsidRPr="00951AE2">
        <w:rPr>
          <w:i/>
          <w:iCs/>
          <w:szCs w:val="24"/>
        </w:rPr>
        <w:t>Others</w:t>
      </w:r>
      <w:proofErr w:type="gramEnd"/>
      <w:r w:rsidRPr="00951AE2">
        <w:rPr>
          <w:i/>
          <w:iCs/>
          <w:szCs w:val="24"/>
        </w:rPr>
        <w:t xml:space="preserve"> v Apostolic Faith Mission in Zimbabwe &amp; Others SC </w:t>
      </w:r>
      <w:r w:rsidRPr="00951AE2">
        <w:rPr>
          <w:szCs w:val="24"/>
        </w:rPr>
        <w:t>67/21</w:t>
      </w:r>
      <w:r w:rsidRPr="00951AE2">
        <w:rPr>
          <w:b/>
          <w:bCs/>
          <w:szCs w:val="24"/>
        </w:rPr>
        <w:t>.</w:t>
      </w:r>
      <w:r>
        <w:rPr>
          <w:b/>
          <w:bCs/>
          <w:szCs w:val="24"/>
        </w:rPr>
        <w:t xml:space="preserve"> </w:t>
      </w:r>
      <w:r w:rsidRPr="00951AE2">
        <w:rPr>
          <w:bCs/>
          <w:szCs w:val="24"/>
        </w:rPr>
        <w:t>A litigant</w:t>
      </w:r>
      <w:r>
        <w:rPr>
          <w:b/>
          <w:bCs/>
          <w:szCs w:val="24"/>
        </w:rPr>
        <w:t xml:space="preserve"> </w:t>
      </w:r>
      <w:r>
        <w:rPr>
          <w:bCs/>
          <w:szCs w:val="24"/>
        </w:rPr>
        <w:t xml:space="preserve">cannot found a case in the answering affidavit. </w:t>
      </w:r>
    </w:p>
    <w:p w:rsidR="00B5091A" w:rsidRPr="00F23272" w:rsidRDefault="00B5091A" w:rsidP="00B5091A">
      <w:pPr>
        <w:ind w:firstLine="720"/>
        <w:jc w:val="both"/>
        <w:rPr>
          <w:szCs w:val="24"/>
        </w:rPr>
      </w:pPr>
      <w:r>
        <w:rPr>
          <w:bCs/>
          <w:szCs w:val="24"/>
        </w:rPr>
        <w:t xml:space="preserve">In </w:t>
      </w:r>
      <w:proofErr w:type="spellStart"/>
      <w:r w:rsidRPr="00457DAC">
        <w:rPr>
          <w:bCs/>
          <w:i/>
          <w:szCs w:val="24"/>
        </w:rPr>
        <w:t>casu</w:t>
      </w:r>
      <w:proofErr w:type="spellEnd"/>
      <w:r w:rsidRPr="00457DAC">
        <w:rPr>
          <w:bCs/>
          <w:i/>
          <w:szCs w:val="24"/>
        </w:rPr>
        <w:t xml:space="preserve"> </w:t>
      </w:r>
      <w:r>
        <w:rPr>
          <w:szCs w:val="24"/>
        </w:rPr>
        <w:t>applicant is not making a new case in the a</w:t>
      </w:r>
      <w:r w:rsidR="006F48B4">
        <w:rPr>
          <w:szCs w:val="24"/>
        </w:rPr>
        <w:t>nswering affidavit. The case is</w:t>
      </w:r>
      <w:r>
        <w:rPr>
          <w:szCs w:val="24"/>
        </w:rPr>
        <w:t xml:space="preserve"> made in the founding affidavit that 1</w:t>
      </w:r>
      <w:r w:rsidRPr="00E94A02">
        <w:rPr>
          <w:szCs w:val="24"/>
          <w:vertAlign w:val="superscript"/>
        </w:rPr>
        <w:t>st</w:t>
      </w:r>
      <w:r>
        <w:rPr>
          <w:szCs w:val="24"/>
        </w:rPr>
        <w:t xml:space="preserve"> respondent is a director of the company, and the answering affidavit </w:t>
      </w:r>
      <w:r w:rsidR="006F48B4">
        <w:rPr>
          <w:szCs w:val="24"/>
        </w:rPr>
        <w:t>and the C.R. 14 are</w:t>
      </w:r>
      <w:r>
        <w:rPr>
          <w:szCs w:val="24"/>
        </w:rPr>
        <w:t xml:space="preserve"> meant to rebut 1</w:t>
      </w:r>
      <w:r w:rsidRPr="00A15642">
        <w:rPr>
          <w:szCs w:val="24"/>
          <w:vertAlign w:val="superscript"/>
        </w:rPr>
        <w:t>st</w:t>
      </w:r>
      <w:r>
        <w:rPr>
          <w:szCs w:val="24"/>
        </w:rPr>
        <w:t xml:space="preserve"> respondent’s contention that he resigned as director on the 24</w:t>
      </w:r>
      <w:r w:rsidRPr="004F723F">
        <w:rPr>
          <w:szCs w:val="24"/>
          <w:vertAlign w:val="superscript"/>
        </w:rPr>
        <w:t>th</w:t>
      </w:r>
      <w:r>
        <w:rPr>
          <w:szCs w:val="24"/>
        </w:rPr>
        <w:t xml:space="preserve"> January 2017. </w:t>
      </w:r>
      <w:r w:rsidR="006F48B4">
        <w:rPr>
          <w:szCs w:val="24"/>
        </w:rPr>
        <w:t>This</w:t>
      </w:r>
      <w:r>
        <w:rPr>
          <w:szCs w:val="24"/>
        </w:rPr>
        <w:t xml:space="preserve"> is exactly what an answering affidavit is designed to achieve, i.e. to rebut. </w:t>
      </w:r>
      <w:r w:rsidRPr="0012740F">
        <w:rPr>
          <w:rFonts w:cs="Times New Roman"/>
          <w:szCs w:val="24"/>
        </w:rPr>
        <w:t xml:space="preserve">This position was stated in the case of </w:t>
      </w:r>
      <w:proofErr w:type="spellStart"/>
      <w:r w:rsidRPr="007304F9">
        <w:rPr>
          <w:rFonts w:cs="Times New Roman"/>
          <w:i/>
          <w:szCs w:val="24"/>
        </w:rPr>
        <w:t>Loveness</w:t>
      </w:r>
      <w:proofErr w:type="spellEnd"/>
      <w:r w:rsidRPr="007304F9">
        <w:rPr>
          <w:rFonts w:cs="Times New Roman"/>
          <w:i/>
          <w:szCs w:val="24"/>
        </w:rPr>
        <w:t xml:space="preserve"> </w:t>
      </w:r>
      <w:proofErr w:type="spellStart"/>
      <w:r w:rsidRPr="007304F9">
        <w:rPr>
          <w:rFonts w:cs="Times New Roman"/>
          <w:i/>
          <w:szCs w:val="24"/>
        </w:rPr>
        <w:t>Sengeredo</w:t>
      </w:r>
      <w:proofErr w:type="spellEnd"/>
      <w:r w:rsidRPr="0012740F">
        <w:rPr>
          <w:rFonts w:cs="Times New Roman"/>
          <w:szCs w:val="24"/>
        </w:rPr>
        <w:t xml:space="preserve"> v </w:t>
      </w:r>
      <w:r w:rsidRPr="007304F9">
        <w:rPr>
          <w:rFonts w:cs="Times New Roman"/>
          <w:i/>
          <w:szCs w:val="24"/>
        </w:rPr>
        <w:t>Eric Cable N.O.</w:t>
      </w:r>
      <w:r w:rsidRPr="0012740F">
        <w:rPr>
          <w:rFonts w:cs="Times New Roman"/>
          <w:szCs w:val="24"/>
        </w:rPr>
        <w:t xml:space="preserve"> HH</w:t>
      </w:r>
      <w:r>
        <w:rPr>
          <w:rFonts w:cs="Times New Roman"/>
          <w:szCs w:val="24"/>
        </w:rPr>
        <w:t xml:space="preserve"> 32/08 where </w:t>
      </w:r>
      <w:proofErr w:type="spellStart"/>
      <w:r>
        <w:rPr>
          <w:rFonts w:cs="Times New Roman"/>
          <w:szCs w:val="24"/>
        </w:rPr>
        <w:t>Makarau</w:t>
      </w:r>
      <w:proofErr w:type="spellEnd"/>
      <w:r>
        <w:rPr>
          <w:rFonts w:cs="Times New Roman"/>
          <w:szCs w:val="24"/>
        </w:rPr>
        <w:t xml:space="preserve"> JP, as she then was at p</w:t>
      </w:r>
      <w:r w:rsidRPr="0012740F">
        <w:rPr>
          <w:rFonts w:cs="Times New Roman"/>
          <w:szCs w:val="24"/>
        </w:rPr>
        <w:t xml:space="preserve"> 2 stated that-</w:t>
      </w:r>
    </w:p>
    <w:p w:rsidR="00B5091A" w:rsidRDefault="00B5091A" w:rsidP="00B5091A">
      <w:pPr>
        <w:spacing w:after="0" w:line="240" w:lineRule="auto"/>
        <w:jc w:val="both"/>
        <w:rPr>
          <w:rFonts w:cs="Times New Roman"/>
          <w:szCs w:val="24"/>
        </w:rPr>
      </w:pPr>
      <w:r>
        <w:rPr>
          <w:rFonts w:cs="Times New Roman"/>
          <w:szCs w:val="24"/>
        </w:rPr>
        <w:tab/>
        <w:t xml:space="preserve"> </w:t>
      </w:r>
      <w:r w:rsidRPr="0012740F">
        <w:rPr>
          <w:rFonts w:cs="Times New Roman"/>
          <w:szCs w:val="24"/>
        </w:rPr>
        <w:t xml:space="preserve">In my view, the purpose of an answering affidavit is akin to that of a replication in </w:t>
      </w:r>
      <w:r>
        <w:rPr>
          <w:rFonts w:cs="Times New Roman"/>
          <w:szCs w:val="24"/>
        </w:rPr>
        <w:tab/>
      </w:r>
      <w:r w:rsidRPr="0012740F">
        <w:rPr>
          <w:rFonts w:cs="Times New Roman"/>
          <w:szCs w:val="24"/>
        </w:rPr>
        <w:t xml:space="preserve">an action. It is filed not merely for the form but to specifically meet and traverse all </w:t>
      </w:r>
      <w:r>
        <w:rPr>
          <w:rFonts w:cs="Times New Roman"/>
          <w:szCs w:val="24"/>
        </w:rPr>
        <w:tab/>
      </w:r>
      <w:r w:rsidRPr="0012740F">
        <w:rPr>
          <w:rFonts w:cs="Times New Roman"/>
          <w:szCs w:val="24"/>
        </w:rPr>
        <w:t xml:space="preserve">the averments made in the opposing affidavit that have the effect of defeating the </w:t>
      </w:r>
      <w:r>
        <w:rPr>
          <w:rFonts w:cs="Times New Roman"/>
          <w:szCs w:val="24"/>
        </w:rPr>
        <w:tab/>
      </w:r>
      <w:r w:rsidRPr="0012740F">
        <w:rPr>
          <w:rFonts w:cs="Times New Roman"/>
          <w:szCs w:val="24"/>
        </w:rPr>
        <w:t xml:space="preserve">applicant’s claim. Like in any pleading filed with the Court, all issues that are not </w:t>
      </w:r>
      <w:r>
        <w:rPr>
          <w:rFonts w:cs="Times New Roman"/>
          <w:szCs w:val="24"/>
        </w:rPr>
        <w:tab/>
      </w:r>
      <w:r w:rsidRPr="0012740F">
        <w:rPr>
          <w:rFonts w:cs="Times New Roman"/>
          <w:szCs w:val="24"/>
        </w:rPr>
        <w:t xml:space="preserve">specifically denied and traversed in the answering affidavit are to be taken as if they </w:t>
      </w:r>
      <w:r>
        <w:rPr>
          <w:rFonts w:cs="Times New Roman"/>
          <w:szCs w:val="24"/>
        </w:rPr>
        <w:tab/>
      </w:r>
      <w:r w:rsidRPr="0012740F">
        <w:rPr>
          <w:rFonts w:cs="Times New Roman"/>
          <w:szCs w:val="24"/>
        </w:rPr>
        <w:t xml:space="preserve">have been admitted… It is my further view that answering affidavits, like all other </w:t>
      </w:r>
      <w:r>
        <w:rPr>
          <w:rFonts w:cs="Times New Roman"/>
          <w:szCs w:val="24"/>
        </w:rPr>
        <w:tab/>
      </w:r>
      <w:r w:rsidRPr="0012740F">
        <w:rPr>
          <w:rFonts w:cs="Times New Roman"/>
          <w:szCs w:val="24"/>
        </w:rPr>
        <w:t xml:space="preserve">affidavits, must be drafted with precision and must meet the sting of the </w:t>
      </w:r>
      <w:proofErr w:type="spellStart"/>
      <w:r w:rsidRPr="0012740F">
        <w:rPr>
          <w:rFonts w:cs="Times New Roman"/>
          <w:szCs w:val="24"/>
        </w:rPr>
        <w:t>defence</w:t>
      </w:r>
      <w:proofErr w:type="spellEnd"/>
      <w:r w:rsidRPr="0012740F">
        <w:rPr>
          <w:rFonts w:cs="Times New Roman"/>
          <w:szCs w:val="24"/>
        </w:rPr>
        <w:t xml:space="preserve"> being </w:t>
      </w:r>
      <w:r>
        <w:rPr>
          <w:rFonts w:cs="Times New Roman"/>
          <w:szCs w:val="24"/>
        </w:rPr>
        <w:tab/>
      </w:r>
      <w:r w:rsidRPr="0012740F">
        <w:rPr>
          <w:rFonts w:cs="Times New Roman"/>
          <w:szCs w:val="24"/>
        </w:rPr>
        <w:t>r</w:t>
      </w:r>
      <w:r>
        <w:rPr>
          <w:rFonts w:cs="Times New Roman"/>
          <w:szCs w:val="24"/>
        </w:rPr>
        <w:t xml:space="preserve">aised in the opposing affidavit. </w:t>
      </w:r>
    </w:p>
    <w:p w:rsidR="00B5091A" w:rsidRPr="00B5091A" w:rsidRDefault="00B5091A" w:rsidP="00B5091A">
      <w:pPr>
        <w:spacing w:after="0"/>
        <w:ind w:firstLine="720"/>
        <w:jc w:val="both"/>
        <w:rPr>
          <w:rFonts w:cs="Times New Roman"/>
          <w:szCs w:val="24"/>
        </w:rPr>
      </w:pPr>
      <w:r>
        <w:rPr>
          <w:rFonts w:cs="Times New Roman"/>
          <w:szCs w:val="24"/>
        </w:rPr>
        <w:t>Therefore there is no basis to expunge the copy of the C.R.14 from the papers before court. It is not meant to make a new case that 1</w:t>
      </w:r>
      <w:r w:rsidRPr="009F6716">
        <w:rPr>
          <w:rFonts w:cs="Times New Roman"/>
          <w:szCs w:val="24"/>
          <w:vertAlign w:val="superscript"/>
        </w:rPr>
        <w:t>st</w:t>
      </w:r>
      <w:r>
        <w:rPr>
          <w:rFonts w:cs="Times New Roman"/>
          <w:szCs w:val="24"/>
        </w:rPr>
        <w:t xml:space="preserve"> respondent is a director, but to rebut his allegation that he resigned as director on the 24</w:t>
      </w:r>
      <w:r w:rsidRPr="009F6716">
        <w:rPr>
          <w:rFonts w:cs="Times New Roman"/>
          <w:szCs w:val="24"/>
          <w:vertAlign w:val="superscript"/>
        </w:rPr>
        <w:t>th</w:t>
      </w:r>
      <w:r>
        <w:rPr>
          <w:rFonts w:cs="Times New Roman"/>
          <w:szCs w:val="24"/>
        </w:rPr>
        <w:t xml:space="preserve"> January 2017. </w:t>
      </w:r>
      <w:r w:rsidR="00960F65">
        <w:rPr>
          <w:rFonts w:cs="Times New Roman"/>
          <w:szCs w:val="24"/>
        </w:rPr>
        <w:t xml:space="preserve">This is permissible. </w:t>
      </w:r>
    </w:p>
    <w:p w:rsidR="00B90971" w:rsidRPr="00B90971" w:rsidRDefault="00B90971" w:rsidP="00B90971">
      <w:pPr>
        <w:jc w:val="both"/>
        <w:rPr>
          <w:b/>
          <w:szCs w:val="24"/>
        </w:rPr>
      </w:pPr>
      <w:r w:rsidRPr="00B90971">
        <w:rPr>
          <w:b/>
          <w:szCs w:val="24"/>
        </w:rPr>
        <w:lastRenderedPageBreak/>
        <w:t>The law</w:t>
      </w:r>
      <w:r w:rsidR="00B52CD1">
        <w:rPr>
          <w:b/>
          <w:szCs w:val="24"/>
        </w:rPr>
        <w:t xml:space="preserve"> and the facts </w:t>
      </w:r>
    </w:p>
    <w:p w:rsidR="0074743F" w:rsidRPr="006B7FA5" w:rsidRDefault="00B90971" w:rsidP="006B7FA5">
      <w:pPr>
        <w:ind w:firstLine="720"/>
        <w:jc w:val="both"/>
        <w:rPr>
          <w:rFonts w:cs="Times New Roman"/>
        </w:rPr>
      </w:pPr>
      <w:r w:rsidRPr="00B765CF">
        <w:rPr>
          <w:rFonts w:cs="Times New Roman"/>
          <w:szCs w:val="24"/>
        </w:rPr>
        <w:t>This is an application based on the provisions of s</w:t>
      </w:r>
      <w:r w:rsidR="003874C7">
        <w:rPr>
          <w:rFonts w:cs="Times New Roman"/>
          <w:szCs w:val="24"/>
        </w:rPr>
        <w:t>ection</w:t>
      </w:r>
      <w:r w:rsidRPr="00B765CF">
        <w:rPr>
          <w:rFonts w:cs="Times New Roman"/>
          <w:szCs w:val="24"/>
        </w:rPr>
        <w:t xml:space="preserve"> 318 (1) of the Companies Act [</w:t>
      </w:r>
      <w:r w:rsidRPr="00B765CF">
        <w:rPr>
          <w:rFonts w:cs="Times New Roman"/>
          <w:i/>
          <w:szCs w:val="24"/>
        </w:rPr>
        <w:t>Chapter 24:03</w:t>
      </w:r>
      <w:r w:rsidR="0045488D">
        <w:rPr>
          <w:rFonts w:cs="Times New Roman"/>
          <w:szCs w:val="24"/>
        </w:rPr>
        <w:t>]</w:t>
      </w:r>
      <w:r w:rsidRPr="00B765CF">
        <w:rPr>
          <w:rFonts w:cs="Times New Roman"/>
          <w:szCs w:val="24"/>
        </w:rPr>
        <w:t xml:space="preserve"> whi</w:t>
      </w:r>
      <w:r w:rsidR="006C2CE2">
        <w:rPr>
          <w:rFonts w:cs="Times New Roman"/>
          <w:szCs w:val="24"/>
        </w:rPr>
        <w:t>ch gives this court power</w:t>
      </w:r>
      <w:r w:rsidR="006C2CE2">
        <w:rPr>
          <w:rFonts w:cs="Times New Roman"/>
        </w:rPr>
        <w:t xml:space="preserve"> </w:t>
      </w:r>
      <w:r w:rsidR="006C2CE2" w:rsidRPr="00B765CF">
        <w:rPr>
          <w:rFonts w:cs="Times New Roman"/>
        </w:rPr>
        <w:t xml:space="preserve">declare that any of the past or present directors of the company or any other persons who were knowingly parties to the carrying on of the business in the manner or circumstances </w:t>
      </w:r>
      <w:r w:rsidR="00807CCF">
        <w:rPr>
          <w:rFonts w:cs="Times New Roman"/>
        </w:rPr>
        <w:t xml:space="preserve">of </w:t>
      </w:r>
      <w:r w:rsidR="00807CCF" w:rsidRPr="00807CCF">
        <w:rPr>
          <w:rFonts w:cs="Times New Roman"/>
        </w:rPr>
        <w:t>reckles</w:t>
      </w:r>
      <w:r w:rsidR="003874C7">
        <w:rPr>
          <w:rFonts w:cs="Times New Roman"/>
        </w:rPr>
        <w:t>sness</w:t>
      </w:r>
      <w:r w:rsidR="00807CCF" w:rsidRPr="00807CCF">
        <w:rPr>
          <w:rFonts w:cs="Times New Roman"/>
        </w:rPr>
        <w:t>; or</w:t>
      </w:r>
      <w:r w:rsidR="003874C7">
        <w:rPr>
          <w:rFonts w:cs="Times New Roman"/>
        </w:rPr>
        <w:t xml:space="preserve"> </w:t>
      </w:r>
      <w:r w:rsidR="00807CCF" w:rsidRPr="003874C7">
        <w:rPr>
          <w:rFonts w:cs="Times New Roman"/>
        </w:rPr>
        <w:t>with gross negligence; or</w:t>
      </w:r>
      <w:r w:rsidR="003874C7">
        <w:rPr>
          <w:rFonts w:cs="Times New Roman"/>
        </w:rPr>
        <w:t xml:space="preserve"> </w:t>
      </w:r>
      <w:r w:rsidR="00807CCF" w:rsidRPr="003874C7">
        <w:rPr>
          <w:rFonts w:cs="Times New Roman"/>
        </w:rPr>
        <w:t>with intent to defraud any person or for any fraudulent purpose</w:t>
      </w:r>
      <w:r w:rsidR="003874C7">
        <w:rPr>
          <w:rFonts w:cs="Times New Roman"/>
        </w:rPr>
        <w:t xml:space="preserve"> </w:t>
      </w:r>
      <w:r w:rsidR="006C2CE2" w:rsidRPr="00B765CF">
        <w:rPr>
          <w:rFonts w:cs="Times New Roman"/>
        </w:rPr>
        <w:t>shall be personally responsible, without limitation of liability, for all or any of the debts or other liabilities of the c</w:t>
      </w:r>
      <w:r w:rsidR="006C2CE2">
        <w:rPr>
          <w:rFonts w:cs="Times New Roman"/>
        </w:rPr>
        <w:t xml:space="preserve">ompany as the court may direct. </w:t>
      </w:r>
    </w:p>
    <w:p w:rsidR="003113CF" w:rsidRDefault="007356A7" w:rsidP="003874C7">
      <w:pPr>
        <w:spacing w:after="0"/>
        <w:ind w:firstLine="720"/>
        <w:jc w:val="both"/>
        <w:rPr>
          <w:rFonts w:cs="Times New Roman"/>
          <w:szCs w:val="24"/>
        </w:rPr>
      </w:pPr>
      <w:r>
        <w:rPr>
          <w:rFonts w:cs="Times New Roman"/>
          <w:szCs w:val="24"/>
        </w:rPr>
        <w:t xml:space="preserve">In </w:t>
      </w:r>
      <w:r w:rsidR="00BA49B5">
        <w:rPr>
          <w:rFonts w:cs="Times New Roman"/>
          <w:szCs w:val="24"/>
        </w:rPr>
        <w:t>an action based on fraud</w:t>
      </w:r>
      <w:r w:rsidR="006719AC">
        <w:rPr>
          <w:rFonts w:cs="Times New Roman"/>
          <w:szCs w:val="24"/>
        </w:rPr>
        <w:t xml:space="preserve"> </w:t>
      </w:r>
      <w:r w:rsidR="00BA49B5">
        <w:rPr>
          <w:rFonts w:cs="Times New Roman"/>
          <w:szCs w:val="24"/>
        </w:rPr>
        <w:t xml:space="preserve">there must be a false representation which has induced the contract </w:t>
      </w:r>
      <w:r w:rsidR="00C42701">
        <w:rPr>
          <w:rFonts w:cs="Times New Roman"/>
          <w:szCs w:val="24"/>
        </w:rPr>
        <w:t xml:space="preserve">and the false statement must have been made knowingly with the intention that it should be acted upon </w:t>
      </w:r>
      <w:r w:rsidR="006719AC">
        <w:rPr>
          <w:rFonts w:cs="Times New Roman"/>
          <w:szCs w:val="24"/>
        </w:rPr>
        <w:t>by t</w:t>
      </w:r>
      <w:r w:rsidR="00931EB2">
        <w:rPr>
          <w:rFonts w:cs="Times New Roman"/>
          <w:szCs w:val="24"/>
        </w:rPr>
        <w:t>he injured party to deceive it</w:t>
      </w:r>
      <w:r w:rsidR="006719AC">
        <w:rPr>
          <w:rFonts w:cs="Times New Roman"/>
          <w:szCs w:val="24"/>
        </w:rPr>
        <w:t xml:space="preserve">. </w:t>
      </w:r>
      <w:r w:rsidR="00E77C5E">
        <w:rPr>
          <w:rFonts w:cs="Times New Roman"/>
          <w:szCs w:val="24"/>
        </w:rPr>
        <w:t xml:space="preserve">In </w:t>
      </w:r>
      <w:proofErr w:type="spellStart"/>
      <w:r w:rsidR="00E77C5E" w:rsidRPr="00710567">
        <w:rPr>
          <w:rFonts w:cs="Times New Roman"/>
          <w:i/>
          <w:szCs w:val="24"/>
        </w:rPr>
        <w:t>Alcock</w:t>
      </w:r>
      <w:proofErr w:type="spellEnd"/>
      <w:r w:rsidR="00E77C5E" w:rsidRPr="00710567">
        <w:rPr>
          <w:rFonts w:cs="Times New Roman"/>
          <w:i/>
          <w:szCs w:val="24"/>
        </w:rPr>
        <w:t xml:space="preserve"> v Mayhew</w:t>
      </w:r>
      <w:r w:rsidR="00E77C5E">
        <w:rPr>
          <w:rFonts w:cs="Times New Roman"/>
          <w:szCs w:val="24"/>
        </w:rPr>
        <w:t xml:space="preserve"> 1990(2) ZLR 346 (H) it was </w:t>
      </w:r>
      <w:r w:rsidR="004B75FF">
        <w:rPr>
          <w:rFonts w:cs="Times New Roman"/>
          <w:szCs w:val="24"/>
        </w:rPr>
        <w:t xml:space="preserve">held that proof of fraud is an essential requirement and in order to establish this element it must be proved that </w:t>
      </w:r>
      <w:r w:rsidR="00710567">
        <w:rPr>
          <w:rFonts w:cs="Times New Roman"/>
          <w:szCs w:val="24"/>
        </w:rPr>
        <w:t xml:space="preserve">respondent made a false representation with intent to deceive. </w:t>
      </w:r>
    </w:p>
    <w:p w:rsidR="006B7FA5" w:rsidRDefault="006B7FA5" w:rsidP="003874C7">
      <w:pPr>
        <w:spacing w:after="0"/>
        <w:ind w:firstLine="720"/>
        <w:jc w:val="both"/>
        <w:rPr>
          <w:rFonts w:cs="Times New Roman"/>
          <w:szCs w:val="24"/>
        </w:rPr>
      </w:pPr>
      <w:r>
        <w:rPr>
          <w:rFonts w:cs="Times New Roman"/>
          <w:szCs w:val="24"/>
        </w:rPr>
        <w:t xml:space="preserve">In </w:t>
      </w:r>
      <w:proofErr w:type="spellStart"/>
      <w:r w:rsidRPr="006B7FA5">
        <w:rPr>
          <w:rFonts w:cs="Times New Roman"/>
          <w:i/>
          <w:szCs w:val="24"/>
        </w:rPr>
        <w:t>Ordeco</w:t>
      </w:r>
      <w:proofErr w:type="spellEnd"/>
      <w:r w:rsidRPr="006B7FA5">
        <w:rPr>
          <w:rFonts w:cs="Times New Roman"/>
          <w:i/>
          <w:szCs w:val="24"/>
        </w:rPr>
        <w:t xml:space="preserve"> (</w:t>
      </w:r>
      <w:proofErr w:type="spellStart"/>
      <w:r w:rsidRPr="006B7FA5">
        <w:rPr>
          <w:rFonts w:cs="Times New Roman"/>
          <w:i/>
          <w:szCs w:val="24"/>
        </w:rPr>
        <w:t>Pvt</w:t>
      </w:r>
      <w:proofErr w:type="spellEnd"/>
      <w:r w:rsidRPr="006B7FA5">
        <w:rPr>
          <w:rFonts w:cs="Times New Roman"/>
          <w:i/>
          <w:szCs w:val="24"/>
        </w:rPr>
        <w:t xml:space="preserve">) Ltd v </w:t>
      </w:r>
      <w:proofErr w:type="spellStart"/>
      <w:r w:rsidRPr="006B7FA5">
        <w:rPr>
          <w:rFonts w:cs="Times New Roman"/>
          <w:i/>
          <w:szCs w:val="24"/>
        </w:rPr>
        <w:t>Govere</w:t>
      </w:r>
      <w:proofErr w:type="spellEnd"/>
      <w:r w:rsidRPr="006B7FA5">
        <w:rPr>
          <w:rFonts w:cs="Times New Roman"/>
          <w:i/>
          <w:szCs w:val="24"/>
        </w:rPr>
        <w:t xml:space="preserve"> &amp; Anor </w:t>
      </w:r>
      <w:r>
        <w:rPr>
          <w:rFonts w:cs="Times New Roman"/>
          <w:szCs w:val="24"/>
        </w:rPr>
        <w:t xml:space="preserve">2013 (1) ZLR 532 (H) </w:t>
      </w:r>
      <w:r w:rsidR="005A1E3F">
        <w:rPr>
          <w:rFonts w:cs="Times New Roman"/>
          <w:szCs w:val="24"/>
        </w:rPr>
        <w:t>the court held that the l</w:t>
      </w:r>
      <w:r w:rsidR="00395E1F">
        <w:rPr>
          <w:rFonts w:cs="Times New Roman"/>
          <w:szCs w:val="24"/>
        </w:rPr>
        <w:t>imited liability is afforded to</w:t>
      </w:r>
      <w:r w:rsidR="005A1E3F">
        <w:rPr>
          <w:rFonts w:cs="Times New Roman"/>
          <w:szCs w:val="24"/>
        </w:rPr>
        <w:t xml:space="preserve"> persons who conduct business through the medium of a company. It is not there to protect them against </w:t>
      </w:r>
      <w:r w:rsidR="00681E82">
        <w:rPr>
          <w:rFonts w:cs="Times New Roman"/>
          <w:szCs w:val="24"/>
        </w:rPr>
        <w:t>conduct which is reckless or that take</w:t>
      </w:r>
      <w:r w:rsidR="00B81F26">
        <w:rPr>
          <w:rFonts w:cs="Times New Roman"/>
          <w:szCs w:val="24"/>
        </w:rPr>
        <w:t>s</w:t>
      </w:r>
      <w:r w:rsidR="00681E82">
        <w:rPr>
          <w:rFonts w:cs="Times New Roman"/>
          <w:szCs w:val="24"/>
        </w:rPr>
        <w:t xml:space="preserve"> place with fraudulent intent. </w:t>
      </w:r>
      <w:r w:rsidR="00DB6E13">
        <w:rPr>
          <w:rFonts w:cs="Times New Roman"/>
          <w:szCs w:val="24"/>
        </w:rPr>
        <w:t xml:space="preserve">Once a court has found the conduct of the director to be reckless or grossly negligent or to be motivated by fraudulent intent, then the principle of limited </w:t>
      </w:r>
      <w:r w:rsidR="0025180B">
        <w:rPr>
          <w:rFonts w:cs="Times New Roman"/>
          <w:szCs w:val="24"/>
        </w:rPr>
        <w:t>liability is</w:t>
      </w:r>
      <w:r w:rsidR="005722FE">
        <w:rPr>
          <w:rFonts w:cs="Times New Roman"/>
          <w:szCs w:val="24"/>
        </w:rPr>
        <w:t xml:space="preserve"> set aside. </w:t>
      </w:r>
    </w:p>
    <w:p w:rsidR="00483026" w:rsidRPr="00986507" w:rsidRDefault="00F86D3F" w:rsidP="0045771D">
      <w:pPr>
        <w:pStyle w:val="Default"/>
        <w:spacing w:line="360" w:lineRule="auto"/>
        <w:ind w:firstLine="720"/>
        <w:jc w:val="both"/>
      </w:pPr>
      <w:r>
        <w:t xml:space="preserve">Applicant’s factual averments are not contested or controverted. </w:t>
      </w:r>
      <w:r w:rsidR="000307AE">
        <w:t xml:space="preserve">The evidence shows that </w:t>
      </w:r>
      <w:r w:rsidR="00160C68">
        <w:t>it was a fraudulent representation</w:t>
      </w:r>
      <w:r w:rsidR="006A47F1">
        <w:t xml:space="preserve"> that if applicant paid the company</w:t>
      </w:r>
      <w:r w:rsidR="004E02FD">
        <w:t xml:space="preserve"> in Zimbabwe the company</w:t>
      </w:r>
      <w:r w:rsidR="00190661">
        <w:t xml:space="preserve"> would </w:t>
      </w:r>
      <w:r w:rsidR="004E02FD">
        <w:t xml:space="preserve">in turn </w:t>
      </w:r>
      <w:r w:rsidR="00190661">
        <w:t xml:space="preserve">pay applicant’s chosen suppliers in South Africa. </w:t>
      </w:r>
      <w:r w:rsidR="00160C68">
        <w:t xml:space="preserve">It was a fraudulent </w:t>
      </w:r>
      <w:r w:rsidR="009B1184">
        <w:t>representation</w:t>
      </w:r>
      <w:r w:rsidR="007D3802">
        <w:t xml:space="preserve"> that the company </w:t>
      </w:r>
      <w:r w:rsidR="00475840">
        <w:t xml:space="preserve">had obtained a Reserve Bank authority or approval to use its foreign currency in South Africa to pay applicant’s suppliers. </w:t>
      </w:r>
      <w:r w:rsidR="00A94D5A">
        <w:t>In fact</w:t>
      </w:r>
      <w:r w:rsidR="000D28B5">
        <w:t xml:space="preserve"> in </w:t>
      </w:r>
      <w:r w:rsidR="00A94D5A">
        <w:t xml:space="preserve">its plea in </w:t>
      </w:r>
      <w:r w:rsidR="007D3802">
        <w:t>HC 1105/18 the company</w:t>
      </w:r>
      <w:r w:rsidR="000D28B5">
        <w:t xml:space="preserve"> raised a </w:t>
      </w:r>
      <w:proofErr w:type="spellStart"/>
      <w:r w:rsidR="000D28B5">
        <w:t>defense</w:t>
      </w:r>
      <w:proofErr w:type="spellEnd"/>
      <w:r w:rsidR="000D28B5">
        <w:t xml:space="preserve"> that it did not have Reserve Bank authority or approval to use its foreign currency in South Africa to pay applicant’s suppliers.</w:t>
      </w:r>
      <w:r w:rsidR="00A94D5A">
        <w:t xml:space="preserve"> </w:t>
      </w:r>
      <w:r w:rsidR="009B1184">
        <w:t>It was a fraudulent representation</w:t>
      </w:r>
      <w:r w:rsidR="007D3802">
        <w:t xml:space="preserve"> that the company</w:t>
      </w:r>
      <w:r w:rsidR="00952FD0">
        <w:t xml:space="preserve"> had the capacity to pay applicant’s suppliers in South Africa. </w:t>
      </w:r>
      <w:r w:rsidR="006A47F1">
        <w:t>What is cl</w:t>
      </w:r>
      <w:r w:rsidR="00F87188">
        <w:t>ear is that the company directors</w:t>
      </w:r>
      <w:r w:rsidR="00273797">
        <w:t xml:space="preserve"> originated </w:t>
      </w:r>
      <w:r w:rsidR="009B1184">
        <w:t>and perpetrated these fraudulent representation</w:t>
      </w:r>
      <w:r w:rsidR="00273797">
        <w:t xml:space="preserve">. </w:t>
      </w:r>
      <w:r w:rsidR="008A1BF9">
        <w:t xml:space="preserve"> </w:t>
      </w:r>
      <w:r w:rsidR="00620EAB">
        <w:t xml:space="preserve"> </w:t>
      </w:r>
    </w:p>
    <w:p w:rsidR="00D70233" w:rsidRDefault="00D70233" w:rsidP="00E94F58">
      <w:pPr>
        <w:pStyle w:val="Default"/>
        <w:spacing w:line="360" w:lineRule="auto"/>
        <w:jc w:val="both"/>
      </w:pPr>
    </w:p>
    <w:p w:rsidR="00A3101B" w:rsidRPr="00F1707F" w:rsidRDefault="008611F2" w:rsidP="00182EFC">
      <w:pPr>
        <w:pStyle w:val="Default"/>
        <w:spacing w:line="360" w:lineRule="auto"/>
        <w:ind w:firstLine="720"/>
        <w:jc w:val="both"/>
      </w:pPr>
      <w:r>
        <w:lastRenderedPageBreak/>
        <w:t>1</w:t>
      </w:r>
      <w:r w:rsidRPr="008611F2">
        <w:rPr>
          <w:vertAlign w:val="superscript"/>
        </w:rPr>
        <w:t>st</w:t>
      </w:r>
      <w:r w:rsidR="00E96A28">
        <w:t xml:space="preserve"> respondent’s defence is that</w:t>
      </w:r>
      <w:r>
        <w:t xml:space="preserve"> at all material times he was a no</w:t>
      </w:r>
      <w:r w:rsidR="00D70233">
        <w:t>n-executive director of the company</w:t>
      </w:r>
      <w:r>
        <w:t xml:space="preserve"> and had no access to the company’s da</w:t>
      </w:r>
      <w:r w:rsidR="00052F20">
        <w:t>y to day</w:t>
      </w:r>
      <w:r w:rsidR="007A6A57">
        <w:t xml:space="preserve"> financial dealings. The jurisprud</w:t>
      </w:r>
      <w:r w:rsidR="008E0C90">
        <w:t xml:space="preserve">ence is that </w:t>
      </w:r>
      <w:r w:rsidR="00746ABD">
        <w:t>for the purposes of liability in terms of section</w:t>
      </w:r>
      <w:r w:rsidR="004075B0">
        <w:t xml:space="preserve"> 318 (1) of the Companies Act</w:t>
      </w:r>
      <w:r w:rsidR="00746ABD">
        <w:t xml:space="preserve"> </w:t>
      </w:r>
      <w:r w:rsidR="008E0C90">
        <w:t xml:space="preserve">it is inconsequential whether one is </w:t>
      </w:r>
      <w:r w:rsidR="004075B0">
        <w:t xml:space="preserve">an </w:t>
      </w:r>
      <w:r w:rsidR="008E0C90">
        <w:t xml:space="preserve">executive or non-executive director. </w:t>
      </w:r>
      <w:r w:rsidR="0059302F">
        <w:t xml:space="preserve">See: </w:t>
      </w:r>
      <w:proofErr w:type="spellStart"/>
      <w:r w:rsidR="0059302F" w:rsidRPr="00881780">
        <w:rPr>
          <w:i/>
        </w:rPr>
        <w:t>Matemera</w:t>
      </w:r>
      <w:proofErr w:type="spellEnd"/>
      <w:r w:rsidR="0059302F" w:rsidRPr="00881780">
        <w:rPr>
          <w:i/>
        </w:rPr>
        <w:t xml:space="preserve"> </w:t>
      </w:r>
      <w:r w:rsidR="0059302F" w:rsidRPr="00F1707F">
        <w:rPr>
          <w:i/>
        </w:rPr>
        <w:t xml:space="preserve">v </w:t>
      </w:r>
      <w:proofErr w:type="spellStart"/>
      <w:r w:rsidR="0059302F" w:rsidRPr="00F1707F">
        <w:rPr>
          <w:i/>
        </w:rPr>
        <w:t>Karimazondo</w:t>
      </w:r>
      <w:proofErr w:type="spellEnd"/>
      <w:r w:rsidR="0059302F" w:rsidRPr="00F1707F">
        <w:rPr>
          <w:i/>
        </w:rPr>
        <w:t xml:space="preserve"> &amp; </w:t>
      </w:r>
      <w:proofErr w:type="spellStart"/>
      <w:r w:rsidR="0059302F" w:rsidRPr="00F1707F">
        <w:rPr>
          <w:i/>
        </w:rPr>
        <w:t>Ors</w:t>
      </w:r>
      <w:proofErr w:type="spellEnd"/>
      <w:r w:rsidR="00FC1AA1">
        <w:t xml:space="preserve"> HH 29/19 and</w:t>
      </w:r>
      <w:r w:rsidR="0059302F" w:rsidRPr="00F1707F">
        <w:t xml:space="preserve"> </w:t>
      </w:r>
      <w:r w:rsidR="001D3657" w:rsidRPr="00F1707F">
        <w:rPr>
          <w:i/>
        </w:rPr>
        <w:t xml:space="preserve">Al Shams Global BVI Limited v </w:t>
      </w:r>
      <w:proofErr w:type="spellStart"/>
      <w:r w:rsidR="00182EFC" w:rsidRPr="00F1707F">
        <w:rPr>
          <w:i/>
        </w:rPr>
        <w:t>Sambadza</w:t>
      </w:r>
      <w:proofErr w:type="spellEnd"/>
      <w:r w:rsidR="00182EFC" w:rsidRPr="00F1707F">
        <w:t xml:space="preserve"> HH 373/16.</w:t>
      </w:r>
      <w:r w:rsidR="00881780" w:rsidRPr="00F1707F">
        <w:t xml:space="preserve"> In these two cases the case of</w:t>
      </w:r>
      <w:r w:rsidR="00A3101B" w:rsidRPr="00F1707F">
        <w:t xml:space="preserve"> </w:t>
      </w:r>
      <w:r w:rsidR="00A3101B" w:rsidRPr="00F1707F">
        <w:rPr>
          <w:i/>
          <w:iCs/>
        </w:rPr>
        <w:t xml:space="preserve">Howard </w:t>
      </w:r>
      <w:r w:rsidR="00A3101B" w:rsidRPr="00F1707F">
        <w:t xml:space="preserve">v </w:t>
      </w:r>
      <w:proofErr w:type="spellStart"/>
      <w:r w:rsidR="00A3101B" w:rsidRPr="00F1707F">
        <w:rPr>
          <w:i/>
          <w:iCs/>
        </w:rPr>
        <w:t>Herigel</w:t>
      </w:r>
      <w:proofErr w:type="spellEnd"/>
      <w:r w:rsidR="00A3101B" w:rsidRPr="00F1707F">
        <w:rPr>
          <w:i/>
          <w:iCs/>
        </w:rPr>
        <w:t xml:space="preserve"> and another </w:t>
      </w:r>
      <w:r w:rsidR="00A3101B" w:rsidRPr="00F1707F">
        <w:t xml:space="preserve">1991 (2) SA 662 @ 674 </w:t>
      </w:r>
      <w:r w:rsidR="00881780" w:rsidRPr="00F1707F">
        <w:t xml:space="preserve">was cited as authority for this proposition, </w:t>
      </w:r>
      <w:r w:rsidR="00052F20">
        <w:t>where the court said:</w:t>
      </w:r>
      <w:r w:rsidR="00A3101B" w:rsidRPr="00F1707F">
        <w:t xml:space="preserve"> </w:t>
      </w:r>
    </w:p>
    <w:p w:rsidR="00555E96" w:rsidRPr="00F1707F" w:rsidRDefault="00A3101B" w:rsidP="00F1707F">
      <w:pPr>
        <w:spacing w:line="276" w:lineRule="auto"/>
        <w:ind w:left="720"/>
        <w:jc w:val="both"/>
        <w:rPr>
          <w:szCs w:val="24"/>
        </w:rPr>
      </w:pPr>
      <w:r w:rsidRPr="00F1707F">
        <w:rPr>
          <w:szCs w:val="24"/>
        </w:rPr>
        <w:t>In my opinion it is unhelpful and even misleading to classify directors as ‘executive or non- executive’ for purposes of ascertaining their duties to the company or when any specific or affirmative action is required of them. No such distinction is to be found in any statute. As common law, once a person accepts an appointment as a Director he becomes a fiduciary in relation to the company and is obliged to display utmost good faith towards the company and</w:t>
      </w:r>
      <w:r w:rsidR="00096F12" w:rsidRPr="00F1707F">
        <w:rPr>
          <w:szCs w:val="24"/>
        </w:rPr>
        <w:t xml:space="preserve"> in his dealings on its behalf.</w:t>
      </w:r>
    </w:p>
    <w:p w:rsidR="005A2E03" w:rsidRDefault="005A2E03" w:rsidP="005A2E03">
      <w:pPr>
        <w:ind w:firstLine="720"/>
        <w:jc w:val="both"/>
        <w:rPr>
          <w:rFonts w:cs="Times New Roman"/>
          <w:szCs w:val="24"/>
        </w:rPr>
      </w:pPr>
      <w:r w:rsidRPr="00B765CF">
        <w:rPr>
          <w:rFonts w:cs="Times New Roman"/>
          <w:szCs w:val="24"/>
        </w:rPr>
        <w:t xml:space="preserve">Therefore, the fact that </w:t>
      </w:r>
      <w:r w:rsidR="00F1707F">
        <w:rPr>
          <w:rFonts w:cs="Times New Roman"/>
          <w:szCs w:val="24"/>
        </w:rPr>
        <w:t>1</w:t>
      </w:r>
      <w:r w:rsidR="00F1707F" w:rsidRPr="00F1707F">
        <w:rPr>
          <w:rFonts w:cs="Times New Roman"/>
          <w:szCs w:val="24"/>
          <w:vertAlign w:val="superscript"/>
        </w:rPr>
        <w:t>st</w:t>
      </w:r>
      <w:r w:rsidR="00F1707F">
        <w:rPr>
          <w:rFonts w:cs="Times New Roman"/>
          <w:szCs w:val="24"/>
        </w:rPr>
        <w:t xml:space="preserve"> respondent was not an e</w:t>
      </w:r>
      <w:r w:rsidRPr="00B765CF">
        <w:rPr>
          <w:rFonts w:cs="Times New Roman"/>
          <w:szCs w:val="24"/>
        </w:rPr>
        <w:t>xecutive director does not absolve him from personal responsibilities for the company’s debts and liabilities under s 318 (1) of the Companies Act.</w:t>
      </w:r>
    </w:p>
    <w:p w:rsidR="005972E8" w:rsidRDefault="009805A7" w:rsidP="00FE41B9">
      <w:pPr>
        <w:ind w:firstLine="720"/>
        <w:jc w:val="both"/>
        <w:rPr>
          <w:rFonts w:cs="Times New Roman"/>
          <w:szCs w:val="24"/>
        </w:rPr>
      </w:pPr>
      <w:proofErr w:type="spellStart"/>
      <w:r>
        <w:rPr>
          <w:rFonts w:cs="Times New Roman"/>
          <w:szCs w:val="24"/>
        </w:rPr>
        <w:t>Mr</w:t>
      </w:r>
      <w:proofErr w:type="spellEnd"/>
      <w:r>
        <w:rPr>
          <w:rFonts w:cs="Times New Roman"/>
          <w:szCs w:val="24"/>
        </w:rPr>
        <w:t xml:space="preserve"> </w:t>
      </w:r>
      <w:proofErr w:type="spellStart"/>
      <w:r w:rsidRPr="009805A7">
        <w:rPr>
          <w:rFonts w:cs="Times New Roman"/>
          <w:i/>
          <w:szCs w:val="24"/>
        </w:rPr>
        <w:t>Madzivire</w:t>
      </w:r>
      <w:proofErr w:type="spellEnd"/>
      <w:r w:rsidR="0062258E">
        <w:rPr>
          <w:rFonts w:cs="Times New Roman"/>
          <w:szCs w:val="24"/>
        </w:rPr>
        <w:t xml:space="preserve"> </w:t>
      </w:r>
      <w:r w:rsidR="0060798B">
        <w:rPr>
          <w:rFonts w:cs="Times New Roman"/>
          <w:szCs w:val="24"/>
        </w:rPr>
        <w:t xml:space="preserve">contends that it is a trite position of the law </w:t>
      </w:r>
      <w:r w:rsidR="00681B01">
        <w:rPr>
          <w:rFonts w:cs="Times New Roman"/>
          <w:szCs w:val="24"/>
        </w:rPr>
        <w:t xml:space="preserve">that </w:t>
      </w:r>
      <w:r w:rsidR="00A757A0">
        <w:rPr>
          <w:rFonts w:cs="Times New Roman"/>
          <w:szCs w:val="24"/>
        </w:rPr>
        <w:t xml:space="preserve">directors of a company </w:t>
      </w:r>
      <w:r w:rsidR="00681B01">
        <w:rPr>
          <w:rFonts w:cs="Times New Roman"/>
          <w:szCs w:val="24"/>
        </w:rPr>
        <w:t xml:space="preserve">act on the basis of a board resolution. </w:t>
      </w:r>
      <w:r w:rsidR="00D1264F">
        <w:rPr>
          <w:rFonts w:cs="Times New Roman"/>
          <w:szCs w:val="24"/>
        </w:rPr>
        <w:t>It is argued th</w:t>
      </w:r>
      <w:r w:rsidR="0081327E">
        <w:rPr>
          <w:rFonts w:cs="Times New Roman"/>
          <w:szCs w:val="24"/>
        </w:rPr>
        <w:t>at applicant should have asked the company</w:t>
      </w:r>
      <w:r w:rsidR="00D1264F">
        <w:rPr>
          <w:rFonts w:cs="Times New Roman"/>
          <w:szCs w:val="24"/>
        </w:rPr>
        <w:t xml:space="preserve"> representatives to produce a board resolution authorizing them to </w:t>
      </w:r>
      <w:r w:rsidR="00FE025D">
        <w:rPr>
          <w:rFonts w:cs="Times New Roman"/>
          <w:szCs w:val="24"/>
        </w:rPr>
        <w:t xml:space="preserve">negotiate and enter into such a contract. </w:t>
      </w:r>
      <w:r w:rsidR="00FE060D">
        <w:rPr>
          <w:rFonts w:cs="Times New Roman"/>
          <w:szCs w:val="24"/>
        </w:rPr>
        <w:t>It is contended that there is no</w:t>
      </w:r>
      <w:r w:rsidR="005B3959">
        <w:rPr>
          <w:rFonts w:cs="Times New Roman"/>
          <w:szCs w:val="24"/>
        </w:rPr>
        <w:t xml:space="preserve"> board resolution to show that the company </w:t>
      </w:r>
      <w:r w:rsidR="00FE060D">
        <w:rPr>
          <w:rFonts w:cs="Times New Roman"/>
          <w:szCs w:val="24"/>
        </w:rPr>
        <w:t xml:space="preserve">had authorized </w:t>
      </w:r>
      <w:r w:rsidR="006A5599">
        <w:rPr>
          <w:rFonts w:cs="Times New Roman"/>
          <w:szCs w:val="24"/>
        </w:rPr>
        <w:t>the agreement with applicant. It is further argued that there is no board resolution to show that applicant had</w:t>
      </w:r>
      <w:r w:rsidR="005B3959">
        <w:rPr>
          <w:rFonts w:cs="Times New Roman"/>
          <w:szCs w:val="24"/>
        </w:rPr>
        <w:t xml:space="preserve"> authorized the agreement with the company</w:t>
      </w:r>
      <w:r w:rsidR="006A5599">
        <w:rPr>
          <w:rFonts w:cs="Times New Roman"/>
          <w:szCs w:val="24"/>
        </w:rPr>
        <w:t xml:space="preserve">. </w:t>
      </w:r>
      <w:r w:rsidR="006B21F6">
        <w:rPr>
          <w:rFonts w:cs="Times New Roman"/>
          <w:szCs w:val="24"/>
        </w:rPr>
        <w:t xml:space="preserve">It is submitted that the parties who negotiated the contract were on a frolic of their </w:t>
      </w:r>
      <w:r w:rsidR="003621DD">
        <w:rPr>
          <w:rFonts w:cs="Times New Roman"/>
          <w:szCs w:val="24"/>
        </w:rPr>
        <w:t xml:space="preserve">own, and their actions cannot </w:t>
      </w:r>
      <w:r w:rsidR="00C63403">
        <w:rPr>
          <w:rFonts w:cs="Times New Roman"/>
          <w:szCs w:val="24"/>
        </w:rPr>
        <w:t xml:space="preserve">be </w:t>
      </w:r>
      <w:r w:rsidR="003621DD">
        <w:rPr>
          <w:rFonts w:cs="Times New Roman"/>
          <w:szCs w:val="24"/>
        </w:rPr>
        <w:t xml:space="preserve">attributed to </w:t>
      </w:r>
      <w:r w:rsidR="00E3091A">
        <w:rPr>
          <w:rFonts w:cs="Times New Roman"/>
          <w:szCs w:val="24"/>
        </w:rPr>
        <w:t>the parties who were not part to</w:t>
      </w:r>
      <w:r w:rsidR="003621DD">
        <w:rPr>
          <w:rFonts w:cs="Times New Roman"/>
          <w:szCs w:val="24"/>
        </w:rPr>
        <w:t xml:space="preserve"> the transaction. </w:t>
      </w:r>
    </w:p>
    <w:p w:rsidR="00C15F22" w:rsidRPr="00606896" w:rsidRDefault="00DA1F5C" w:rsidP="004F1B92">
      <w:pPr>
        <w:autoSpaceDE w:val="0"/>
        <w:autoSpaceDN w:val="0"/>
        <w:adjustRightInd w:val="0"/>
        <w:spacing w:before="0" w:beforeAutospacing="0" w:after="0" w:afterAutospacing="0"/>
        <w:ind w:firstLine="720"/>
        <w:jc w:val="both"/>
        <w:rPr>
          <w:rFonts w:cs="Times New Roman"/>
          <w:szCs w:val="24"/>
          <w:lang w:val="en-ZW"/>
        </w:rPr>
      </w:pPr>
      <w:r w:rsidRPr="00DA1F5C">
        <w:rPr>
          <w:rFonts w:cs="Times New Roman"/>
          <w:szCs w:val="24"/>
          <w:lang w:val="en-ZW"/>
        </w:rPr>
        <w:t xml:space="preserve">This defence </w:t>
      </w:r>
      <w:r w:rsidR="0098705E">
        <w:rPr>
          <w:rFonts w:cs="Times New Roman"/>
          <w:szCs w:val="24"/>
          <w:lang w:val="en-ZW"/>
        </w:rPr>
        <w:t>regarding the</w:t>
      </w:r>
      <w:r w:rsidR="008208DA">
        <w:rPr>
          <w:rFonts w:cs="Times New Roman"/>
          <w:szCs w:val="24"/>
          <w:lang w:val="en-ZW"/>
        </w:rPr>
        <w:t xml:space="preserve"> alleged absence of board resolutions </w:t>
      </w:r>
      <w:r w:rsidRPr="00DA1F5C">
        <w:rPr>
          <w:rFonts w:cs="Times New Roman"/>
          <w:szCs w:val="24"/>
          <w:lang w:val="en-ZW"/>
        </w:rPr>
        <w:t xml:space="preserve">is not open </w:t>
      </w:r>
      <w:r w:rsidR="0001758B">
        <w:rPr>
          <w:rFonts w:cs="Times New Roman"/>
          <w:szCs w:val="24"/>
          <w:lang w:val="en-ZW"/>
        </w:rPr>
        <w:t>to the 1</w:t>
      </w:r>
      <w:r w:rsidR="0001758B" w:rsidRPr="0001758B">
        <w:rPr>
          <w:rFonts w:cs="Times New Roman"/>
          <w:szCs w:val="24"/>
          <w:vertAlign w:val="superscript"/>
          <w:lang w:val="en-ZW"/>
        </w:rPr>
        <w:t>st</w:t>
      </w:r>
      <w:r w:rsidR="0001758B">
        <w:rPr>
          <w:rFonts w:cs="Times New Roman"/>
          <w:szCs w:val="24"/>
          <w:lang w:val="en-ZW"/>
        </w:rPr>
        <w:t xml:space="preserve"> respondent</w:t>
      </w:r>
      <w:r w:rsidR="008208DA">
        <w:rPr>
          <w:rFonts w:cs="Times New Roman"/>
          <w:szCs w:val="24"/>
          <w:lang w:val="en-ZW"/>
        </w:rPr>
        <w:t xml:space="preserve"> at this stage</w:t>
      </w:r>
      <w:r w:rsidRPr="00DA1F5C">
        <w:rPr>
          <w:rFonts w:cs="Times New Roman"/>
          <w:szCs w:val="24"/>
          <w:lang w:val="en-ZW"/>
        </w:rPr>
        <w:t xml:space="preserve">. This is why. </w:t>
      </w:r>
      <w:r w:rsidR="0063752F" w:rsidRPr="00F66C2D">
        <w:rPr>
          <w:shd w:val="clear" w:color="auto" w:fill="FFFFFF"/>
        </w:rPr>
        <w:t> This application is not concerned with whether or n</w:t>
      </w:r>
      <w:r w:rsidR="00606896" w:rsidRPr="00F66C2D">
        <w:rPr>
          <w:shd w:val="clear" w:color="auto" w:fill="FFFFFF"/>
        </w:rPr>
        <w:t>ot the company is indebted to the applicant</w:t>
      </w:r>
      <w:r w:rsidR="0063752F" w:rsidRPr="00F66C2D">
        <w:rPr>
          <w:shd w:val="clear" w:color="auto" w:fill="FFFFFF"/>
        </w:rPr>
        <w:t>. That enquir</w:t>
      </w:r>
      <w:r w:rsidR="00606896" w:rsidRPr="00F66C2D">
        <w:rPr>
          <w:shd w:val="clear" w:color="auto" w:fill="FFFFFF"/>
        </w:rPr>
        <w:t xml:space="preserve">y was settled in HC 2915/18. </w:t>
      </w:r>
      <w:r w:rsidR="004F1B92" w:rsidRPr="00F66C2D">
        <w:rPr>
          <w:rFonts w:cs="Times New Roman"/>
          <w:szCs w:val="24"/>
          <w:lang w:val="en-ZW"/>
        </w:rPr>
        <w:t>The point is that t</w:t>
      </w:r>
      <w:r w:rsidR="00AB4AC3" w:rsidRPr="00F66C2D">
        <w:rPr>
          <w:rFonts w:cs="Times New Roman"/>
          <w:szCs w:val="24"/>
          <w:lang w:val="en-ZW"/>
        </w:rPr>
        <w:t>his application is based o</w:t>
      </w:r>
      <w:r w:rsidR="00653D35" w:rsidRPr="00F66C2D">
        <w:rPr>
          <w:rFonts w:cs="Times New Roman"/>
          <w:szCs w:val="24"/>
          <w:lang w:val="en-ZW"/>
        </w:rPr>
        <w:t>n a ju</w:t>
      </w:r>
      <w:r w:rsidR="00653D35">
        <w:rPr>
          <w:rFonts w:cs="Times New Roman"/>
          <w:szCs w:val="24"/>
          <w:lang w:val="en-ZW"/>
        </w:rPr>
        <w:t>dgment against the company</w:t>
      </w:r>
      <w:r w:rsidR="00D678F5">
        <w:rPr>
          <w:rFonts w:cs="Times New Roman"/>
          <w:szCs w:val="24"/>
          <w:lang w:val="en-ZW"/>
        </w:rPr>
        <w:t xml:space="preserve"> in </w:t>
      </w:r>
      <w:r w:rsidR="00AB4AC3">
        <w:rPr>
          <w:szCs w:val="24"/>
        </w:rPr>
        <w:t>HC 2915/18.</w:t>
      </w:r>
      <w:r w:rsidR="00746589">
        <w:rPr>
          <w:szCs w:val="24"/>
        </w:rPr>
        <w:t xml:space="preserve"> </w:t>
      </w:r>
      <w:r w:rsidR="00574749">
        <w:rPr>
          <w:rFonts w:cs="Times New Roman"/>
          <w:szCs w:val="24"/>
          <w:lang w:val="en-ZW"/>
        </w:rPr>
        <w:t xml:space="preserve"> </w:t>
      </w:r>
      <w:r w:rsidR="00543B69">
        <w:rPr>
          <w:rFonts w:cs="Times New Roman"/>
          <w:szCs w:val="24"/>
          <w:lang w:val="en-ZW"/>
        </w:rPr>
        <w:t xml:space="preserve">Whether </w:t>
      </w:r>
      <w:r w:rsidR="00653D35">
        <w:rPr>
          <w:rFonts w:cs="Times New Roman"/>
          <w:szCs w:val="24"/>
          <w:lang w:val="en-ZW"/>
        </w:rPr>
        <w:t>the company</w:t>
      </w:r>
      <w:r w:rsidR="00543B69">
        <w:rPr>
          <w:rFonts w:cs="Times New Roman"/>
          <w:szCs w:val="24"/>
          <w:lang w:val="en-ZW"/>
        </w:rPr>
        <w:t xml:space="preserve"> representatives produced a board resolution authorizing them to enter into an agreemen</w:t>
      </w:r>
      <w:r w:rsidR="004F1B92">
        <w:rPr>
          <w:rFonts w:cs="Times New Roman"/>
          <w:szCs w:val="24"/>
          <w:lang w:val="en-ZW"/>
        </w:rPr>
        <w:t>t with applicant is not relevant</w:t>
      </w:r>
      <w:r w:rsidR="00543B69">
        <w:rPr>
          <w:rFonts w:cs="Times New Roman"/>
          <w:szCs w:val="24"/>
          <w:lang w:val="en-ZW"/>
        </w:rPr>
        <w:t xml:space="preserve"> in this application. </w:t>
      </w:r>
      <w:r w:rsidR="00262E47">
        <w:rPr>
          <w:rFonts w:cs="Times New Roman"/>
          <w:szCs w:val="24"/>
          <w:lang w:val="en-ZW"/>
        </w:rPr>
        <w:t>The issues of board resolution</w:t>
      </w:r>
      <w:r w:rsidR="00841A9B">
        <w:rPr>
          <w:rFonts w:cs="Times New Roman"/>
          <w:szCs w:val="24"/>
          <w:lang w:val="en-ZW"/>
        </w:rPr>
        <w:t xml:space="preserve">s are </w:t>
      </w:r>
      <w:r w:rsidR="00841A9B">
        <w:rPr>
          <w:rFonts w:cs="Times New Roman"/>
          <w:szCs w:val="24"/>
          <w:lang w:val="en-ZW"/>
        </w:rPr>
        <w:lastRenderedPageBreak/>
        <w:t>irrelevant at this point.</w:t>
      </w:r>
      <w:r w:rsidR="00951421">
        <w:rPr>
          <w:rFonts w:cs="Times New Roman"/>
          <w:szCs w:val="24"/>
          <w:lang w:val="en-ZW"/>
        </w:rPr>
        <w:t xml:space="preserve"> </w:t>
      </w:r>
      <w:r w:rsidR="00D845CA">
        <w:rPr>
          <w:rFonts w:cs="Times New Roman"/>
          <w:szCs w:val="24"/>
          <w:lang w:val="en-ZW"/>
        </w:rPr>
        <w:t>Permitting a debate regarding board resolution</w:t>
      </w:r>
      <w:r w:rsidR="00653D35">
        <w:rPr>
          <w:rFonts w:cs="Times New Roman"/>
          <w:szCs w:val="24"/>
          <w:lang w:val="en-ZW"/>
        </w:rPr>
        <w:t>s</w:t>
      </w:r>
      <w:r w:rsidR="00D845CA">
        <w:rPr>
          <w:rFonts w:cs="Times New Roman"/>
          <w:szCs w:val="24"/>
          <w:lang w:val="en-ZW"/>
        </w:rPr>
        <w:t xml:space="preserve"> would be t</w:t>
      </w:r>
      <w:r w:rsidR="00D414ED">
        <w:rPr>
          <w:rFonts w:cs="Times New Roman"/>
          <w:szCs w:val="24"/>
          <w:lang w:val="en-ZW"/>
        </w:rPr>
        <w:t>antamount to opening case</w:t>
      </w:r>
      <w:r w:rsidR="00054A26">
        <w:rPr>
          <w:rFonts w:cs="Times New Roman"/>
          <w:szCs w:val="24"/>
          <w:lang w:val="en-ZW"/>
        </w:rPr>
        <w:t>s</w:t>
      </w:r>
      <w:r w:rsidR="00D845CA">
        <w:rPr>
          <w:rFonts w:cs="Times New Roman"/>
          <w:szCs w:val="24"/>
          <w:lang w:val="en-ZW"/>
        </w:rPr>
        <w:t xml:space="preserve"> </w:t>
      </w:r>
      <w:r w:rsidR="004C6958">
        <w:rPr>
          <w:szCs w:val="24"/>
        </w:rPr>
        <w:t xml:space="preserve">HC 1105/18 </w:t>
      </w:r>
      <w:r w:rsidR="00D414ED">
        <w:rPr>
          <w:szCs w:val="24"/>
        </w:rPr>
        <w:t xml:space="preserve">and </w:t>
      </w:r>
      <w:r w:rsidR="0060588D">
        <w:rPr>
          <w:szCs w:val="24"/>
        </w:rPr>
        <w:t xml:space="preserve">HC 2915/18 </w:t>
      </w:r>
      <w:r w:rsidR="004C6958" w:rsidRPr="004C6958">
        <w:rPr>
          <w:i/>
          <w:szCs w:val="24"/>
        </w:rPr>
        <w:t xml:space="preserve">via </w:t>
      </w:r>
      <w:r w:rsidR="00653D35">
        <w:rPr>
          <w:szCs w:val="24"/>
        </w:rPr>
        <w:t>the back door.</w:t>
      </w:r>
      <w:r w:rsidR="004F1B92">
        <w:rPr>
          <w:szCs w:val="24"/>
        </w:rPr>
        <w:t xml:space="preserve"> Such would be impermissible. </w:t>
      </w:r>
    </w:p>
    <w:p w:rsidR="00604679" w:rsidRDefault="00604679" w:rsidP="00A166B0">
      <w:pPr>
        <w:autoSpaceDE w:val="0"/>
        <w:autoSpaceDN w:val="0"/>
        <w:adjustRightInd w:val="0"/>
        <w:spacing w:before="0" w:beforeAutospacing="0" w:after="0" w:afterAutospacing="0"/>
        <w:ind w:firstLine="720"/>
        <w:jc w:val="both"/>
        <w:rPr>
          <w:szCs w:val="24"/>
        </w:rPr>
      </w:pPr>
    </w:p>
    <w:p w:rsidR="008659BC" w:rsidRDefault="00604679" w:rsidP="00C65B87">
      <w:pPr>
        <w:autoSpaceDE w:val="0"/>
        <w:autoSpaceDN w:val="0"/>
        <w:adjustRightInd w:val="0"/>
        <w:spacing w:before="0" w:beforeAutospacing="0" w:after="0" w:afterAutospacing="0"/>
        <w:ind w:firstLine="720"/>
        <w:jc w:val="both"/>
        <w:rPr>
          <w:rFonts w:cs="Times New Roman"/>
          <w:color w:val="202124"/>
          <w:szCs w:val="24"/>
          <w:shd w:val="clear" w:color="auto" w:fill="FFFFFF"/>
        </w:rPr>
      </w:pPr>
      <w:r w:rsidRPr="00113515">
        <w:rPr>
          <w:rFonts w:cs="Times New Roman"/>
          <w:color w:val="202124"/>
          <w:szCs w:val="24"/>
          <w:shd w:val="clear" w:color="auto" w:fill="FFFFFF"/>
        </w:rPr>
        <w:t>Again 1</w:t>
      </w:r>
      <w:r w:rsidRPr="00113515">
        <w:rPr>
          <w:rFonts w:cs="Times New Roman"/>
          <w:color w:val="202124"/>
          <w:szCs w:val="24"/>
          <w:shd w:val="clear" w:color="auto" w:fill="FFFFFF"/>
          <w:vertAlign w:val="superscript"/>
        </w:rPr>
        <w:t>st</w:t>
      </w:r>
      <w:r w:rsidRPr="00113515">
        <w:rPr>
          <w:rFonts w:cs="Times New Roman"/>
          <w:color w:val="202124"/>
          <w:szCs w:val="24"/>
          <w:shd w:val="clear" w:color="auto" w:fill="FFFFFF"/>
        </w:rPr>
        <w:t xml:space="preserve"> respondent cannot plead the absence </w:t>
      </w:r>
      <w:r w:rsidR="00DC0F81" w:rsidRPr="00113515">
        <w:rPr>
          <w:rFonts w:cs="Times New Roman"/>
          <w:color w:val="202124"/>
          <w:szCs w:val="24"/>
          <w:shd w:val="clear" w:color="auto" w:fill="FFFFFF"/>
        </w:rPr>
        <w:t>of a</w:t>
      </w:r>
      <w:r w:rsidR="00FD1B58" w:rsidRPr="00113515">
        <w:rPr>
          <w:rFonts w:cs="Times New Roman"/>
          <w:color w:val="202124"/>
          <w:szCs w:val="24"/>
          <w:shd w:val="clear" w:color="auto" w:fill="FFFFFF"/>
        </w:rPr>
        <w:t xml:space="preserve"> resolution </w:t>
      </w:r>
      <w:r w:rsidR="00841A9B">
        <w:rPr>
          <w:rFonts w:cs="Times New Roman"/>
          <w:color w:val="202124"/>
          <w:szCs w:val="24"/>
          <w:shd w:val="clear" w:color="auto" w:fill="FFFFFF"/>
        </w:rPr>
        <w:t>by the company</w:t>
      </w:r>
      <w:r w:rsidR="00DC0F81" w:rsidRPr="00113515">
        <w:rPr>
          <w:rFonts w:cs="Times New Roman"/>
          <w:color w:val="202124"/>
          <w:szCs w:val="24"/>
          <w:shd w:val="clear" w:color="auto" w:fill="FFFFFF"/>
        </w:rPr>
        <w:t xml:space="preserve"> </w:t>
      </w:r>
      <w:r w:rsidR="00FD1B58" w:rsidRPr="00113515">
        <w:rPr>
          <w:rFonts w:cs="Times New Roman"/>
          <w:color w:val="202124"/>
          <w:szCs w:val="24"/>
          <w:shd w:val="clear" w:color="auto" w:fill="FFFFFF"/>
        </w:rPr>
        <w:t xml:space="preserve">as a basis </w:t>
      </w:r>
      <w:r w:rsidR="008A4320" w:rsidRPr="00113515">
        <w:rPr>
          <w:rFonts w:cs="Times New Roman"/>
          <w:color w:val="202124"/>
          <w:szCs w:val="24"/>
          <w:shd w:val="clear" w:color="auto" w:fill="FFFFFF"/>
        </w:rPr>
        <w:t xml:space="preserve">to resist personal </w:t>
      </w:r>
      <w:r w:rsidR="00DC0F81" w:rsidRPr="00113515">
        <w:rPr>
          <w:rFonts w:cs="Times New Roman"/>
          <w:color w:val="202124"/>
          <w:szCs w:val="24"/>
          <w:shd w:val="clear" w:color="auto" w:fill="FFFFFF"/>
        </w:rPr>
        <w:t>liability</w:t>
      </w:r>
      <w:r w:rsidR="007A63A4" w:rsidRPr="00113515">
        <w:rPr>
          <w:rFonts w:cs="Times New Roman"/>
          <w:color w:val="202124"/>
          <w:szCs w:val="24"/>
          <w:shd w:val="clear" w:color="auto" w:fill="FFFFFF"/>
        </w:rPr>
        <w:t xml:space="preserve">. </w:t>
      </w:r>
      <w:r w:rsidR="00DC0F81" w:rsidRPr="00113515">
        <w:rPr>
          <w:rFonts w:cs="Times New Roman"/>
          <w:color w:val="202124"/>
          <w:szCs w:val="24"/>
          <w:shd w:val="clear" w:color="auto" w:fill="FFFFFF"/>
        </w:rPr>
        <w:t xml:space="preserve">The </w:t>
      </w:r>
      <w:proofErr w:type="spellStart"/>
      <w:r w:rsidR="00DC0F81" w:rsidRPr="00113515">
        <w:rPr>
          <w:rFonts w:cs="Times New Roman"/>
          <w:color w:val="202124"/>
          <w:szCs w:val="24"/>
          <w:shd w:val="clear" w:color="auto" w:fill="FFFFFF"/>
        </w:rPr>
        <w:t>Turquand</w:t>
      </w:r>
      <w:proofErr w:type="spellEnd"/>
      <w:r w:rsidR="00DC0F81" w:rsidRPr="00113515">
        <w:rPr>
          <w:rFonts w:cs="Times New Roman"/>
          <w:color w:val="202124"/>
          <w:szCs w:val="24"/>
          <w:shd w:val="clear" w:color="auto" w:fill="FFFFFF"/>
        </w:rPr>
        <w:t xml:space="preserve"> Rule does not permit such </w:t>
      </w:r>
      <w:r w:rsidR="00841A9B">
        <w:rPr>
          <w:rFonts w:cs="Times New Roman"/>
          <w:color w:val="202124"/>
          <w:szCs w:val="24"/>
          <w:shd w:val="clear" w:color="auto" w:fill="FFFFFF"/>
        </w:rPr>
        <w:t xml:space="preserve">a </w:t>
      </w:r>
      <w:proofErr w:type="spellStart"/>
      <w:r w:rsidR="00113515" w:rsidRPr="00113515">
        <w:rPr>
          <w:rFonts w:cs="Times New Roman"/>
          <w:color w:val="202124"/>
          <w:szCs w:val="24"/>
          <w:shd w:val="clear" w:color="auto" w:fill="FFFFFF"/>
        </w:rPr>
        <w:t>defence</w:t>
      </w:r>
      <w:proofErr w:type="spellEnd"/>
      <w:r w:rsidR="00113515" w:rsidRPr="00113515">
        <w:rPr>
          <w:rFonts w:cs="Times New Roman"/>
          <w:color w:val="202124"/>
          <w:szCs w:val="24"/>
          <w:shd w:val="clear" w:color="auto" w:fill="FFFFFF"/>
        </w:rPr>
        <w:t xml:space="preserve">. </w:t>
      </w:r>
      <w:r w:rsidRPr="00113515">
        <w:rPr>
          <w:rFonts w:cs="Times New Roman"/>
          <w:color w:val="202124"/>
          <w:szCs w:val="24"/>
          <w:shd w:val="clear" w:color="auto" w:fill="FFFFFF"/>
        </w:rPr>
        <w:t xml:space="preserve"> The rule has its foundation in the classical English case of </w:t>
      </w:r>
      <w:r w:rsidRPr="00113515">
        <w:rPr>
          <w:rFonts w:cs="Times New Roman"/>
          <w:i/>
          <w:color w:val="202124"/>
          <w:szCs w:val="24"/>
          <w:shd w:val="clear" w:color="auto" w:fill="FFFFFF"/>
        </w:rPr>
        <w:t xml:space="preserve">Royal British Bank v </w:t>
      </w:r>
      <w:proofErr w:type="spellStart"/>
      <w:r w:rsidRPr="00113515">
        <w:rPr>
          <w:rFonts w:cs="Times New Roman"/>
          <w:i/>
          <w:color w:val="202124"/>
          <w:szCs w:val="24"/>
          <w:shd w:val="clear" w:color="auto" w:fill="FFFFFF"/>
        </w:rPr>
        <w:t>Turquand</w:t>
      </w:r>
      <w:proofErr w:type="spellEnd"/>
      <w:r w:rsidRPr="00113515">
        <w:rPr>
          <w:rFonts w:cs="Times New Roman"/>
          <w:i/>
          <w:color w:val="202124"/>
          <w:szCs w:val="24"/>
          <w:shd w:val="clear" w:color="auto" w:fill="FFFFFF"/>
        </w:rPr>
        <w:t xml:space="preserve"> </w:t>
      </w:r>
      <w:r w:rsidRPr="00113515">
        <w:rPr>
          <w:rFonts w:cs="Times New Roman"/>
          <w:color w:val="202124"/>
          <w:szCs w:val="24"/>
          <w:shd w:val="clear" w:color="auto" w:fill="FFFFFF"/>
        </w:rPr>
        <w:t>(1856) 6 E&amp;B 327, 119 ER 886. In terms of this rule an </w:t>
      </w:r>
      <w:r w:rsidRPr="00113515">
        <w:rPr>
          <w:rFonts w:cs="Times New Roman"/>
          <w:bCs/>
          <w:color w:val="202124"/>
          <w:szCs w:val="24"/>
          <w:shd w:val="clear" w:color="auto" w:fill="FFFFFF"/>
        </w:rPr>
        <w:t xml:space="preserve">outsider contracting with a company in good faith is entitled to assume that the </w:t>
      </w:r>
      <w:r w:rsidR="003C7EE7">
        <w:rPr>
          <w:rFonts w:cs="Times New Roman"/>
          <w:bCs/>
          <w:color w:val="202124"/>
          <w:szCs w:val="24"/>
          <w:shd w:val="clear" w:color="auto" w:fill="FFFFFF"/>
        </w:rPr>
        <w:t xml:space="preserve">company </w:t>
      </w:r>
      <w:r w:rsidRPr="00113515">
        <w:rPr>
          <w:rFonts w:cs="Times New Roman"/>
          <w:bCs/>
          <w:color w:val="202124"/>
          <w:szCs w:val="24"/>
          <w:shd w:val="clear" w:color="auto" w:fill="FFFFFF"/>
        </w:rPr>
        <w:t>internal requirements and procedures have been complied with</w:t>
      </w:r>
      <w:r w:rsidRPr="00113515">
        <w:rPr>
          <w:rFonts w:cs="Times New Roman"/>
          <w:color w:val="202124"/>
          <w:szCs w:val="24"/>
          <w:shd w:val="clear" w:color="auto" w:fill="FFFFFF"/>
        </w:rPr>
        <w:t>.</w:t>
      </w:r>
      <w:r w:rsidR="00113515">
        <w:rPr>
          <w:rFonts w:cs="Times New Roman"/>
          <w:color w:val="202124"/>
          <w:szCs w:val="24"/>
          <w:shd w:val="clear" w:color="auto" w:fill="FFFFFF"/>
        </w:rPr>
        <w:t xml:space="preserve"> </w:t>
      </w:r>
      <w:r w:rsidR="002B4CBD">
        <w:rPr>
          <w:rFonts w:cs="Times New Roman"/>
          <w:color w:val="202124"/>
          <w:szCs w:val="24"/>
          <w:shd w:val="clear" w:color="auto" w:fill="FFFFFF"/>
        </w:rPr>
        <w:t>Applicant was entitled to assume t</w:t>
      </w:r>
      <w:r w:rsidR="008659BC">
        <w:rPr>
          <w:rFonts w:cs="Times New Roman"/>
          <w:color w:val="202124"/>
          <w:szCs w:val="24"/>
          <w:shd w:val="clear" w:color="auto" w:fill="FFFFFF"/>
        </w:rPr>
        <w:t>hat all internal procedures of the company</w:t>
      </w:r>
      <w:r w:rsidR="002B4CBD">
        <w:rPr>
          <w:rFonts w:cs="Times New Roman"/>
          <w:color w:val="202124"/>
          <w:szCs w:val="24"/>
          <w:shd w:val="clear" w:color="auto" w:fill="FFFFFF"/>
        </w:rPr>
        <w:t xml:space="preserve"> were complied with when it e</w:t>
      </w:r>
      <w:r w:rsidR="00F829D7">
        <w:rPr>
          <w:rFonts w:cs="Times New Roman"/>
          <w:color w:val="202124"/>
          <w:szCs w:val="24"/>
          <w:shd w:val="clear" w:color="auto" w:fill="FFFFFF"/>
        </w:rPr>
        <w:t xml:space="preserve">ntered into the agreement with it. </w:t>
      </w:r>
      <w:r w:rsidR="00C65B87">
        <w:rPr>
          <w:rFonts w:cs="Times New Roman"/>
          <w:color w:val="202124"/>
          <w:szCs w:val="24"/>
          <w:shd w:val="clear" w:color="auto" w:fill="FFFFFF"/>
        </w:rPr>
        <w:t xml:space="preserve"> </w:t>
      </w:r>
    </w:p>
    <w:p w:rsidR="00C67860" w:rsidRDefault="00751E0F" w:rsidP="009F6716">
      <w:pPr>
        <w:spacing w:after="0"/>
        <w:ind w:firstLine="720"/>
        <w:jc w:val="both"/>
        <w:rPr>
          <w:rFonts w:cs="Times New Roman"/>
          <w:szCs w:val="24"/>
        </w:rPr>
      </w:pPr>
      <w:r>
        <w:rPr>
          <w:rFonts w:cs="Times New Roman"/>
          <w:szCs w:val="24"/>
        </w:rPr>
        <w:t xml:space="preserve">Again </w:t>
      </w:r>
      <w:r w:rsidR="005A3C82">
        <w:rPr>
          <w:rFonts w:cs="Times New Roman"/>
          <w:szCs w:val="24"/>
        </w:rPr>
        <w:t>1</w:t>
      </w:r>
      <w:r w:rsidR="005A3C82" w:rsidRPr="005A3C82">
        <w:rPr>
          <w:rFonts w:cs="Times New Roman"/>
          <w:szCs w:val="24"/>
          <w:vertAlign w:val="superscript"/>
        </w:rPr>
        <w:t>st</w:t>
      </w:r>
      <w:r w:rsidR="005A3C82">
        <w:rPr>
          <w:rFonts w:cs="Times New Roman"/>
          <w:szCs w:val="24"/>
        </w:rPr>
        <w:t xml:space="preserve"> </w:t>
      </w:r>
      <w:r w:rsidR="003116E3">
        <w:rPr>
          <w:rFonts w:cs="Times New Roman"/>
          <w:szCs w:val="24"/>
        </w:rPr>
        <w:t xml:space="preserve">respondent contends that </w:t>
      </w:r>
      <w:r w:rsidR="006074B6">
        <w:rPr>
          <w:rFonts w:cs="Times New Roman"/>
          <w:szCs w:val="24"/>
        </w:rPr>
        <w:t xml:space="preserve">he resigned </w:t>
      </w:r>
      <w:r w:rsidR="0009543F">
        <w:rPr>
          <w:rFonts w:cs="Times New Roman"/>
          <w:szCs w:val="24"/>
        </w:rPr>
        <w:t>on the 24</w:t>
      </w:r>
      <w:r w:rsidR="0009543F" w:rsidRPr="0009543F">
        <w:rPr>
          <w:rFonts w:cs="Times New Roman"/>
          <w:szCs w:val="24"/>
          <w:vertAlign w:val="superscript"/>
        </w:rPr>
        <w:t>th</w:t>
      </w:r>
      <w:r w:rsidR="00036E9E">
        <w:rPr>
          <w:rFonts w:cs="Times New Roman"/>
          <w:szCs w:val="24"/>
        </w:rPr>
        <w:t xml:space="preserve"> January 2017</w:t>
      </w:r>
      <w:r w:rsidR="0009543F">
        <w:rPr>
          <w:rFonts w:cs="Times New Roman"/>
          <w:szCs w:val="24"/>
        </w:rPr>
        <w:t xml:space="preserve"> </w:t>
      </w:r>
      <w:r w:rsidR="006074B6">
        <w:rPr>
          <w:rFonts w:cs="Times New Roman"/>
          <w:szCs w:val="24"/>
        </w:rPr>
        <w:t xml:space="preserve">from the </w:t>
      </w:r>
      <w:r w:rsidR="00407CE9">
        <w:rPr>
          <w:rFonts w:cs="Times New Roman"/>
          <w:szCs w:val="24"/>
        </w:rPr>
        <w:t>directorship and</w:t>
      </w:r>
      <w:r w:rsidR="006074B6">
        <w:rPr>
          <w:rFonts w:cs="Times New Roman"/>
          <w:szCs w:val="24"/>
        </w:rPr>
        <w:t xml:space="preserve"> </w:t>
      </w:r>
      <w:r w:rsidR="00407CE9">
        <w:rPr>
          <w:rFonts w:cs="Times New Roman"/>
          <w:szCs w:val="24"/>
        </w:rPr>
        <w:t xml:space="preserve">further </w:t>
      </w:r>
      <w:r w:rsidR="006074B6">
        <w:rPr>
          <w:rFonts w:cs="Times New Roman"/>
          <w:szCs w:val="24"/>
        </w:rPr>
        <w:t>the company</w:t>
      </w:r>
      <w:r w:rsidR="009B6940">
        <w:rPr>
          <w:rFonts w:cs="Times New Roman"/>
          <w:szCs w:val="24"/>
        </w:rPr>
        <w:t xml:space="preserve"> signed and indemnity a</w:t>
      </w:r>
      <w:r w:rsidR="00407CE9">
        <w:rPr>
          <w:rFonts w:cs="Times New Roman"/>
          <w:szCs w:val="24"/>
        </w:rPr>
        <w:t xml:space="preserve">greement in his </w:t>
      </w:r>
      <w:proofErr w:type="spellStart"/>
      <w:r w:rsidR="00407CE9">
        <w:rPr>
          <w:rFonts w:cs="Times New Roman"/>
          <w:szCs w:val="24"/>
        </w:rPr>
        <w:t>favour</w:t>
      </w:r>
      <w:proofErr w:type="spellEnd"/>
      <w:r w:rsidR="0009543F">
        <w:rPr>
          <w:rFonts w:cs="Times New Roman"/>
          <w:szCs w:val="24"/>
        </w:rPr>
        <w:t xml:space="preserve">. It is submitted that at the time the transaction between applicant and the company was entered into, </w:t>
      </w:r>
      <w:r w:rsidR="00E0701E">
        <w:rPr>
          <w:rFonts w:cs="Times New Roman"/>
          <w:szCs w:val="24"/>
        </w:rPr>
        <w:t xml:space="preserve">he was no longer a director and as such he is not liable personally for the company’s judgment debt. </w:t>
      </w:r>
      <w:r w:rsidR="000B505B">
        <w:rPr>
          <w:rFonts w:cs="Times New Roman"/>
          <w:szCs w:val="24"/>
        </w:rPr>
        <w:t xml:space="preserve">It is argued that there is no evidence in the founding affidavit to show that </w:t>
      </w:r>
      <w:r w:rsidR="00036E9E">
        <w:rPr>
          <w:rFonts w:cs="Times New Roman"/>
          <w:szCs w:val="24"/>
        </w:rPr>
        <w:t>1</w:t>
      </w:r>
      <w:r w:rsidR="00036E9E" w:rsidRPr="00036E9E">
        <w:rPr>
          <w:rFonts w:cs="Times New Roman"/>
          <w:szCs w:val="24"/>
          <w:vertAlign w:val="superscript"/>
        </w:rPr>
        <w:t>st</w:t>
      </w:r>
      <w:r w:rsidR="00C67860">
        <w:rPr>
          <w:rFonts w:cs="Times New Roman"/>
          <w:szCs w:val="24"/>
        </w:rPr>
        <w:t xml:space="preserve"> respondent was a director at the time applicant and the company entered into the agreement. </w:t>
      </w:r>
    </w:p>
    <w:p w:rsidR="00913EAA" w:rsidRDefault="0004133A" w:rsidP="009F6716">
      <w:pPr>
        <w:spacing w:after="0"/>
        <w:ind w:firstLine="720"/>
        <w:jc w:val="both"/>
        <w:rPr>
          <w:rFonts w:cs="Times New Roman"/>
          <w:szCs w:val="24"/>
        </w:rPr>
      </w:pPr>
      <w:r>
        <w:rPr>
          <w:rFonts w:cs="Times New Roman"/>
          <w:szCs w:val="24"/>
        </w:rPr>
        <w:t xml:space="preserve">Applicant argues that </w:t>
      </w:r>
      <w:r w:rsidR="005A3C82">
        <w:rPr>
          <w:rFonts w:cs="Times New Roman"/>
          <w:szCs w:val="24"/>
        </w:rPr>
        <w:t>1</w:t>
      </w:r>
      <w:r w:rsidR="005A3C82" w:rsidRPr="005A3C82">
        <w:rPr>
          <w:rFonts w:cs="Times New Roman"/>
          <w:szCs w:val="24"/>
          <w:vertAlign w:val="superscript"/>
        </w:rPr>
        <w:t>st</w:t>
      </w:r>
      <w:r>
        <w:rPr>
          <w:rFonts w:cs="Times New Roman"/>
          <w:szCs w:val="24"/>
        </w:rPr>
        <w:t xml:space="preserve"> respondent</w:t>
      </w:r>
      <w:r w:rsidR="006074B6">
        <w:rPr>
          <w:rFonts w:cs="Times New Roman"/>
          <w:szCs w:val="24"/>
        </w:rPr>
        <w:t xml:space="preserve"> </w:t>
      </w:r>
      <w:r w:rsidR="007E76AF">
        <w:rPr>
          <w:rFonts w:cs="Times New Roman"/>
          <w:szCs w:val="24"/>
        </w:rPr>
        <w:t>i</w:t>
      </w:r>
      <w:r w:rsidR="00CC3EFC">
        <w:rPr>
          <w:rFonts w:cs="Times New Roman"/>
          <w:szCs w:val="24"/>
        </w:rPr>
        <w:t xml:space="preserve">s a director of the company, and </w:t>
      </w:r>
      <w:r w:rsidR="00011EA9">
        <w:rPr>
          <w:rFonts w:cs="Times New Roman"/>
          <w:szCs w:val="24"/>
        </w:rPr>
        <w:t>his name remains registered in</w:t>
      </w:r>
      <w:r w:rsidR="007E76AF">
        <w:rPr>
          <w:rFonts w:cs="Times New Roman"/>
          <w:szCs w:val="24"/>
        </w:rPr>
        <w:t xml:space="preserve"> the </w:t>
      </w:r>
      <w:r w:rsidR="0098650C">
        <w:rPr>
          <w:rFonts w:cs="Times New Roman"/>
          <w:szCs w:val="24"/>
        </w:rPr>
        <w:t>company’s</w:t>
      </w:r>
      <w:r w:rsidR="007E76AF">
        <w:rPr>
          <w:rFonts w:cs="Times New Roman"/>
          <w:szCs w:val="24"/>
        </w:rPr>
        <w:t xml:space="preserve"> C.R.14</w:t>
      </w:r>
      <w:r w:rsidR="0098650C">
        <w:rPr>
          <w:rFonts w:cs="Times New Roman"/>
          <w:szCs w:val="24"/>
        </w:rPr>
        <w:t xml:space="preserve"> filed with the Companies’ Register. </w:t>
      </w:r>
      <w:r w:rsidR="00F94194">
        <w:rPr>
          <w:rFonts w:cs="Times New Roman"/>
          <w:szCs w:val="24"/>
        </w:rPr>
        <w:t xml:space="preserve">It is argued that </w:t>
      </w:r>
      <w:r w:rsidR="000E5F1F">
        <w:rPr>
          <w:rFonts w:cs="Times New Roman"/>
          <w:szCs w:val="24"/>
        </w:rPr>
        <w:t xml:space="preserve">in addition to disputing the authenticity of the purported </w:t>
      </w:r>
      <w:r w:rsidR="009B6940">
        <w:rPr>
          <w:rFonts w:cs="Times New Roman"/>
          <w:szCs w:val="24"/>
        </w:rPr>
        <w:t xml:space="preserve">resignation and the indemnity agreement, applicant submits that </w:t>
      </w:r>
      <w:r w:rsidR="00011EA9">
        <w:rPr>
          <w:rFonts w:cs="Times New Roman"/>
          <w:szCs w:val="24"/>
        </w:rPr>
        <w:t>the</w:t>
      </w:r>
      <w:r w:rsidR="00D10B08">
        <w:rPr>
          <w:rFonts w:cs="Times New Roman"/>
          <w:szCs w:val="24"/>
        </w:rPr>
        <w:t xml:space="preserve"> returns filed in the companies’ registry are prima </w:t>
      </w:r>
      <w:r w:rsidR="00D10B08" w:rsidRPr="00593434">
        <w:rPr>
          <w:rFonts w:cs="Times New Roman"/>
          <w:i/>
          <w:szCs w:val="24"/>
        </w:rPr>
        <w:t xml:space="preserve">facie </w:t>
      </w:r>
      <w:r w:rsidR="00593434" w:rsidRPr="00593434">
        <w:rPr>
          <w:rFonts w:cs="Times New Roman"/>
          <w:i/>
          <w:szCs w:val="24"/>
        </w:rPr>
        <w:t xml:space="preserve">proof </w:t>
      </w:r>
      <w:r w:rsidR="00593434">
        <w:rPr>
          <w:rFonts w:cs="Times New Roman"/>
          <w:szCs w:val="24"/>
        </w:rPr>
        <w:t>of the correctness of the contents thereof. It contended that the C.R. 14 shows that the company’s directors are 1</w:t>
      </w:r>
      <w:r w:rsidR="00593434" w:rsidRPr="00593434">
        <w:rPr>
          <w:rFonts w:cs="Times New Roman"/>
          <w:szCs w:val="24"/>
          <w:vertAlign w:val="superscript"/>
        </w:rPr>
        <w:t>st</w:t>
      </w:r>
      <w:r w:rsidR="005A3C82">
        <w:rPr>
          <w:rFonts w:cs="Times New Roman"/>
          <w:szCs w:val="24"/>
        </w:rPr>
        <w:t xml:space="preserve"> and 7</w:t>
      </w:r>
      <w:r w:rsidR="005A3C82" w:rsidRPr="005A3C82">
        <w:rPr>
          <w:rFonts w:cs="Times New Roman"/>
          <w:szCs w:val="24"/>
          <w:vertAlign w:val="superscript"/>
        </w:rPr>
        <w:t>th</w:t>
      </w:r>
      <w:r w:rsidR="005A3C82">
        <w:rPr>
          <w:rFonts w:cs="Times New Roman"/>
          <w:szCs w:val="24"/>
        </w:rPr>
        <w:t xml:space="preserve"> respondents. </w:t>
      </w:r>
    </w:p>
    <w:p w:rsidR="003173CF" w:rsidRDefault="00A32300" w:rsidP="00DD1E2A">
      <w:pPr>
        <w:spacing w:after="0"/>
        <w:ind w:firstLine="720"/>
        <w:jc w:val="both"/>
        <w:rPr>
          <w:rFonts w:cs="Times New Roman"/>
          <w:szCs w:val="24"/>
        </w:rPr>
      </w:pPr>
      <w:r>
        <w:rPr>
          <w:rFonts w:cs="Times New Roman"/>
          <w:szCs w:val="24"/>
        </w:rPr>
        <w:t xml:space="preserve">I have </w:t>
      </w:r>
      <w:r w:rsidR="00817656">
        <w:rPr>
          <w:rFonts w:cs="Times New Roman"/>
          <w:szCs w:val="24"/>
        </w:rPr>
        <w:t xml:space="preserve">already </w:t>
      </w:r>
      <w:r>
        <w:rPr>
          <w:rFonts w:cs="Times New Roman"/>
          <w:szCs w:val="24"/>
        </w:rPr>
        <w:t>made a finding that</w:t>
      </w:r>
      <w:r w:rsidR="00CC3EFC">
        <w:rPr>
          <w:rFonts w:cs="Times New Roman"/>
          <w:szCs w:val="24"/>
        </w:rPr>
        <w:t xml:space="preserve"> the C.R 14 is properly before court</w:t>
      </w:r>
      <w:r w:rsidR="00C33256">
        <w:rPr>
          <w:rFonts w:cs="Times New Roman"/>
          <w:szCs w:val="24"/>
        </w:rPr>
        <w:t xml:space="preserve"> and it shows that as at 23</w:t>
      </w:r>
      <w:r w:rsidR="00C33256" w:rsidRPr="00C33256">
        <w:rPr>
          <w:rFonts w:cs="Times New Roman"/>
          <w:szCs w:val="24"/>
          <w:vertAlign w:val="superscript"/>
        </w:rPr>
        <w:t>rd</w:t>
      </w:r>
      <w:r w:rsidR="00C33256">
        <w:rPr>
          <w:rFonts w:cs="Times New Roman"/>
          <w:szCs w:val="24"/>
        </w:rPr>
        <w:t xml:space="preserve"> February 2019 1</w:t>
      </w:r>
      <w:r w:rsidR="00C33256" w:rsidRPr="00C33256">
        <w:rPr>
          <w:rFonts w:cs="Times New Roman"/>
          <w:szCs w:val="24"/>
          <w:vertAlign w:val="superscript"/>
        </w:rPr>
        <w:t>st</w:t>
      </w:r>
      <w:r w:rsidR="00C33256">
        <w:rPr>
          <w:rFonts w:cs="Times New Roman"/>
          <w:szCs w:val="24"/>
        </w:rPr>
        <w:t xml:space="preserve"> respondent and 7</w:t>
      </w:r>
      <w:r w:rsidR="00C33256" w:rsidRPr="00C33256">
        <w:rPr>
          <w:rFonts w:cs="Times New Roman"/>
          <w:szCs w:val="24"/>
          <w:vertAlign w:val="superscript"/>
        </w:rPr>
        <w:t>th</w:t>
      </w:r>
      <w:r w:rsidR="00C33256">
        <w:rPr>
          <w:rFonts w:cs="Times New Roman"/>
          <w:szCs w:val="24"/>
        </w:rPr>
        <w:t xml:space="preserve"> respondent were directors of the company. </w:t>
      </w:r>
      <w:r w:rsidR="00886B88">
        <w:rPr>
          <w:rFonts w:cs="Times New Roman"/>
          <w:szCs w:val="24"/>
        </w:rPr>
        <w:t>Therefore in November 2017 when the applicant and the company entered in the agreement 1</w:t>
      </w:r>
      <w:r w:rsidR="00886B88" w:rsidRPr="00886B88">
        <w:rPr>
          <w:rFonts w:cs="Times New Roman"/>
          <w:szCs w:val="24"/>
          <w:vertAlign w:val="superscript"/>
        </w:rPr>
        <w:t>st</w:t>
      </w:r>
      <w:r w:rsidR="00886B88">
        <w:rPr>
          <w:rFonts w:cs="Times New Roman"/>
          <w:szCs w:val="24"/>
        </w:rPr>
        <w:t xml:space="preserve"> respondent</w:t>
      </w:r>
      <w:r w:rsidR="00D17022">
        <w:rPr>
          <w:rFonts w:cs="Times New Roman"/>
          <w:szCs w:val="24"/>
        </w:rPr>
        <w:t xml:space="preserve"> was a director of the company. The presumption provided</w:t>
      </w:r>
      <w:r w:rsidR="00FA437D">
        <w:rPr>
          <w:rFonts w:cs="Times New Roman"/>
          <w:szCs w:val="24"/>
        </w:rPr>
        <w:t xml:space="preserve"> in section 12 of the Companies Act serves to operate against the company and its agents and representatives in </w:t>
      </w:r>
      <w:proofErr w:type="spellStart"/>
      <w:r w:rsidR="00FA437D">
        <w:rPr>
          <w:rFonts w:cs="Times New Roman"/>
          <w:szCs w:val="24"/>
        </w:rPr>
        <w:t>favour</w:t>
      </w:r>
      <w:proofErr w:type="spellEnd"/>
      <w:r w:rsidR="00FA437D">
        <w:rPr>
          <w:rFonts w:cs="Times New Roman"/>
          <w:szCs w:val="24"/>
        </w:rPr>
        <w:t xml:space="preserve"> of any third party doi</w:t>
      </w:r>
      <w:r w:rsidR="00EB2E29">
        <w:rPr>
          <w:rFonts w:cs="Times New Roman"/>
          <w:szCs w:val="24"/>
        </w:rPr>
        <w:t xml:space="preserve">ng business with such a company, in this case in </w:t>
      </w:r>
      <w:proofErr w:type="spellStart"/>
      <w:r w:rsidR="00EB2E29">
        <w:rPr>
          <w:rFonts w:cs="Times New Roman"/>
          <w:szCs w:val="24"/>
        </w:rPr>
        <w:t>favour</w:t>
      </w:r>
      <w:proofErr w:type="spellEnd"/>
      <w:r w:rsidR="00EB2E29">
        <w:rPr>
          <w:rFonts w:cs="Times New Roman"/>
          <w:szCs w:val="24"/>
        </w:rPr>
        <w:t xml:space="preserve"> of the applicant. </w:t>
      </w:r>
      <w:r w:rsidR="00825780">
        <w:rPr>
          <w:rFonts w:cs="Times New Roman"/>
          <w:szCs w:val="24"/>
        </w:rPr>
        <w:t xml:space="preserve">There is a presumption that the contents of the form is a correct reflection of a company’s directorship. </w:t>
      </w:r>
      <w:r w:rsidR="00050496">
        <w:rPr>
          <w:rFonts w:cs="Times New Roman"/>
          <w:szCs w:val="24"/>
        </w:rPr>
        <w:t>1</w:t>
      </w:r>
      <w:r w:rsidR="00050496" w:rsidRPr="00050496">
        <w:rPr>
          <w:rFonts w:cs="Times New Roman"/>
          <w:szCs w:val="24"/>
          <w:vertAlign w:val="superscript"/>
        </w:rPr>
        <w:t>st</w:t>
      </w:r>
      <w:r w:rsidR="00050496">
        <w:rPr>
          <w:rFonts w:cs="Times New Roman"/>
          <w:szCs w:val="24"/>
        </w:rPr>
        <w:t xml:space="preserve"> respondent b</w:t>
      </w:r>
      <w:r w:rsidR="00EB2E29">
        <w:rPr>
          <w:rFonts w:cs="Times New Roman"/>
          <w:szCs w:val="24"/>
        </w:rPr>
        <w:t xml:space="preserve">y allowing his name </w:t>
      </w:r>
      <w:r w:rsidR="00EC552E">
        <w:rPr>
          <w:rFonts w:cs="Times New Roman"/>
          <w:szCs w:val="24"/>
        </w:rPr>
        <w:t>to remain</w:t>
      </w:r>
      <w:r w:rsidR="008D6256">
        <w:rPr>
          <w:rFonts w:cs="Times New Roman"/>
          <w:szCs w:val="24"/>
        </w:rPr>
        <w:t xml:space="preserve"> </w:t>
      </w:r>
      <w:r w:rsidR="00E431DF">
        <w:rPr>
          <w:rFonts w:cs="Times New Roman"/>
          <w:szCs w:val="24"/>
        </w:rPr>
        <w:t xml:space="preserve">in </w:t>
      </w:r>
      <w:r w:rsidR="00050496">
        <w:rPr>
          <w:rFonts w:cs="Times New Roman"/>
          <w:szCs w:val="24"/>
        </w:rPr>
        <w:t xml:space="preserve">the C.R.14 </w:t>
      </w:r>
      <w:r w:rsidR="00230918">
        <w:rPr>
          <w:rFonts w:cs="Times New Roman"/>
          <w:szCs w:val="24"/>
        </w:rPr>
        <w:t xml:space="preserve">held </w:t>
      </w:r>
      <w:r w:rsidR="00230918">
        <w:rPr>
          <w:rFonts w:cs="Times New Roman"/>
          <w:szCs w:val="24"/>
        </w:rPr>
        <w:lastRenderedPageBreak/>
        <w:t xml:space="preserve">himself out as a director of the company. </w:t>
      </w:r>
      <w:r w:rsidR="00FA437D">
        <w:rPr>
          <w:rFonts w:cs="Times New Roman"/>
          <w:szCs w:val="24"/>
        </w:rPr>
        <w:t xml:space="preserve"> </w:t>
      </w:r>
      <w:r w:rsidR="003173CF" w:rsidRPr="00D43591">
        <w:t xml:space="preserve">Consequently, </w:t>
      </w:r>
      <w:r w:rsidR="003173CF">
        <w:t>third parties dealing with the company</w:t>
      </w:r>
      <w:r w:rsidR="003173CF" w:rsidRPr="00D43591">
        <w:t xml:space="preserve"> were entit</w:t>
      </w:r>
      <w:r w:rsidR="003173CF">
        <w:t xml:space="preserve">led to rely on the C.R. 14 </w:t>
      </w:r>
      <w:r w:rsidR="003173CF" w:rsidRPr="00D43591">
        <w:t>for</w:t>
      </w:r>
      <w:r w:rsidR="000157EF">
        <w:t xml:space="preserve"> the purposes of who </w:t>
      </w:r>
      <w:r w:rsidR="00E431DF">
        <w:t>the directors of the company were at the time</w:t>
      </w:r>
      <w:r w:rsidR="000157EF">
        <w:t xml:space="preserve">.  See: </w:t>
      </w:r>
      <w:proofErr w:type="spellStart"/>
      <w:r w:rsidR="00292FF5" w:rsidRPr="00DD1E2A">
        <w:rPr>
          <w:i/>
        </w:rPr>
        <w:t>Govere</w:t>
      </w:r>
      <w:proofErr w:type="spellEnd"/>
      <w:r w:rsidR="00292FF5" w:rsidRPr="00DD1E2A">
        <w:rPr>
          <w:i/>
        </w:rPr>
        <w:t xml:space="preserve"> v </w:t>
      </w:r>
      <w:proofErr w:type="spellStart"/>
      <w:r w:rsidR="00292FF5" w:rsidRPr="00DD1E2A">
        <w:rPr>
          <w:i/>
        </w:rPr>
        <w:t>Ordeco</w:t>
      </w:r>
      <w:proofErr w:type="spellEnd"/>
      <w:r w:rsidR="00292FF5" w:rsidRPr="00DD1E2A">
        <w:rPr>
          <w:i/>
        </w:rPr>
        <w:t xml:space="preserve"> (Private) Limited &amp; </w:t>
      </w:r>
      <w:proofErr w:type="gramStart"/>
      <w:r w:rsidR="00292FF5" w:rsidRPr="00DD1E2A">
        <w:rPr>
          <w:i/>
        </w:rPr>
        <w:t>Another</w:t>
      </w:r>
      <w:proofErr w:type="gramEnd"/>
      <w:r w:rsidR="00292FF5">
        <w:t xml:space="preserve"> </w:t>
      </w:r>
      <w:r w:rsidR="00DD1E2A">
        <w:t xml:space="preserve">SC 25/14. </w:t>
      </w:r>
    </w:p>
    <w:p w:rsidR="00291E02" w:rsidRPr="0087507E" w:rsidRDefault="00405F8A" w:rsidP="0087507E">
      <w:pPr>
        <w:spacing w:after="0"/>
        <w:ind w:firstLine="720"/>
        <w:jc w:val="both"/>
      </w:pPr>
      <w:r w:rsidRPr="00D43591">
        <w:t>On the available evidence</w:t>
      </w:r>
      <w:r>
        <w:t xml:space="preserve"> 1</w:t>
      </w:r>
      <w:r w:rsidRPr="00405F8A">
        <w:rPr>
          <w:vertAlign w:val="superscript"/>
        </w:rPr>
        <w:t>st</w:t>
      </w:r>
      <w:r>
        <w:t xml:space="preserve"> respondent had not resigned from the directorship of the company. </w:t>
      </w:r>
      <w:r w:rsidR="00291E02" w:rsidRPr="00D43591">
        <w:t>In any event, even if it were to</w:t>
      </w:r>
      <w:r w:rsidR="0087507E">
        <w:t xml:space="preserve"> be accepted that the 1</w:t>
      </w:r>
      <w:r w:rsidR="0087507E" w:rsidRPr="0087507E">
        <w:rPr>
          <w:vertAlign w:val="superscript"/>
        </w:rPr>
        <w:t>st</w:t>
      </w:r>
      <w:r w:rsidR="0087507E">
        <w:t xml:space="preserve"> respondent resigned as</w:t>
      </w:r>
      <w:r w:rsidR="00291E02" w:rsidRPr="00D43591">
        <w:t xml:space="preserve"> </w:t>
      </w:r>
      <w:r w:rsidR="0087507E">
        <w:t>a director of the company</w:t>
      </w:r>
      <w:r w:rsidR="00291E02" w:rsidRPr="00D43591">
        <w:t xml:space="preserve">, this would not </w:t>
      </w:r>
      <w:r w:rsidR="00951440">
        <w:t xml:space="preserve">relieve </w:t>
      </w:r>
      <w:r w:rsidR="006411B9">
        <w:t xml:space="preserve">him </w:t>
      </w:r>
      <w:r w:rsidR="00951440">
        <w:t>of his duties as a director.</w:t>
      </w:r>
      <w:r w:rsidR="00CC69F3">
        <w:t xml:space="preserve"> This is so in terms of section 187(7) of the Companies Act, which provides thus: </w:t>
      </w:r>
    </w:p>
    <w:p w:rsidR="004D579D" w:rsidRDefault="00695C15" w:rsidP="00DB32B4">
      <w:pPr>
        <w:autoSpaceDE w:val="0"/>
        <w:autoSpaceDN w:val="0"/>
        <w:adjustRightInd w:val="0"/>
        <w:spacing w:before="0" w:beforeAutospacing="0" w:after="0" w:afterAutospacing="0" w:line="240" w:lineRule="auto"/>
        <w:ind w:left="720"/>
        <w:jc w:val="both"/>
        <w:rPr>
          <w:rFonts w:cs="Times New Roman"/>
          <w:sz w:val="21"/>
          <w:szCs w:val="21"/>
          <w:lang w:val="en-ZW"/>
        </w:rPr>
      </w:pPr>
      <w:r>
        <w:rPr>
          <w:rFonts w:cs="Times New Roman"/>
          <w:sz w:val="21"/>
          <w:szCs w:val="21"/>
          <w:lang w:val="en-ZW"/>
        </w:rPr>
        <w:t>(7) The resignation of a director or a secretary shall not relieve him of his duties as director or secretary, as the case may be, under this Act or under the articles of the company unless the director or secretary, having notified the Registrar and the company of his resignation, had reasonable ground to believe that the company would comply with subsection (4).</w:t>
      </w:r>
    </w:p>
    <w:p w:rsidR="00695C15" w:rsidRDefault="00695C15" w:rsidP="00DB32B4">
      <w:pPr>
        <w:autoSpaceDE w:val="0"/>
        <w:autoSpaceDN w:val="0"/>
        <w:adjustRightInd w:val="0"/>
        <w:spacing w:before="0" w:beforeAutospacing="0" w:after="0" w:afterAutospacing="0" w:line="240" w:lineRule="auto"/>
        <w:jc w:val="both"/>
        <w:rPr>
          <w:rFonts w:cs="Times New Roman"/>
          <w:sz w:val="21"/>
          <w:szCs w:val="21"/>
          <w:lang w:val="en-ZW"/>
        </w:rPr>
      </w:pPr>
    </w:p>
    <w:p w:rsidR="00440875" w:rsidRDefault="000E3E1A" w:rsidP="000E3E1A">
      <w:pPr>
        <w:autoSpaceDE w:val="0"/>
        <w:autoSpaceDN w:val="0"/>
        <w:adjustRightInd w:val="0"/>
        <w:spacing w:before="0" w:beforeAutospacing="0" w:after="0" w:afterAutospacing="0"/>
        <w:jc w:val="both"/>
        <w:rPr>
          <w:rFonts w:cs="Times New Roman"/>
          <w:sz w:val="21"/>
          <w:szCs w:val="21"/>
          <w:lang w:val="en-ZW"/>
        </w:rPr>
      </w:pPr>
      <w:r>
        <w:rPr>
          <w:rFonts w:cs="Times New Roman"/>
          <w:sz w:val="21"/>
          <w:szCs w:val="21"/>
          <w:lang w:val="en-ZW"/>
        </w:rPr>
        <w:tab/>
      </w:r>
    </w:p>
    <w:p w:rsidR="000E3E1A" w:rsidRDefault="00744B16" w:rsidP="00440875">
      <w:pPr>
        <w:autoSpaceDE w:val="0"/>
        <w:autoSpaceDN w:val="0"/>
        <w:adjustRightInd w:val="0"/>
        <w:spacing w:before="0" w:beforeAutospacing="0" w:after="0" w:afterAutospacing="0"/>
        <w:ind w:firstLine="720"/>
        <w:jc w:val="both"/>
        <w:rPr>
          <w:rFonts w:cs="Times New Roman"/>
          <w:szCs w:val="24"/>
          <w:lang w:val="en-ZW"/>
        </w:rPr>
      </w:pPr>
      <w:r w:rsidRPr="00744B16">
        <w:rPr>
          <w:rFonts w:cs="Times New Roman"/>
          <w:szCs w:val="24"/>
          <w:lang w:val="en-ZW"/>
        </w:rPr>
        <w:t xml:space="preserve">The </w:t>
      </w:r>
      <w:r w:rsidRPr="00744B16">
        <w:rPr>
          <w:rFonts w:cs="Times New Roman"/>
          <w:i/>
          <w:szCs w:val="24"/>
          <w:lang w:val="en-ZW"/>
        </w:rPr>
        <w:t xml:space="preserve">onus </w:t>
      </w:r>
      <w:r w:rsidR="006411B9">
        <w:rPr>
          <w:rFonts w:cs="Times New Roman"/>
          <w:szCs w:val="24"/>
          <w:lang w:val="en-ZW"/>
        </w:rPr>
        <w:t>was on the 1</w:t>
      </w:r>
      <w:r w:rsidR="006411B9" w:rsidRPr="006411B9">
        <w:rPr>
          <w:rFonts w:cs="Times New Roman"/>
          <w:szCs w:val="24"/>
          <w:vertAlign w:val="superscript"/>
          <w:lang w:val="en-ZW"/>
        </w:rPr>
        <w:t>st</w:t>
      </w:r>
      <w:r w:rsidR="006411B9">
        <w:rPr>
          <w:rFonts w:cs="Times New Roman"/>
          <w:szCs w:val="24"/>
          <w:lang w:val="en-ZW"/>
        </w:rPr>
        <w:t xml:space="preserve"> respondent</w:t>
      </w:r>
      <w:r w:rsidRPr="00744B16">
        <w:rPr>
          <w:rFonts w:cs="Times New Roman"/>
          <w:szCs w:val="24"/>
          <w:lang w:val="en-ZW"/>
        </w:rPr>
        <w:t xml:space="preserve"> </w:t>
      </w:r>
      <w:r>
        <w:rPr>
          <w:rFonts w:cs="Times New Roman"/>
          <w:szCs w:val="24"/>
          <w:lang w:val="en-ZW"/>
        </w:rPr>
        <w:t>to ensure that the C.R.14 form was altered to reflect the</w:t>
      </w:r>
      <w:r w:rsidR="00C14ACF">
        <w:rPr>
          <w:rFonts w:cs="Times New Roman"/>
          <w:szCs w:val="24"/>
          <w:lang w:val="en-ZW"/>
        </w:rPr>
        <w:t xml:space="preserve"> position that he had resigned from the directorship of the company. The</w:t>
      </w:r>
      <w:r w:rsidR="006411B9">
        <w:rPr>
          <w:rFonts w:cs="Times New Roman"/>
          <w:szCs w:val="24"/>
          <w:lang w:val="en-ZW"/>
        </w:rPr>
        <w:t>re is no evidence that 1</w:t>
      </w:r>
      <w:r w:rsidR="006411B9" w:rsidRPr="006411B9">
        <w:rPr>
          <w:rFonts w:cs="Times New Roman"/>
          <w:szCs w:val="24"/>
          <w:vertAlign w:val="superscript"/>
          <w:lang w:val="en-ZW"/>
        </w:rPr>
        <w:t>st</w:t>
      </w:r>
      <w:r w:rsidR="006411B9">
        <w:rPr>
          <w:rFonts w:cs="Times New Roman"/>
          <w:szCs w:val="24"/>
          <w:lang w:val="en-ZW"/>
        </w:rPr>
        <w:t xml:space="preserve"> respondent</w:t>
      </w:r>
      <w:r w:rsidR="00C14ACF">
        <w:rPr>
          <w:rFonts w:cs="Times New Roman"/>
          <w:szCs w:val="24"/>
          <w:lang w:val="en-ZW"/>
        </w:rPr>
        <w:t xml:space="preserve"> complied with the </w:t>
      </w:r>
      <w:r w:rsidR="005A5075">
        <w:rPr>
          <w:rFonts w:cs="Times New Roman"/>
          <w:szCs w:val="24"/>
          <w:lang w:val="en-ZW"/>
        </w:rPr>
        <w:t xml:space="preserve">section 187 (7) of the Companies Act. </w:t>
      </w:r>
      <w:r w:rsidR="007D2367">
        <w:rPr>
          <w:rFonts w:cs="Times New Roman"/>
          <w:szCs w:val="24"/>
          <w:lang w:val="en-ZW"/>
        </w:rPr>
        <w:t xml:space="preserve">In </w:t>
      </w:r>
      <w:proofErr w:type="spellStart"/>
      <w:r w:rsidR="007D2367" w:rsidRPr="007D2367">
        <w:rPr>
          <w:rFonts w:cs="Times New Roman"/>
          <w:i/>
          <w:szCs w:val="24"/>
          <w:lang w:val="en-ZW"/>
        </w:rPr>
        <w:t>Ordeco</w:t>
      </w:r>
      <w:proofErr w:type="spellEnd"/>
      <w:r w:rsidR="007D2367" w:rsidRPr="007D2367">
        <w:rPr>
          <w:rFonts w:cs="Times New Roman"/>
          <w:i/>
          <w:szCs w:val="24"/>
          <w:lang w:val="en-ZW"/>
        </w:rPr>
        <w:t xml:space="preserve"> (Pvt) Ltd v </w:t>
      </w:r>
      <w:proofErr w:type="spellStart"/>
      <w:r w:rsidR="007D2367" w:rsidRPr="007D2367">
        <w:rPr>
          <w:rFonts w:cs="Times New Roman"/>
          <w:i/>
          <w:szCs w:val="24"/>
          <w:lang w:val="en-ZW"/>
        </w:rPr>
        <w:t>Govere</w:t>
      </w:r>
      <w:proofErr w:type="spellEnd"/>
      <w:r w:rsidR="007D2367" w:rsidRPr="007D2367">
        <w:rPr>
          <w:rFonts w:cs="Times New Roman"/>
          <w:i/>
          <w:szCs w:val="24"/>
          <w:lang w:val="en-ZW"/>
        </w:rPr>
        <w:t xml:space="preserve"> &amp; Anor </w:t>
      </w:r>
      <w:r w:rsidR="007D2367">
        <w:rPr>
          <w:rFonts w:cs="Times New Roman"/>
          <w:szCs w:val="24"/>
          <w:lang w:val="en-ZW"/>
        </w:rPr>
        <w:t>2013 (1) ZLR 532 (H) the court said:</w:t>
      </w:r>
    </w:p>
    <w:p w:rsidR="00440875" w:rsidRDefault="007D2367" w:rsidP="00440875">
      <w:pPr>
        <w:autoSpaceDE w:val="0"/>
        <w:autoSpaceDN w:val="0"/>
        <w:adjustRightInd w:val="0"/>
        <w:spacing w:before="0" w:beforeAutospacing="0" w:after="0" w:afterAutospacing="0"/>
        <w:jc w:val="both"/>
        <w:rPr>
          <w:rFonts w:cs="Times New Roman"/>
          <w:szCs w:val="24"/>
          <w:lang w:val="en-ZW"/>
        </w:rPr>
      </w:pPr>
      <w:r>
        <w:rPr>
          <w:rFonts w:cs="Times New Roman"/>
          <w:szCs w:val="24"/>
          <w:lang w:val="en-ZW"/>
        </w:rPr>
        <w:tab/>
      </w:r>
    </w:p>
    <w:p w:rsidR="007D2367" w:rsidRDefault="00380C19" w:rsidP="00440875">
      <w:pPr>
        <w:autoSpaceDE w:val="0"/>
        <w:autoSpaceDN w:val="0"/>
        <w:adjustRightInd w:val="0"/>
        <w:spacing w:before="0" w:beforeAutospacing="0" w:after="0" w:afterAutospacing="0"/>
        <w:ind w:firstLine="720"/>
        <w:jc w:val="both"/>
        <w:rPr>
          <w:rFonts w:cs="Times New Roman"/>
          <w:szCs w:val="24"/>
          <w:lang w:val="en-ZW"/>
        </w:rPr>
      </w:pPr>
      <w:r>
        <w:rPr>
          <w:rFonts w:cs="Times New Roman"/>
          <w:szCs w:val="24"/>
          <w:lang w:val="en-ZW"/>
        </w:rPr>
        <w:t xml:space="preserve">The question that the arises is whether it is necessary, for the purposes of section 318 </w:t>
      </w:r>
      <w:r w:rsidR="00AD635D">
        <w:rPr>
          <w:rFonts w:cs="Times New Roman"/>
          <w:szCs w:val="24"/>
          <w:lang w:val="en-ZW"/>
        </w:rPr>
        <w:t>of the Companies Act, that 1</w:t>
      </w:r>
      <w:r w:rsidR="00AD635D" w:rsidRPr="00AD635D">
        <w:rPr>
          <w:rFonts w:cs="Times New Roman"/>
          <w:szCs w:val="24"/>
          <w:vertAlign w:val="superscript"/>
          <w:lang w:val="en-ZW"/>
        </w:rPr>
        <w:t>st</w:t>
      </w:r>
      <w:r w:rsidR="00AD635D">
        <w:rPr>
          <w:rFonts w:cs="Times New Roman"/>
          <w:szCs w:val="24"/>
          <w:lang w:val="en-ZW"/>
        </w:rPr>
        <w:t xml:space="preserve"> respondent be found to have been a director of </w:t>
      </w:r>
      <w:proofErr w:type="spellStart"/>
      <w:r w:rsidR="00AD635D">
        <w:rPr>
          <w:rFonts w:cs="Times New Roman"/>
          <w:szCs w:val="24"/>
          <w:lang w:val="en-ZW"/>
        </w:rPr>
        <w:t>Coldrac</w:t>
      </w:r>
      <w:proofErr w:type="spellEnd"/>
      <w:r w:rsidR="00AD635D">
        <w:rPr>
          <w:rFonts w:cs="Times New Roman"/>
          <w:szCs w:val="24"/>
          <w:lang w:val="en-ZW"/>
        </w:rPr>
        <w:t xml:space="preserve"> at all material times, including the time when the judgment debt was incurred. In my view, section 187(7) places an onus on a director of a company who has resigned to notify the company and the Registrar </w:t>
      </w:r>
      <w:r w:rsidR="00823721">
        <w:rPr>
          <w:rFonts w:cs="Times New Roman"/>
          <w:szCs w:val="24"/>
          <w:lang w:val="en-ZW"/>
        </w:rPr>
        <w:t>of the Companies of the fact of his resignation. The 1</w:t>
      </w:r>
      <w:r w:rsidR="00823721" w:rsidRPr="00823721">
        <w:rPr>
          <w:rFonts w:cs="Times New Roman"/>
          <w:szCs w:val="24"/>
          <w:vertAlign w:val="superscript"/>
          <w:lang w:val="en-ZW"/>
        </w:rPr>
        <w:t>st</w:t>
      </w:r>
      <w:r w:rsidR="00823721">
        <w:rPr>
          <w:rFonts w:cs="Times New Roman"/>
          <w:szCs w:val="24"/>
          <w:lang w:val="en-ZW"/>
        </w:rPr>
        <w:t xml:space="preserve"> respondent has not averred that he complied with this provision. </w:t>
      </w:r>
      <w:r w:rsidR="00685CB5">
        <w:rPr>
          <w:rFonts w:cs="Times New Roman"/>
          <w:szCs w:val="24"/>
          <w:lang w:val="en-ZW"/>
        </w:rPr>
        <w:t>The effect of failure to comply with section 187(7) is that the 1</w:t>
      </w:r>
      <w:r w:rsidR="00685CB5" w:rsidRPr="00685CB5">
        <w:rPr>
          <w:rFonts w:cs="Times New Roman"/>
          <w:szCs w:val="24"/>
          <w:vertAlign w:val="superscript"/>
          <w:lang w:val="en-ZW"/>
        </w:rPr>
        <w:t>st</w:t>
      </w:r>
      <w:r w:rsidR="00685CB5">
        <w:rPr>
          <w:rFonts w:cs="Times New Roman"/>
          <w:szCs w:val="24"/>
          <w:lang w:val="en-ZW"/>
        </w:rPr>
        <w:t xml:space="preserve"> respondent is still bound by the duties as a director of </w:t>
      </w:r>
      <w:proofErr w:type="spellStart"/>
      <w:r w:rsidR="00685CB5">
        <w:rPr>
          <w:rFonts w:cs="Times New Roman"/>
          <w:szCs w:val="24"/>
          <w:lang w:val="en-ZW"/>
        </w:rPr>
        <w:t>Coldrac</w:t>
      </w:r>
      <w:proofErr w:type="spellEnd"/>
      <w:r w:rsidR="00685CB5">
        <w:rPr>
          <w:rFonts w:cs="Times New Roman"/>
          <w:szCs w:val="24"/>
          <w:lang w:val="en-ZW"/>
        </w:rPr>
        <w:t xml:space="preserve">, as if he has not resigned as he alleges. </w:t>
      </w:r>
      <w:r w:rsidR="00BF6033">
        <w:rPr>
          <w:rFonts w:cs="Times New Roman"/>
          <w:szCs w:val="24"/>
          <w:lang w:val="en-ZW"/>
        </w:rPr>
        <w:t xml:space="preserve">So the question whether he was a director at all material times is irrelevant. He was a director </w:t>
      </w:r>
      <w:proofErr w:type="gramStart"/>
      <w:r w:rsidR="00BF6033">
        <w:rPr>
          <w:rFonts w:cs="Times New Roman"/>
          <w:szCs w:val="24"/>
          <w:lang w:val="en-ZW"/>
        </w:rPr>
        <w:t>between</w:t>
      </w:r>
      <w:r w:rsidR="00F55966">
        <w:rPr>
          <w:rFonts w:cs="Times New Roman"/>
          <w:szCs w:val="24"/>
          <w:lang w:val="en-ZW"/>
        </w:rPr>
        <w:t xml:space="preserve"> </w:t>
      </w:r>
      <w:r w:rsidR="00BF6033">
        <w:rPr>
          <w:rFonts w:cs="Times New Roman"/>
          <w:szCs w:val="24"/>
          <w:lang w:val="en-ZW"/>
        </w:rPr>
        <w:t>2003-2007 by his own admission</w:t>
      </w:r>
      <w:proofErr w:type="gramEnd"/>
      <w:r w:rsidR="00BF6033">
        <w:rPr>
          <w:rFonts w:cs="Times New Roman"/>
          <w:szCs w:val="24"/>
          <w:lang w:val="en-ZW"/>
        </w:rPr>
        <w:t xml:space="preserve">. </w:t>
      </w:r>
      <w:r w:rsidR="00440875">
        <w:rPr>
          <w:rFonts w:cs="Times New Roman"/>
          <w:szCs w:val="24"/>
          <w:lang w:val="en-ZW"/>
        </w:rPr>
        <w:t xml:space="preserve"> </w:t>
      </w:r>
      <w:r w:rsidR="00BF6033">
        <w:rPr>
          <w:rFonts w:cs="Times New Roman"/>
          <w:szCs w:val="24"/>
          <w:lang w:val="en-ZW"/>
        </w:rPr>
        <w:t xml:space="preserve">In the absence of proof that when he resigned he notified </w:t>
      </w:r>
      <w:proofErr w:type="spellStart"/>
      <w:r w:rsidR="00BF6033">
        <w:rPr>
          <w:rFonts w:cs="Times New Roman"/>
          <w:szCs w:val="24"/>
          <w:lang w:val="en-ZW"/>
        </w:rPr>
        <w:t>Coldrac</w:t>
      </w:r>
      <w:proofErr w:type="spellEnd"/>
      <w:r w:rsidR="00BF6033">
        <w:rPr>
          <w:rFonts w:cs="Times New Roman"/>
          <w:szCs w:val="24"/>
          <w:lang w:val="en-ZW"/>
        </w:rPr>
        <w:t xml:space="preserve"> </w:t>
      </w:r>
      <w:r w:rsidR="00F55966">
        <w:rPr>
          <w:rFonts w:cs="Times New Roman"/>
          <w:szCs w:val="24"/>
          <w:lang w:val="en-ZW"/>
        </w:rPr>
        <w:t xml:space="preserve">and the Registrar of Companies, he is deemed to be a director of </w:t>
      </w:r>
      <w:proofErr w:type="spellStart"/>
      <w:r w:rsidR="00F55966">
        <w:rPr>
          <w:rFonts w:cs="Times New Roman"/>
          <w:szCs w:val="24"/>
          <w:lang w:val="en-ZW"/>
        </w:rPr>
        <w:t>Coldrac</w:t>
      </w:r>
      <w:proofErr w:type="spellEnd"/>
      <w:r w:rsidR="00F55966">
        <w:rPr>
          <w:rFonts w:cs="Times New Roman"/>
          <w:szCs w:val="24"/>
          <w:lang w:val="en-ZW"/>
        </w:rPr>
        <w:t xml:space="preserve"> to all intents and purposes, bound by the duties of a director. </w:t>
      </w:r>
    </w:p>
    <w:p w:rsidR="007D2367" w:rsidRDefault="007D2367" w:rsidP="00F55966">
      <w:pPr>
        <w:autoSpaceDE w:val="0"/>
        <w:autoSpaceDN w:val="0"/>
        <w:adjustRightInd w:val="0"/>
        <w:spacing w:before="0" w:beforeAutospacing="0" w:after="0" w:afterAutospacing="0" w:line="276" w:lineRule="auto"/>
        <w:jc w:val="both"/>
        <w:rPr>
          <w:rFonts w:cs="Times New Roman"/>
          <w:szCs w:val="24"/>
          <w:lang w:val="en-ZW"/>
        </w:rPr>
      </w:pPr>
    </w:p>
    <w:p w:rsidR="0053096B" w:rsidRDefault="00322B0D" w:rsidP="00322B0D">
      <w:pPr>
        <w:autoSpaceDE w:val="0"/>
        <w:autoSpaceDN w:val="0"/>
        <w:adjustRightInd w:val="0"/>
        <w:spacing w:before="0" w:beforeAutospacing="0" w:after="0" w:afterAutospacing="0"/>
        <w:ind w:firstLine="720"/>
        <w:jc w:val="both"/>
        <w:rPr>
          <w:rFonts w:cs="Times New Roman"/>
          <w:szCs w:val="24"/>
          <w:lang w:val="en-ZW"/>
        </w:rPr>
      </w:pPr>
      <w:r>
        <w:rPr>
          <w:rFonts w:cs="Times New Roman"/>
          <w:szCs w:val="24"/>
          <w:lang w:val="en-ZW"/>
        </w:rPr>
        <w:t>1</w:t>
      </w:r>
      <w:r w:rsidRPr="00322B0D">
        <w:rPr>
          <w:rFonts w:cs="Times New Roman"/>
          <w:szCs w:val="24"/>
          <w:vertAlign w:val="superscript"/>
          <w:lang w:val="en-ZW"/>
        </w:rPr>
        <w:t>st</w:t>
      </w:r>
      <w:r>
        <w:rPr>
          <w:rFonts w:cs="Times New Roman"/>
          <w:szCs w:val="24"/>
          <w:lang w:val="en-ZW"/>
        </w:rPr>
        <w:t xml:space="preserve"> respondent cannot rely on his purported resignation from the directorship of the company when there is no proof that he </w:t>
      </w:r>
      <w:r w:rsidR="00E05218">
        <w:rPr>
          <w:rFonts w:cs="Times New Roman"/>
          <w:szCs w:val="24"/>
          <w:lang w:val="en-ZW"/>
        </w:rPr>
        <w:t xml:space="preserve">notified the Registrar of Companies of such resignation. </w:t>
      </w:r>
    </w:p>
    <w:p w:rsidR="00BE1103" w:rsidRPr="00905676" w:rsidRDefault="0063416E" w:rsidP="00905676">
      <w:pPr>
        <w:autoSpaceDE w:val="0"/>
        <w:autoSpaceDN w:val="0"/>
        <w:adjustRightInd w:val="0"/>
        <w:spacing w:before="0" w:beforeAutospacing="0" w:after="0" w:afterAutospacing="0"/>
        <w:ind w:firstLine="720"/>
        <w:jc w:val="both"/>
        <w:rPr>
          <w:rFonts w:cs="Times New Roman"/>
          <w:szCs w:val="24"/>
          <w:lang w:val="en-ZW"/>
        </w:rPr>
      </w:pPr>
      <w:r>
        <w:rPr>
          <w:rFonts w:cs="Times New Roman"/>
          <w:szCs w:val="24"/>
          <w:lang w:val="en-ZW"/>
        </w:rPr>
        <w:lastRenderedPageBreak/>
        <w:t>The company signed an indemnity in favour of 1</w:t>
      </w:r>
      <w:r w:rsidRPr="0063416E">
        <w:rPr>
          <w:rFonts w:cs="Times New Roman"/>
          <w:szCs w:val="24"/>
          <w:vertAlign w:val="superscript"/>
          <w:lang w:val="en-ZW"/>
        </w:rPr>
        <w:t>st</w:t>
      </w:r>
      <w:r>
        <w:rPr>
          <w:rFonts w:cs="Times New Roman"/>
          <w:szCs w:val="24"/>
          <w:lang w:val="en-ZW"/>
        </w:rPr>
        <w:t xml:space="preserve"> respondent. </w:t>
      </w:r>
      <w:r w:rsidR="007901BF">
        <w:rPr>
          <w:rFonts w:cs="Times New Roman"/>
          <w:szCs w:val="24"/>
          <w:lang w:val="en-ZW"/>
        </w:rPr>
        <w:t>It indemnified him</w:t>
      </w:r>
      <w:r w:rsidR="00A05706">
        <w:rPr>
          <w:rFonts w:cs="Times New Roman"/>
          <w:szCs w:val="24"/>
          <w:lang w:val="en-ZW"/>
        </w:rPr>
        <w:t>, his estate from and</w:t>
      </w:r>
      <w:r w:rsidR="0001532B">
        <w:rPr>
          <w:rFonts w:cs="Times New Roman"/>
          <w:szCs w:val="24"/>
          <w:lang w:val="en-ZW"/>
        </w:rPr>
        <w:t xml:space="preserve"> against all liabilities, cost</w:t>
      </w:r>
      <w:r w:rsidR="007A6231">
        <w:rPr>
          <w:rFonts w:cs="Times New Roman"/>
          <w:szCs w:val="24"/>
          <w:lang w:val="en-ZW"/>
        </w:rPr>
        <w:t>s, expenses, damages and losses</w:t>
      </w:r>
      <w:r w:rsidR="0001532B">
        <w:rPr>
          <w:rFonts w:cs="Times New Roman"/>
          <w:szCs w:val="24"/>
          <w:lang w:val="en-ZW"/>
        </w:rPr>
        <w:t xml:space="preserve"> </w:t>
      </w:r>
      <w:r w:rsidR="0081199C">
        <w:rPr>
          <w:rFonts w:cs="Times New Roman"/>
          <w:szCs w:val="24"/>
          <w:lang w:val="en-ZW"/>
        </w:rPr>
        <w:t xml:space="preserve">- including but not limited to any derivative actions, third party actions, actions for fraud </w:t>
      </w:r>
      <w:r w:rsidR="00A4280D">
        <w:rPr>
          <w:rFonts w:cs="Times New Roman"/>
          <w:szCs w:val="24"/>
          <w:lang w:val="en-ZW"/>
        </w:rPr>
        <w:t>and / or reckless</w:t>
      </w:r>
      <w:r w:rsidR="00F71C8A">
        <w:rPr>
          <w:rFonts w:cs="Times New Roman"/>
          <w:szCs w:val="24"/>
          <w:lang w:val="en-ZW"/>
        </w:rPr>
        <w:t xml:space="preserve"> trading, etc. </w:t>
      </w:r>
      <w:r w:rsidR="001E0DE1">
        <w:rPr>
          <w:rFonts w:cs="Times New Roman"/>
          <w:szCs w:val="24"/>
          <w:lang w:val="en-ZW"/>
        </w:rPr>
        <w:t xml:space="preserve">A </w:t>
      </w:r>
      <w:r w:rsidR="0023540C">
        <w:rPr>
          <w:rFonts w:cs="Times New Roman"/>
          <w:szCs w:val="24"/>
          <w:lang w:val="en-ZW"/>
        </w:rPr>
        <w:t>provision in</w:t>
      </w:r>
      <w:r w:rsidR="001E0DE1">
        <w:rPr>
          <w:rFonts w:cs="Times New Roman"/>
          <w:szCs w:val="24"/>
          <w:lang w:val="en-ZW"/>
        </w:rPr>
        <w:t xml:space="preserve"> any contract be</w:t>
      </w:r>
      <w:r w:rsidR="007A6231">
        <w:rPr>
          <w:rFonts w:cs="Times New Roman"/>
          <w:szCs w:val="24"/>
          <w:lang w:val="en-ZW"/>
        </w:rPr>
        <w:t xml:space="preserve">tween a director and a company in </w:t>
      </w:r>
      <w:r w:rsidR="003F248B">
        <w:rPr>
          <w:rFonts w:cs="Times New Roman"/>
          <w:szCs w:val="24"/>
          <w:lang w:val="en-ZW"/>
        </w:rPr>
        <w:t>terms of which a director is</w:t>
      </w:r>
      <w:r w:rsidR="001E0DE1">
        <w:rPr>
          <w:rFonts w:cs="Times New Roman"/>
          <w:szCs w:val="24"/>
          <w:lang w:val="en-ZW"/>
        </w:rPr>
        <w:t xml:space="preserve"> indemnified </w:t>
      </w:r>
      <w:r w:rsidR="00A325B7">
        <w:rPr>
          <w:rFonts w:cs="Times New Roman"/>
          <w:szCs w:val="24"/>
          <w:lang w:val="en-ZW"/>
        </w:rPr>
        <w:t xml:space="preserve">against </w:t>
      </w:r>
      <w:r w:rsidR="006A05E0">
        <w:rPr>
          <w:rFonts w:cs="Times New Roman"/>
          <w:szCs w:val="24"/>
          <w:lang w:val="en-ZW"/>
        </w:rPr>
        <w:t xml:space="preserve">any liability for negligence, default, breach of </w:t>
      </w:r>
      <w:r w:rsidR="00BE1103">
        <w:rPr>
          <w:rFonts w:cs="Times New Roman"/>
          <w:szCs w:val="24"/>
          <w:lang w:val="en-ZW"/>
        </w:rPr>
        <w:t>duty or trust is void.</w:t>
      </w:r>
      <w:r w:rsidR="00560C1F">
        <w:rPr>
          <w:rStyle w:val="FootnoteReference"/>
          <w:rFonts w:cs="Times New Roman"/>
          <w:szCs w:val="24"/>
          <w:lang w:val="en-ZW"/>
        </w:rPr>
        <w:footnoteReference w:id="1"/>
      </w:r>
      <w:r w:rsidR="0023540C" w:rsidRPr="0023540C">
        <w:rPr>
          <w:rFonts w:cs="Times New Roman"/>
          <w:szCs w:val="24"/>
          <w:lang w:val="en-ZW"/>
        </w:rPr>
        <w:t xml:space="preserve"> </w:t>
      </w:r>
      <w:r w:rsidR="0023540C">
        <w:rPr>
          <w:rFonts w:cs="Times New Roman"/>
          <w:szCs w:val="24"/>
          <w:lang w:val="en-ZW"/>
        </w:rPr>
        <w:t>This indemnity cannot avail 1</w:t>
      </w:r>
      <w:r w:rsidR="0023540C" w:rsidRPr="00F71C8A">
        <w:rPr>
          <w:rFonts w:cs="Times New Roman"/>
          <w:szCs w:val="24"/>
          <w:vertAlign w:val="superscript"/>
          <w:lang w:val="en-ZW"/>
        </w:rPr>
        <w:t>st</w:t>
      </w:r>
      <w:r w:rsidR="0023540C">
        <w:rPr>
          <w:rFonts w:cs="Times New Roman"/>
          <w:szCs w:val="24"/>
          <w:lang w:val="en-ZW"/>
        </w:rPr>
        <w:t xml:space="preserve"> respondent in this case as against the applicant, it merely amounts to an internal arrangement between the company and 1</w:t>
      </w:r>
      <w:r w:rsidR="0023540C" w:rsidRPr="00215BA7">
        <w:rPr>
          <w:rFonts w:cs="Times New Roman"/>
          <w:szCs w:val="24"/>
          <w:vertAlign w:val="superscript"/>
          <w:lang w:val="en-ZW"/>
        </w:rPr>
        <w:t>st</w:t>
      </w:r>
      <w:r w:rsidR="0023540C">
        <w:rPr>
          <w:rFonts w:cs="Times New Roman"/>
          <w:szCs w:val="24"/>
          <w:lang w:val="en-ZW"/>
        </w:rPr>
        <w:t xml:space="preserve"> respondent. It h</w:t>
      </w:r>
      <w:r w:rsidR="000C4AD3">
        <w:rPr>
          <w:rFonts w:cs="Times New Roman"/>
          <w:szCs w:val="24"/>
          <w:lang w:val="en-ZW"/>
        </w:rPr>
        <w:t>as no bearing on third parties and</w:t>
      </w:r>
      <w:r w:rsidR="0023540C">
        <w:rPr>
          <w:rFonts w:cs="Times New Roman"/>
          <w:szCs w:val="24"/>
          <w:lang w:val="en-ZW"/>
        </w:rPr>
        <w:t xml:space="preserve"> has no bearing on the applicant. </w:t>
      </w:r>
    </w:p>
    <w:p w:rsidR="00BE1103" w:rsidRDefault="00BE1103" w:rsidP="000E3E1A">
      <w:pPr>
        <w:autoSpaceDE w:val="0"/>
        <w:autoSpaceDN w:val="0"/>
        <w:adjustRightInd w:val="0"/>
        <w:spacing w:before="0" w:beforeAutospacing="0" w:after="0" w:afterAutospacing="0"/>
        <w:jc w:val="both"/>
        <w:rPr>
          <w:rFonts w:cs="Times New Roman"/>
          <w:b/>
          <w:szCs w:val="24"/>
          <w:lang w:val="en-ZW"/>
        </w:rPr>
      </w:pPr>
    </w:p>
    <w:p w:rsidR="00F309BE" w:rsidRDefault="00F309BE" w:rsidP="000E3E1A">
      <w:pPr>
        <w:autoSpaceDE w:val="0"/>
        <w:autoSpaceDN w:val="0"/>
        <w:adjustRightInd w:val="0"/>
        <w:spacing w:before="0" w:beforeAutospacing="0" w:after="0" w:afterAutospacing="0"/>
        <w:jc w:val="both"/>
        <w:rPr>
          <w:rFonts w:cs="Times New Roman"/>
          <w:b/>
          <w:szCs w:val="24"/>
          <w:lang w:val="en-ZW"/>
        </w:rPr>
      </w:pPr>
      <w:r w:rsidRPr="00F309BE">
        <w:rPr>
          <w:rFonts w:cs="Times New Roman"/>
          <w:b/>
          <w:szCs w:val="24"/>
          <w:lang w:val="en-ZW"/>
        </w:rPr>
        <w:t xml:space="preserve">Conclusion </w:t>
      </w:r>
    </w:p>
    <w:p w:rsidR="00F309BE" w:rsidRDefault="00F309BE" w:rsidP="000E3E1A">
      <w:pPr>
        <w:autoSpaceDE w:val="0"/>
        <w:autoSpaceDN w:val="0"/>
        <w:adjustRightInd w:val="0"/>
        <w:spacing w:before="0" w:beforeAutospacing="0" w:after="0" w:afterAutospacing="0"/>
        <w:jc w:val="both"/>
        <w:rPr>
          <w:rFonts w:cs="Times New Roman"/>
          <w:b/>
          <w:szCs w:val="24"/>
          <w:lang w:val="en-ZW"/>
        </w:rPr>
      </w:pPr>
    </w:p>
    <w:p w:rsidR="00AA5AB9" w:rsidRDefault="00AA5AB9" w:rsidP="00E94F58">
      <w:pPr>
        <w:autoSpaceDE w:val="0"/>
        <w:autoSpaceDN w:val="0"/>
        <w:adjustRightInd w:val="0"/>
        <w:spacing w:before="0" w:beforeAutospacing="0" w:after="0" w:afterAutospacing="0"/>
        <w:ind w:firstLine="720"/>
        <w:jc w:val="both"/>
        <w:rPr>
          <w:rFonts w:cs="Times New Roman"/>
          <w:szCs w:val="24"/>
          <w:lang w:val="en-ZW"/>
        </w:rPr>
      </w:pPr>
      <w:r>
        <w:t xml:space="preserve">In </w:t>
      </w:r>
      <w:proofErr w:type="spellStart"/>
      <w:r w:rsidRPr="00270727">
        <w:rPr>
          <w:i/>
        </w:rPr>
        <w:t>Orkin</w:t>
      </w:r>
      <w:proofErr w:type="spellEnd"/>
      <w:r w:rsidRPr="00270727">
        <w:rPr>
          <w:i/>
        </w:rPr>
        <w:t xml:space="preserve"> Bros Ltd v Bell </w:t>
      </w:r>
      <w:r>
        <w:t xml:space="preserve">1921 T.P.D. 92 where directors of </w:t>
      </w:r>
      <w:r w:rsidR="003B647E">
        <w:t xml:space="preserve">a </w:t>
      </w:r>
      <w:r>
        <w:t>company which was in financial difficulties purchased large quantities of goods on credit without believing that they would be paid for and with reckless indifference as to whether they could be paid for or not, the court held t</w:t>
      </w:r>
      <w:r w:rsidR="00536D6E">
        <w:t>hat when ordering the goods they</w:t>
      </w:r>
      <w:r>
        <w:t xml:space="preserve"> had been guilty of fraudulent representation (</w:t>
      </w:r>
      <w:r w:rsidRPr="00F8209E">
        <w:rPr>
          <w:i/>
        </w:rPr>
        <w:t>viz.</w:t>
      </w:r>
      <w:r>
        <w:t xml:space="preserve"> that the company was in a position to pay) and were personally liable to pay the purchase price of the goods. </w:t>
      </w:r>
      <w:r>
        <w:rPr>
          <w:rStyle w:val="FootnoteReference"/>
        </w:rPr>
        <w:footnoteReference w:id="2"/>
      </w:r>
      <w:r w:rsidR="00594095">
        <w:t xml:space="preserve"> </w:t>
      </w:r>
    </w:p>
    <w:p w:rsidR="00E94F58" w:rsidRPr="00E94F58" w:rsidRDefault="00E94F58" w:rsidP="00E94F58">
      <w:pPr>
        <w:autoSpaceDE w:val="0"/>
        <w:autoSpaceDN w:val="0"/>
        <w:adjustRightInd w:val="0"/>
        <w:spacing w:before="0" w:beforeAutospacing="0" w:after="0" w:afterAutospacing="0"/>
        <w:ind w:firstLine="720"/>
        <w:jc w:val="both"/>
        <w:rPr>
          <w:rFonts w:cs="Times New Roman"/>
          <w:szCs w:val="24"/>
          <w:lang w:val="en-ZW"/>
        </w:rPr>
      </w:pPr>
    </w:p>
    <w:p w:rsidR="001D7C0C" w:rsidRDefault="001D7C0C" w:rsidP="000E3E1A">
      <w:pPr>
        <w:autoSpaceDE w:val="0"/>
        <w:autoSpaceDN w:val="0"/>
        <w:adjustRightInd w:val="0"/>
        <w:spacing w:before="0" w:beforeAutospacing="0" w:after="0" w:afterAutospacing="0"/>
        <w:jc w:val="both"/>
      </w:pPr>
      <w:r>
        <w:rPr>
          <w:rFonts w:cs="Times New Roman"/>
          <w:b/>
          <w:szCs w:val="24"/>
          <w:lang w:val="en-ZW"/>
        </w:rPr>
        <w:tab/>
      </w:r>
      <w:r w:rsidR="00F8209E" w:rsidRPr="00F8209E">
        <w:rPr>
          <w:rFonts w:cs="Times New Roman"/>
          <w:szCs w:val="24"/>
          <w:lang w:val="en-ZW"/>
        </w:rPr>
        <w:t>The</w:t>
      </w:r>
      <w:r w:rsidR="003B647E">
        <w:rPr>
          <w:rFonts w:cs="Times New Roman"/>
          <w:szCs w:val="24"/>
          <w:lang w:val="en-ZW"/>
        </w:rPr>
        <w:t xml:space="preserve"> facts of this case show</w:t>
      </w:r>
      <w:r w:rsidR="00F8209E">
        <w:rPr>
          <w:rFonts w:cs="Times New Roman"/>
          <w:szCs w:val="24"/>
          <w:lang w:val="en-ZW"/>
        </w:rPr>
        <w:t xml:space="preserve"> </w:t>
      </w:r>
      <w:r w:rsidR="00536D6E">
        <w:rPr>
          <w:rFonts w:cs="Times New Roman"/>
          <w:szCs w:val="24"/>
          <w:lang w:val="en-ZW"/>
        </w:rPr>
        <w:t>fraudulent representation</w:t>
      </w:r>
      <w:r w:rsidR="003E3240">
        <w:rPr>
          <w:rFonts w:cs="Times New Roman"/>
          <w:szCs w:val="24"/>
          <w:lang w:val="en-ZW"/>
        </w:rPr>
        <w:t xml:space="preserve"> on the part of the directors. </w:t>
      </w:r>
      <w:r w:rsidR="00F8209E" w:rsidRPr="00F8209E">
        <w:rPr>
          <w:rFonts w:cs="Times New Roman"/>
          <w:szCs w:val="24"/>
          <w:lang w:val="en-ZW"/>
        </w:rPr>
        <w:t xml:space="preserve"> </w:t>
      </w:r>
      <w:r w:rsidRPr="001D7C0C">
        <w:rPr>
          <w:rFonts w:cs="Times New Roman"/>
          <w:szCs w:val="24"/>
          <w:lang w:val="en-ZW"/>
        </w:rPr>
        <w:t xml:space="preserve">As </w:t>
      </w:r>
      <w:r>
        <w:rPr>
          <w:rFonts w:cs="Times New Roman"/>
          <w:szCs w:val="24"/>
          <w:lang w:val="en-ZW"/>
        </w:rPr>
        <w:t xml:space="preserve">pointed out </w:t>
      </w:r>
      <w:r w:rsidRPr="0077194E">
        <w:rPr>
          <w:rFonts w:cs="Times New Roman"/>
          <w:i/>
          <w:szCs w:val="24"/>
          <w:lang w:val="en-ZW"/>
        </w:rPr>
        <w:t>supra</w:t>
      </w:r>
      <w:r>
        <w:rPr>
          <w:rFonts w:cs="Times New Roman"/>
          <w:szCs w:val="24"/>
          <w:lang w:val="en-ZW"/>
        </w:rPr>
        <w:t xml:space="preserve">, the facts underpinning this application have not been disputed. </w:t>
      </w:r>
      <w:r w:rsidR="0077194E">
        <w:rPr>
          <w:rFonts w:cs="Times New Roman"/>
          <w:szCs w:val="24"/>
          <w:lang w:val="en-ZW"/>
        </w:rPr>
        <w:t>1</w:t>
      </w:r>
      <w:r w:rsidR="0077194E" w:rsidRPr="0077194E">
        <w:rPr>
          <w:rFonts w:cs="Times New Roman"/>
          <w:szCs w:val="24"/>
          <w:vertAlign w:val="superscript"/>
          <w:lang w:val="en-ZW"/>
        </w:rPr>
        <w:t>st</w:t>
      </w:r>
      <w:r w:rsidR="0077194E">
        <w:rPr>
          <w:rFonts w:cs="Times New Roman"/>
          <w:szCs w:val="24"/>
          <w:lang w:val="en-ZW"/>
        </w:rPr>
        <w:t xml:space="preserve"> respondent does not dispute that </w:t>
      </w:r>
      <w:r w:rsidR="0077194E">
        <w:t>the business of the company was carried out in a fraudulent manner</w:t>
      </w:r>
      <w:r w:rsidR="00542266">
        <w:t xml:space="preserve">, i.e. through </w:t>
      </w:r>
      <w:r w:rsidR="0077194E" w:rsidRPr="00A61668">
        <w:t>it</w:t>
      </w:r>
      <w:r w:rsidR="0077194E">
        <w:t>s</w:t>
      </w:r>
      <w:r w:rsidR="0077194E" w:rsidRPr="00A61668">
        <w:t xml:space="preserve"> agents made </w:t>
      </w:r>
      <w:r w:rsidR="00542266">
        <w:t>representations</w:t>
      </w:r>
      <w:r w:rsidR="0077194E" w:rsidRPr="00A61668">
        <w:t xml:space="preserve"> that</w:t>
      </w:r>
      <w:r w:rsidR="0077194E">
        <w:t xml:space="preserve"> i</w:t>
      </w:r>
      <w:r w:rsidR="0077194E" w:rsidRPr="00A61668">
        <w:t>f applicant paid money to it in Zimbabwe, it would pay the applicant</w:t>
      </w:r>
      <w:r w:rsidR="00542266">
        <w:t>’s suppliers in South Africa;</w:t>
      </w:r>
      <w:r w:rsidR="006E18EB">
        <w:t xml:space="preserve"> that the company </w:t>
      </w:r>
      <w:r w:rsidR="0077194E" w:rsidRPr="00A61668">
        <w:t>had the Reserve Bank authority and approval to use its foreign currency in South Africa to pay applicant’s suppliers</w:t>
      </w:r>
      <w:r w:rsidR="0077194E">
        <w:t>; and that i</w:t>
      </w:r>
      <w:r w:rsidR="0077194E" w:rsidRPr="00A61668">
        <w:t>t had the capacity to pay applic</w:t>
      </w:r>
      <w:r w:rsidR="0077194E">
        <w:t xml:space="preserve">ant’s suppliers in South Africa. </w:t>
      </w:r>
      <w:r w:rsidR="00CC417B">
        <w:t>It is clear that</w:t>
      </w:r>
      <w:r w:rsidR="00A600CE">
        <w:t xml:space="preserve"> these asser</w:t>
      </w:r>
      <w:r w:rsidR="003D3DD8">
        <w:t xml:space="preserve">tions were fraudulent </w:t>
      </w:r>
      <w:r w:rsidR="00CF4A62">
        <w:t>representations</w:t>
      </w:r>
      <w:r w:rsidR="00A871FD">
        <w:t xml:space="preserve"> calculated to mislead applicant into paying the company. </w:t>
      </w:r>
      <w:r w:rsidR="00CC417B">
        <w:t xml:space="preserve">The company did not have </w:t>
      </w:r>
      <w:r w:rsidR="00F074E1" w:rsidRPr="00A61668">
        <w:t>Rese</w:t>
      </w:r>
      <w:r w:rsidR="00F074E1">
        <w:t>rve Bank authority and approval, and i</w:t>
      </w:r>
      <w:r w:rsidR="00A600CE">
        <w:t>n fact in its ple</w:t>
      </w:r>
      <w:r w:rsidR="00F074E1">
        <w:t>a in HC 1105/18 it raised the</w:t>
      </w:r>
      <w:r w:rsidR="00A600CE">
        <w:t xml:space="preserve"> defense that it did not have </w:t>
      </w:r>
      <w:r w:rsidR="007037C7">
        <w:t xml:space="preserve">such </w:t>
      </w:r>
      <w:r w:rsidR="00A600CE">
        <w:t xml:space="preserve">Reserve Bank authority or approval to </w:t>
      </w:r>
      <w:r w:rsidR="00A600CE">
        <w:lastRenderedPageBreak/>
        <w:t xml:space="preserve">use its foreign currency in South Africa to pay applicant’s suppliers. </w:t>
      </w:r>
      <w:r w:rsidR="00790913">
        <w:t>These</w:t>
      </w:r>
      <w:r w:rsidR="00CF4A62">
        <w:t xml:space="preserve"> </w:t>
      </w:r>
      <w:r w:rsidR="002D60C6">
        <w:t xml:space="preserve">fraudulent representations </w:t>
      </w:r>
      <w:r w:rsidR="00CC417B">
        <w:t>were originated and presented</w:t>
      </w:r>
      <w:r w:rsidR="003975F1">
        <w:t xml:space="preserve"> </w:t>
      </w:r>
      <w:r w:rsidR="007D6093">
        <w:t xml:space="preserve">by the officials </w:t>
      </w:r>
      <w:r w:rsidR="00E94F58">
        <w:t xml:space="preserve">and directors </w:t>
      </w:r>
      <w:r w:rsidR="007D6093">
        <w:t xml:space="preserve">of the company. </w:t>
      </w:r>
    </w:p>
    <w:p w:rsidR="00AA5AB9" w:rsidRPr="00AA5AB9" w:rsidRDefault="00AA5AB9" w:rsidP="000E3E1A">
      <w:pPr>
        <w:autoSpaceDE w:val="0"/>
        <w:autoSpaceDN w:val="0"/>
        <w:adjustRightInd w:val="0"/>
        <w:spacing w:before="0" w:beforeAutospacing="0" w:after="0" w:afterAutospacing="0"/>
        <w:jc w:val="both"/>
      </w:pPr>
    </w:p>
    <w:p w:rsidR="006929F1" w:rsidRDefault="003B647E" w:rsidP="003029C8">
      <w:pPr>
        <w:pStyle w:val="Default"/>
        <w:spacing w:line="360" w:lineRule="auto"/>
        <w:ind w:firstLine="720"/>
        <w:jc w:val="both"/>
      </w:pPr>
      <w:r>
        <w:t xml:space="preserve">Because of its very nature an </w:t>
      </w:r>
      <w:r w:rsidR="006929F1">
        <w:t xml:space="preserve">artificial entity, a company cannot perform acts on its own behalf and can only act through the agency </w:t>
      </w:r>
      <w:r w:rsidR="007465CB">
        <w:t xml:space="preserve">of other persons. For purposes of attaining </w:t>
      </w:r>
      <w:r w:rsidR="00AB61D7">
        <w:t xml:space="preserve">its objects and conducting is business the persons through whose agency </w:t>
      </w:r>
      <w:r w:rsidR="004C2A64">
        <w:t xml:space="preserve">it acts are its directors and its employees. </w:t>
      </w:r>
      <w:r w:rsidR="00C62617">
        <w:t xml:space="preserve">It is the directors who direct and control the affairs of the company. </w:t>
      </w:r>
    </w:p>
    <w:p w:rsidR="007465CB" w:rsidRDefault="007465CB" w:rsidP="003029C8">
      <w:pPr>
        <w:pStyle w:val="Default"/>
        <w:spacing w:line="360" w:lineRule="auto"/>
        <w:ind w:firstLine="720"/>
        <w:jc w:val="both"/>
      </w:pPr>
    </w:p>
    <w:p w:rsidR="005A0991" w:rsidRDefault="00AF7BA3" w:rsidP="00736D89">
      <w:pPr>
        <w:pStyle w:val="Default"/>
        <w:spacing w:line="360" w:lineRule="auto"/>
        <w:ind w:firstLine="720"/>
        <w:jc w:val="both"/>
      </w:pPr>
      <w:r>
        <w:t xml:space="preserve">The purpose of </w:t>
      </w:r>
      <w:r w:rsidRPr="00B765CF">
        <w:t>s 318 (1) of the Companies Act</w:t>
      </w:r>
      <w:r w:rsidR="00D70233" w:rsidRPr="00825D05">
        <w:t xml:space="preserve"> is to discourage the abuse of corporate personality. It is framed to achieve that by providing a mechanism by which those responsible for the </w:t>
      </w:r>
      <w:r w:rsidR="00D70233">
        <w:t xml:space="preserve">fraudulent, </w:t>
      </w:r>
      <w:r w:rsidR="00D70233" w:rsidRPr="00825D05">
        <w:t>grossly negligent or dishonest use of corporate entities can be deprived of the benefit of immunity from personal liability that the legal fiction of juristic personality ordinarily confers on those wh</w:t>
      </w:r>
      <w:r w:rsidR="00AC4D70">
        <w:t xml:space="preserve">o carry on business through a </w:t>
      </w:r>
      <w:r w:rsidR="0085793D">
        <w:t>company</w:t>
      </w:r>
      <w:r w:rsidR="00D70233">
        <w:t xml:space="preserve">. </w:t>
      </w:r>
      <w:r w:rsidR="00D70233" w:rsidRPr="00825D05">
        <w:t xml:space="preserve"> </w:t>
      </w:r>
      <w:r w:rsidR="0094503A">
        <w:t xml:space="preserve">I take the view that </w:t>
      </w:r>
      <w:r w:rsidR="00A323F6">
        <w:t xml:space="preserve">the directors </w:t>
      </w:r>
      <w:r w:rsidR="00BC6482">
        <w:t>who were carryin</w:t>
      </w:r>
      <w:r w:rsidR="00754A66">
        <w:t>g on the business of NU Aero</w:t>
      </w:r>
      <w:r w:rsidR="00704DB4">
        <w:t xml:space="preserve"> (Pvt) Limited t/a Fly Africa</w:t>
      </w:r>
      <w:r w:rsidR="00C349AC">
        <w:t>, directing and controlling the company</w:t>
      </w:r>
      <w:r w:rsidR="00BC6482">
        <w:t xml:space="preserve"> be held personally responsible, without limitation </w:t>
      </w:r>
      <w:r w:rsidR="00883F18">
        <w:t>of liability, for the discharge of the judgment debt</w:t>
      </w:r>
      <w:r w:rsidR="0094503A">
        <w:t xml:space="preserve"> in HC </w:t>
      </w:r>
      <w:r w:rsidR="00736D89">
        <w:t>2915/18</w:t>
      </w:r>
      <w:r w:rsidR="00883F18">
        <w:t xml:space="preserve">. </w:t>
      </w:r>
      <w:r w:rsidR="003029C8">
        <w:t xml:space="preserve"> </w:t>
      </w:r>
      <w:r w:rsidR="007D6093">
        <w:t>It is on this basis that this application must succeed as against the 1</w:t>
      </w:r>
      <w:r w:rsidR="007D6093" w:rsidRPr="007D6093">
        <w:rPr>
          <w:vertAlign w:val="superscript"/>
        </w:rPr>
        <w:t>st</w:t>
      </w:r>
      <w:r w:rsidR="007D6093">
        <w:t xml:space="preserve"> respondent. </w:t>
      </w:r>
    </w:p>
    <w:p w:rsidR="007D6093" w:rsidRDefault="007D6093" w:rsidP="000F59E6">
      <w:pPr>
        <w:pStyle w:val="Default"/>
        <w:spacing w:line="360" w:lineRule="auto"/>
        <w:ind w:firstLine="720"/>
        <w:jc w:val="both"/>
      </w:pPr>
    </w:p>
    <w:p w:rsidR="007D6093" w:rsidRDefault="007D6093" w:rsidP="000F59E6">
      <w:pPr>
        <w:pStyle w:val="Default"/>
        <w:spacing w:line="360" w:lineRule="auto"/>
        <w:ind w:firstLine="720"/>
        <w:jc w:val="both"/>
      </w:pPr>
      <w:r>
        <w:t>The 7</w:t>
      </w:r>
      <w:r w:rsidRPr="007D6093">
        <w:rPr>
          <w:vertAlign w:val="superscript"/>
        </w:rPr>
        <w:t>th</w:t>
      </w:r>
      <w:r>
        <w:t xml:space="preserve"> respondent did not oppose this application. </w:t>
      </w:r>
      <w:r w:rsidR="00F04745">
        <w:t>I take the view that</w:t>
      </w:r>
      <w:r w:rsidR="00944B0A">
        <w:t xml:space="preserve"> he took the position that he will abide by the order of this court, whatever it is. </w:t>
      </w:r>
      <w:r w:rsidR="000506E7">
        <w:t xml:space="preserve">On the facts of this case, this respondent may not escape liability in terms of section 318(1) of the Companies Act. </w:t>
      </w:r>
    </w:p>
    <w:p w:rsidR="00C76397" w:rsidRDefault="00C76397" w:rsidP="000F59E6">
      <w:pPr>
        <w:pStyle w:val="Default"/>
        <w:spacing w:line="360" w:lineRule="auto"/>
        <w:ind w:firstLine="720"/>
        <w:jc w:val="both"/>
      </w:pPr>
    </w:p>
    <w:p w:rsidR="00C76397" w:rsidRDefault="005B43AA" w:rsidP="000F59E6">
      <w:pPr>
        <w:pStyle w:val="Default"/>
        <w:spacing w:line="360" w:lineRule="auto"/>
        <w:ind w:firstLine="720"/>
        <w:jc w:val="both"/>
      </w:pPr>
      <w:r>
        <w:rPr>
          <w:color w:val="4A4A4A"/>
          <w:shd w:val="clear" w:color="auto" w:fill="FFFFFF"/>
        </w:rPr>
        <w:t> </w:t>
      </w:r>
      <w:r w:rsidRPr="00FE0EFF">
        <w:rPr>
          <w:color w:val="auto"/>
          <w:shd w:val="clear" w:color="auto" w:fill="FFFFFF"/>
        </w:rPr>
        <w:t>This judgment is not concerned with whether or not the company is liable. That enquiry was settled by this court in HC 2915/18.</w:t>
      </w:r>
      <w:r w:rsidR="004103B0">
        <w:rPr>
          <w:color w:val="4A4A4A"/>
          <w:shd w:val="clear" w:color="auto" w:fill="FFFFFF"/>
        </w:rPr>
        <w:t xml:space="preserve"> </w:t>
      </w:r>
      <w:r w:rsidR="00C76397">
        <w:t xml:space="preserve"> </w:t>
      </w:r>
      <w:r w:rsidR="005E772B">
        <w:t>I</w:t>
      </w:r>
      <w:r w:rsidR="00FE0EFF">
        <w:t xml:space="preserve"> therefore</w:t>
      </w:r>
      <w:r w:rsidR="005E772B">
        <w:t xml:space="preserve"> see no reason why </w:t>
      </w:r>
      <w:r w:rsidR="004103B0">
        <w:t>the company was joined in</w:t>
      </w:r>
      <w:r w:rsidR="00AE2BD6">
        <w:t xml:space="preserve"> this application and no reason why</w:t>
      </w:r>
      <w:r w:rsidR="005E772B">
        <w:t xml:space="preserve"> another judgment </w:t>
      </w:r>
      <w:r w:rsidR="00A22244">
        <w:t xml:space="preserve">should be granted </w:t>
      </w:r>
      <w:r w:rsidR="005E772B">
        <w:t>against the company speaking to the same issue</w:t>
      </w:r>
      <w:r w:rsidR="004103B0">
        <w:t>s</w:t>
      </w:r>
      <w:r w:rsidR="005E772B">
        <w:t xml:space="preserve"> as in HC 2915/18. </w:t>
      </w:r>
    </w:p>
    <w:p w:rsidR="00A22244" w:rsidRDefault="00A22244" w:rsidP="000F59E6">
      <w:pPr>
        <w:pStyle w:val="Default"/>
        <w:spacing w:line="360" w:lineRule="auto"/>
        <w:ind w:firstLine="720"/>
        <w:jc w:val="both"/>
      </w:pPr>
    </w:p>
    <w:p w:rsidR="00A22244" w:rsidRDefault="00A22244" w:rsidP="00A22244">
      <w:pPr>
        <w:pStyle w:val="Default"/>
        <w:spacing w:line="360" w:lineRule="auto"/>
        <w:ind w:firstLine="720"/>
        <w:jc w:val="both"/>
      </w:pPr>
      <w:r w:rsidRPr="002D60C6">
        <w:t xml:space="preserve">The general rule is that the costs follow the result. There is no reason why this court should depart from such rule in this case. The </w:t>
      </w:r>
      <w:r>
        <w:t>1</w:t>
      </w:r>
      <w:r w:rsidRPr="005F1623">
        <w:rPr>
          <w:vertAlign w:val="superscript"/>
        </w:rPr>
        <w:t>st</w:t>
      </w:r>
      <w:r>
        <w:t xml:space="preserve"> and 7</w:t>
      </w:r>
      <w:r w:rsidRPr="005F1623">
        <w:rPr>
          <w:vertAlign w:val="superscript"/>
        </w:rPr>
        <w:t>th</w:t>
      </w:r>
      <w:r>
        <w:t xml:space="preserve"> respondents </w:t>
      </w:r>
      <w:r w:rsidR="00F04745">
        <w:t>are</w:t>
      </w:r>
      <w:r w:rsidRPr="002D60C6">
        <w:t xml:space="preserve"> to pay the applicant’s costs on the scale as between party and party.</w:t>
      </w:r>
    </w:p>
    <w:p w:rsidR="005E772B" w:rsidRDefault="005E772B" w:rsidP="000F59E6">
      <w:pPr>
        <w:pStyle w:val="Default"/>
        <w:spacing w:line="360" w:lineRule="auto"/>
        <w:ind w:firstLine="720"/>
        <w:jc w:val="both"/>
      </w:pPr>
    </w:p>
    <w:p w:rsidR="00440875" w:rsidRDefault="00440875" w:rsidP="00944B0A">
      <w:pPr>
        <w:pStyle w:val="Default"/>
        <w:spacing w:line="360" w:lineRule="auto"/>
        <w:jc w:val="both"/>
        <w:rPr>
          <w:b/>
        </w:rPr>
      </w:pPr>
    </w:p>
    <w:p w:rsidR="00944B0A" w:rsidRDefault="00944B0A" w:rsidP="00944B0A">
      <w:pPr>
        <w:pStyle w:val="Default"/>
        <w:spacing w:line="360" w:lineRule="auto"/>
        <w:jc w:val="both"/>
        <w:rPr>
          <w:b/>
        </w:rPr>
      </w:pPr>
      <w:r w:rsidRPr="00944B0A">
        <w:rPr>
          <w:b/>
        </w:rPr>
        <w:lastRenderedPageBreak/>
        <w:t xml:space="preserve">Disposition </w:t>
      </w:r>
    </w:p>
    <w:p w:rsidR="008903C8" w:rsidRPr="00944B0A" w:rsidRDefault="008903C8" w:rsidP="00944B0A">
      <w:pPr>
        <w:pStyle w:val="Default"/>
        <w:spacing w:line="360" w:lineRule="auto"/>
        <w:jc w:val="both"/>
        <w:rPr>
          <w:b/>
        </w:rPr>
      </w:pPr>
    </w:p>
    <w:p w:rsidR="007D6093" w:rsidRPr="008903C8" w:rsidRDefault="002156BF" w:rsidP="000F59E6">
      <w:pPr>
        <w:pStyle w:val="Default"/>
        <w:spacing w:line="360" w:lineRule="auto"/>
        <w:ind w:firstLine="720"/>
        <w:jc w:val="both"/>
      </w:pPr>
      <w:r>
        <w:t>In the premises</w:t>
      </w:r>
      <w:r w:rsidR="00670396">
        <w:t>, I am thus satisfied that</w:t>
      </w:r>
      <w:r w:rsidR="001D7A60" w:rsidRPr="008903C8">
        <w:t xml:space="preserve"> applicant has managed to prove</w:t>
      </w:r>
      <w:r w:rsidR="003A1F68">
        <w:t xml:space="preserve"> the </w:t>
      </w:r>
      <w:r w:rsidR="001D7A60" w:rsidRPr="008903C8">
        <w:t>l</w:t>
      </w:r>
      <w:r w:rsidR="008903C8" w:rsidRPr="008903C8">
        <w:t>iability</w:t>
      </w:r>
      <w:r w:rsidR="003275E6">
        <w:t xml:space="preserve"> of the directors of NU Aero (Pvt) Limited t/a Fly Africa</w:t>
      </w:r>
      <w:r w:rsidR="003275E6" w:rsidRPr="008903C8">
        <w:t xml:space="preserve"> </w:t>
      </w:r>
      <w:r w:rsidR="001D7A60" w:rsidRPr="008903C8">
        <w:t>in terms of s 318 of the Companies Ac</w:t>
      </w:r>
      <w:r w:rsidR="003A1F68">
        <w:t xml:space="preserve">t. </w:t>
      </w:r>
      <w:r w:rsidR="00670396">
        <w:t xml:space="preserve">In the result I order as follows: </w:t>
      </w:r>
    </w:p>
    <w:p w:rsidR="0011408E" w:rsidRDefault="00FB6F98" w:rsidP="0011408E">
      <w:pPr>
        <w:pStyle w:val="ListParagraph"/>
        <w:numPr>
          <w:ilvl w:val="0"/>
          <w:numId w:val="8"/>
        </w:numPr>
        <w:jc w:val="both"/>
        <w:rPr>
          <w:szCs w:val="24"/>
        </w:rPr>
      </w:pPr>
      <w:r>
        <w:rPr>
          <w:szCs w:val="24"/>
        </w:rPr>
        <w:t xml:space="preserve">It is declared that </w:t>
      </w:r>
      <w:proofErr w:type="spellStart"/>
      <w:r>
        <w:rPr>
          <w:szCs w:val="24"/>
        </w:rPr>
        <w:t>Mekias</w:t>
      </w:r>
      <w:proofErr w:type="spellEnd"/>
      <w:r>
        <w:rPr>
          <w:szCs w:val="24"/>
        </w:rPr>
        <w:t xml:space="preserve"> Munyaradzi and </w:t>
      </w:r>
      <w:proofErr w:type="spellStart"/>
      <w:r>
        <w:rPr>
          <w:szCs w:val="24"/>
        </w:rPr>
        <w:t>Cassindy</w:t>
      </w:r>
      <w:proofErr w:type="spellEnd"/>
      <w:r>
        <w:rPr>
          <w:szCs w:val="24"/>
        </w:rPr>
        <w:t xml:space="preserve"> </w:t>
      </w:r>
      <w:proofErr w:type="spellStart"/>
      <w:r>
        <w:rPr>
          <w:szCs w:val="24"/>
        </w:rPr>
        <w:t>Mugwagwa</w:t>
      </w:r>
      <w:proofErr w:type="spellEnd"/>
      <w:r>
        <w:rPr>
          <w:szCs w:val="24"/>
        </w:rPr>
        <w:t xml:space="preserve"> (</w:t>
      </w:r>
      <w:r w:rsidR="0011408E">
        <w:rPr>
          <w:szCs w:val="24"/>
        </w:rPr>
        <w:t>1</w:t>
      </w:r>
      <w:r w:rsidR="0011408E" w:rsidRPr="00E16524">
        <w:rPr>
          <w:szCs w:val="24"/>
          <w:vertAlign w:val="superscript"/>
        </w:rPr>
        <w:t>st</w:t>
      </w:r>
      <w:r w:rsidR="0011408E">
        <w:rPr>
          <w:szCs w:val="24"/>
        </w:rPr>
        <w:t xml:space="preserve"> and 7</w:t>
      </w:r>
      <w:r w:rsidR="0011408E" w:rsidRPr="00E16524">
        <w:rPr>
          <w:szCs w:val="24"/>
          <w:vertAlign w:val="superscript"/>
        </w:rPr>
        <w:t>th</w:t>
      </w:r>
      <w:r w:rsidR="0011408E">
        <w:rPr>
          <w:szCs w:val="24"/>
        </w:rPr>
        <w:t xml:space="preserve"> respondents</w:t>
      </w:r>
      <w:r>
        <w:rPr>
          <w:szCs w:val="24"/>
        </w:rPr>
        <w:t xml:space="preserve">) </w:t>
      </w:r>
      <w:r w:rsidR="0011408E">
        <w:rPr>
          <w:szCs w:val="24"/>
        </w:rPr>
        <w:t xml:space="preserve"> be and hereby declared personally responsible, without limitation, for the deb</w:t>
      </w:r>
      <w:r w:rsidR="00A22AEB">
        <w:rPr>
          <w:szCs w:val="24"/>
        </w:rPr>
        <w:t xml:space="preserve">t owed to the applicant by the </w:t>
      </w:r>
      <w:r w:rsidR="00A22AEB">
        <w:t>NU Aero (</w:t>
      </w:r>
      <w:proofErr w:type="spellStart"/>
      <w:r w:rsidR="00A22AEB">
        <w:t>Pvt</w:t>
      </w:r>
      <w:proofErr w:type="spellEnd"/>
      <w:r w:rsidR="00A22AEB">
        <w:t>) Limited t/a Fly Africa</w:t>
      </w:r>
      <w:r w:rsidR="0011408E">
        <w:rPr>
          <w:szCs w:val="24"/>
        </w:rPr>
        <w:t xml:space="preserve"> in terms of section 318 of the Companies Act. </w:t>
      </w:r>
    </w:p>
    <w:p w:rsidR="004E5516" w:rsidRDefault="0011408E" w:rsidP="004E5516">
      <w:pPr>
        <w:pStyle w:val="ListParagraph"/>
        <w:numPr>
          <w:ilvl w:val="0"/>
          <w:numId w:val="8"/>
        </w:numPr>
        <w:jc w:val="both"/>
        <w:rPr>
          <w:szCs w:val="24"/>
        </w:rPr>
      </w:pPr>
      <w:r>
        <w:rPr>
          <w:szCs w:val="24"/>
        </w:rPr>
        <w:t>The 1</w:t>
      </w:r>
      <w:r w:rsidRPr="00C01E56">
        <w:rPr>
          <w:szCs w:val="24"/>
          <w:vertAlign w:val="superscript"/>
        </w:rPr>
        <w:t>st</w:t>
      </w:r>
      <w:r>
        <w:rPr>
          <w:szCs w:val="24"/>
        </w:rPr>
        <w:t xml:space="preserve"> and 7</w:t>
      </w:r>
      <w:r w:rsidRPr="00C01E56">
        <w:rPr>
          <w:szCs w:val="24"/>
          <w:vertAlign w:val="superscript"/>
        </w:rPr>
        <w:t>th</w:t>
      </w:r>
      <w:r w:rsidR="00A22AEB">
        <w:rPr>
          <w:szCs w:val="24"/>
        </w:rPr>
        <w:t xml:space="preserve"> respondents be and are</w:t>
      </w:r>
      <w:r>
        <w:rPr>
          <w:szCs w:val="24"/>
        </w:rPr>
        <w:t xml:space="preserve"> he</w:t>
      </w:r>
      <w:r w:rsidR="000B46B0">
        <w:rPr>
          <w:szCs w:val="24"/>
        </w:rPr>
        <w:t>reby joined as</w:t>
      </w:r>
      <w:r>
        <w:rPr>
          <w:szCs w:val="24"/>
        </w:rPr>
        <w:t xml:space="preserve"> judgment debtors to the judgment debt owed to the applicant in terms of the court order handed down by the </w:t>
      </w:r>
      <w:proofErr w:type="spellStart"/>
      <w:r>
        <w:rPr>
          <w:szCs w:val="24"/>
        </w:rPr>
        <w:t>Honourable</w:t>
      </w:r>
      <w:proofErr w:type="spellEnd"/>
      <w:r>
        <w:rPr>
          <w:szCs w:val="24"/>
        </w:rPr>
        <w:t xml:space="preserve"> Mr. Justice </w:t>
      </w:r>
      <w:proofErr w:type="spellStart"/>
      <w:r>
        <w:rPr>
          <w:szCs w:val="24"/>
        </w:rPr>
        <w:t>Mabhikwa</w:t>
      </w:r>
      <w:proofErr w:type="spellEnd"/>
      <w:r>
        <w:rPr>
          <w:szCs w:val="24"/>
        </w:rPr>
        <w:t xml:space="preserve"> J on the 29</w:t>
      </w:r>
      <w:r w:rsidRPr="008A6C4E">
        <w:rPr>
          <w:szCs w:val="24"/>
          <w:vertAlign w:val="superscript"/>
        </w:rPr>
        <w:t>th</w:t>
      </w:r>
      <w:r>
        <w:rPr>
          <w:szCs w:val="24"/>
        </w:rPr>
        <w:t xml:space="preserve"> November 2018 in case No. HC 2915/18. </w:t>
      </w:r>
    </w:p>
    <w:p w:rsidR="00C15F22" w:rsidRDefault="0011408E" w:rsidP="004E5516">
      <w:pPr>
        <w:pStyle w:val="ListParagraph"/>
        <w:numPr>
          <w:ilvl w:val="0"/>
          <w:numId w:val="8"/>
        </w:numPr>
        <w:jc w:val="both"/>
        <w:rPr>
          <w:szCs w:val="24"/>
        </w:rPr>
      </w:pPr>
      <w:r w:rsidRPr="004E5516">
        <w:rPr>
          <w:szCs w:val="24"/>
        </w:rPr>
        <w:t>The 1</w:t>
      </w:r>
      <w:r w:rsidRPr="004E5516">
        <w:rPr>
          <w:szCs w:val="24"/>
          <w:vertAlign w:val="superscript"/>
        </w:rPr>
        <w:t>st</w:t>
      </w:r>
      <w:r w:rsidRPr="004E5516">
        <w:rPr>
          <w:szCs w:val="24"/>
        </w:rPr>
        <w:t xml:space="preserve"> and 7</w:t>
      </w:r>
      <w:r w:rsidRPr="004E5516">
        <w:rPr>
          <w:szCs w:val="24"/>
          <w:vertAlign w:val="superscript"/>
        </w:rPr>
        <w:t>th</w:t>
      </w:r>
      <w:r w:rsidRPr="004E5516">
        <w:rPr>
          <w:szCs w:val="24"/>
        </w:rPr>
        <w:t xml:space="preserve"> respondents be and hereby ordered to pay costs of </w:t>
      </w:r>
      <w:r w:rsidR="004E5516">
        <w:rPr>
          <w:szCs w:val="24"/>
        </w:rPr>
        <w:t>suit</w:t>
      </w:r>
      <w:r w:rsidRPr="004E5516">
        <w:rPr>
          <w:szCs w:val="24"/>
        </w:rPr>
        <w:t>, jointly and severally, the one paying the others to be absolved.</w:t>
      </w:r>
    </w:p>
    <w:p w:rsidR="00905676" w:rsidRDefault="00905676" w:rsidP="00905676">
      <w:pPr>
        <w:pStyle w:val="ListParagraph"/>
        <w:ind w:left="1080"/>
        <w:jc w:val="both"/>
        <w:rPr>
          <w:szCs w:val="24"/>
        </w:rPr>
      </w:pPr>
    </w:p>
    <w:p w:rsidR="00905676" w:rsidRDefault="00905676" w:rsidP="00905676">
      <w:pPr>
        <w:pStyle w:val="ListParagraph"/>
        <w:ind w:left="1080"/>
        <w:jc w:val="both"/>
        <w:rPr>
          <w:szCs w:val="24"/>
        </w:rPr>
      </w:pPr>
    </w:p>
    <w:p w:rsidR="00905676" w:rsidRDefault="00905676" w:rsidP="00905676">
      <w:pPr>
        <w:pStyle w:val="ListParagraph"/>
        <w:ind w:left="1080"/>
        <w:jc w:val="both"/>
        <w:rPr>
          <w:szCs w:val="24"/>
        </w:rPr>
      </w:pPr>
      <w:bookmarkStart w:id="0" w:name="_GoBack"/>
      <w:bookmarkEnd w:id="0"/>
    </w:p>
    <w:p w:rsidR="001D7A60" w:rsidRPr="004E5516" w:rsidRDefault="001D7A60" w:rsidP="00905676">
      <w:pPr>
        <w:pStyle w:val="ListParagraph"/>
        <w:ind w:left="1080"/>
        <w:jc w:val="both"/>
        <w:rPr>
          <w:szCs w:val="24"/>
        </w:rPr>
      </w:pPr>
    </w:p>
    <w:p w:rsidR="00214C15" w:rsidRPr="00DB699C" w:rsidRDefault="00AE46FC" w:rsidP="00214C15">
      <w:pPr>
        <w:autoSpaceDE w:val="0"/>
        <w:autoSpaceDN w:val="0"/>
        <w:adjustRightInd w:val="0"/>
        <w:spacing w:before="0" w:beforeAutospacing="0" w:after="0" w:afterAutospacing="0" w:line="240" w:lineRule="auto"/>
        <w:rPr>
          <w:rFonts w:cs="Times New Roman"/>
          <w:color w:val="000000"/>
          <w:szCs w:val="24"/>
          <w:lang w:val="en-ZW"/>
        </w:rPr>
      </w:pPr>
      <w:r w:rsidRPr="00DB699C">
        <w:rPr>
          <w:rFonts w:cs="Times New Roman"/>
          <w:i/>
          <w:iCs/>
          <w:color w:val="000000"/>
          <w:szCs w:val="24"/>
          <w:lang w:val="en-ZW"/>
        </w:rPr>
        <w:t>Webb, Low &amp; Barry incorporating Ben Baron and Partners</w:t>
      </w:r>
      <w:r w:rsidR="00214C15" w:rsidRPr="00214C15">
        <w:rPr>
          <w:rFonts w:cs="Times New Roman"/>
          <w:i/>
          <w:iCs/>
          <w:color w:val="000000"/>
          <w:szCs w:val="24"/>
          <w:lang w:val="en-ZW"/>
        </w:rPr>
        <w:t xml:space="preserve">, </w:t>
      </w:r>
      <w:r w:rsidR="00214C15" w:rsidRPr="00214C15">
        <w:rPr>
          <w:rFonts w:cs="Times New Roman"/>
          <w:color w:val="000000"/>
          <w:szCs w:val="24"/>
          <w:lang w:val="en-ZW"/>
        </w:rPr>
        <w:t xml:space="preserve">applicant’s legal practitioners </w:t>
      </w:r>
    </w:p>
    <w:p w:rsidR="003E2AA9" w:rsidRPr="00DB699C" w:rsidRDefault="00C15F22" w:rsidP="00214C15">
      <w:pPr>
        <w:autoSpaceDE w:val="0"/>
        <w:autoSpaceDN w:val="0"/>
        <w:adjustRightInd w:val="0"/>
        <w:spacing w:before="0" w:beforeAutospacing="0" w:after="0" w:afterAutospacing="0" w:line="240" w:lineRule="auto"/>
        <w:rPr>
          <w:rFonts w:cs="Times New Roman"/>
          <w:color w:val="000000"/>
          <w:szCs w:val="24"/>
          <w:lang w:val="en-ZW"/>
        </w:rPr>
      </w:pPr>
      <w:r w:rsidRPr="00DB699C">
        <w:rPr>
          <w:rFonts w:cs="Times New Roman"/>
          <w:i/>
          <w:iCs/>
          <w:color w:val="000000"/>
          <w:szCs w:val="24"/>
          <w:lang w:val="en-ZW"/>
        </w:rPr>
        <w:t xml:space="preserve">Joel </w:t>
      </w:r>
      <w:proofErr w:type="spellStart"/>
      <w:r w:rsidRPr="00DB699C">
        <w:rPr>
          <w:rFonts w:cs="Times New Roman"/>
          <w:i/>
          <w:iCs/>
          <w:color w:val="000000"/>
          <w:szCs w:val="24"/>
          <w:lang w:val="en-ZW"/>
        </w:rPr>
        <w:t>Pincus</w:t>
      </w:r>
      <w:proofErr w:type="spellEnd"/>
      <w:r w:rsidRPr="00DB699C">
        <w:rPr>
          <w:rFonts w:cs="Times New Roman"/>
          <w:i/>
          <w:iCs/>
          <w:color w:val="000000"/>
          <w:szCs w:val="24"/>
          <w:lang w:val="en-ZW"/>
        </w:rPr>
        <w:t xml:space="preserve">, </w:t>
      </w:r>
      <w:proofErr w:type="spellStart"/>
      <w:r w:rsidRPr="00DB699C">
        <w:rPr>
          <w:rFonts w:cs="Times New Roman"/>
          <w:i/>
          <w:iCs/>
          <w:color w:val="000000"/>
          <w:szCs w:val="24"/>
          <w:lang w:val="en-ZW"/>
        </w:rPr>
        <w:t>Konson</w:t>
      </w:r>
      <w:proofErr w:type="spellEnd"/>
      <w:r w:rsidRPr="00DB699C">
        <w:rPr>
          <w:rFonts w:cs="Times New Roman"/>
          <w:i/>
          <w:iCs/>
          <w:color w:val="000000"/>
          <w:szCs w:val="24"/>
          <w:lang w:val="en-ZW"/>
        </w:rPr>
        <w:t xml:space="preserve"> &amp; </w:t>
      </w:r>
      <w:proofErr w:type="spellStart"/>
      <w:r w:rsidRPr="00DB699C">
        <w:rPr>
          <w:rFonts w:cs="Times New Roman"/>
          <w:i/>
          <w:iCs/>
          <w:color w:val="000000"/>
          <w:szCs w:val="24"/>
          <w:lang w:val="en-ZW"/>
        </w:rPr>
        <w:t>Wolhuter</w:t>
      </w:r>
      <w:proofErr w:type="spellEnd"/>
      <w:r w:rsidRPr="00DB699C">
        <w:rPr>
          <w:rFonts w:cs="Times New Roman"/>
          <w:i/>
          <w:iCs/>
          <w:color w:val="000000"/>
          <w:szCs w:val="24"/>
          <w:lang w:val="en-ZW"/>
        </w:rPr>
        <w:t>,</w:t>
      </w:r>
      <w:r w:rsidR="005972E8">
        <w:rPr>
          <w:rFonts w:cs="Times New Roman"/>
          <w:color w:val="000000"/>
          <w:szCs w:val="24"/>
          <w:lang w:val="en-ZW"/>
        </w:rPr>
        <w:t xml:space="preserve"> 1</w:t>
      </w:r>
      <w:r w:rsidR="005972E8" w:rsidRPr="005972E8">
        <w:rPr>
          <w:rFonts w:cs="Times New Roman"/>
          <w:color w:val="000000"/>
          <w:szCs w:val="24"/>
          <w:vertAlign w:val="superscript"/>
          <w:lang w:val="en-ZW"/>
        </w:rPr>
        <w:t>st</w:t>
      </w:r>
      <w:r w:rsidR="00214C15" w:rsidRPr="00DB699C">
        <w:rPr>
          <w:rFonts w:cs="Times New Roman"/>
          <w:color w:val="000000"/>
          <w:szCs w:val="24"/>
          <w:lang w:val="en-ZW"/>
        </w:rPr>
        <w:t xml:space="preserve"> respondent’s legal practitioners</w:t>
      </w:r>
    </w:p>
    <w:sectPr w:rsidR="003E2AA9" w:rsidRPr="00DB699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C1F" w:rsidRDefault="00560C1F" w:rsidP="00560C1F">
      <w:pPr>
        <w:spacing w:before="0" w:after="0" w:line="240" w:lineRule="auto"/>
      </w:pPr>
      <w:r>
        <w:separator/>
      </w:r>
    </w:p>
  </w:endnote>
  <w:endnote w:type="continuationSeparator" w:id="0">
    <w:p w:rsidR="00560C1F" w:rsidRDefault="00560C1F" w:rsidP="00560C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C1F" w:rsidRDefault="00560C1F" w:rsidP="00560C1F">
      <w:pPr>
        <w:spacing w:before="0" w:after="0" w:line="240" w:lineRule="auto"/>
      </w:pPr>
      <w:r>
        <w:separator/>
      </w:r>
    </w:p>
  </w:footnote>
  <w:footnote w:type="continuationSeparator" w:id="0">
    <w:p w:rsidR="00560C1F" w:rsidRDefault="00560C1F" w:rsidP="00560C1F">
      <w:pPr>
        <w:spacing w:before="0" w:after="0" w:line="240" w:lineRule="auto"/>
      </w:pPr>
      <w:r>
        <w:continuationSeparator/>
      </w:r>
    </w:p>
  </w:footnote>
  <w:footnote w:id="1">
    <w:p w:rsidR="00560C1F" w:rsidRPr="00560C1F" w:rsidRDefault="00560C1F" w:rsidP="00AA5AB9">
      <w:pPr>
        <w:pStyle w:val="FootnoteText"/>
        <w:spacing w:beforeAutospacing="0"/>
        <w:rPr>
          <w:rFonts w:cs="Times New Roman"/>
          <w:lang w:val="en-ZW"/>
        </w:rPr>
      </w:pPr>
      <w:r w:rsidRPr="00560C1F">
        <w:rPr>
          <w:rStyle w:val="FootnoteReference"/>
          <w:rFonts w:cs="Times New Roman"/>
        </w:rPr>
        <w:footnoteRef/>
      </w:r>
      <w:r w:rsidRPr="00560C1F">
        <w:rPr>
          <w:rFonts w:cs="Times New Roman"/>
        </w:rPr>
        <w:t xml:space="preserve"> </w:t>
      </w:r>
      <w:proofErr w:type="spellStart"/>
      <w:r w:rsidRPr="00560C1F">
        <w:rPr>
          <w:rFonts w:cs="Times New Roman"/>
          <w:lang w:val="en-ZW"/>
        </w:rPr>
        <w:t>Leveson</w:t>
      </w:r>
      <w:proofErr w:type="spellEnd"/>
      <w:r w:rsidRPr="00560C1F">
        <w:rPr>
          <w:rFonts w:cs="Times New Roman"/>
          <w:lang w:val="en-ZW"/>
        </w:rPr>
        <w:t xml:space="preserve"> G. </w:t>
      </w:r>
      <w:r w:rsidRPr="00560C1F">
        <w:rPr>
          <w:rFonts w:cs="Times New Roman"/>
          <w:i/>
          <w:lang w:val="en-ZW"/>
        </w:rPr>
        <w:t>Company Directors Law and Practice</w:t>
      </w:r>
      <w:r w:rsidRPr="00560C1F">
        <w:rPr>
          <w:rFonts w:cs="Times New Roman"/>
          <w:lang w:val="en-ZW"/>
        </w:rPr>
        <w:t xml:space="preserve"> (Durban Butterworths 1970) 134. </w:t>
      </w:r>
    </w:p>
  </w:footnote>
  <w:footnote w:id="2">
    <w:p w:rsidR="00AA5AB9" w:rsidRPr="00CB2B84" w:rsidRDefault="00AA5AB9" w:rsidP="00AA5AB9">
      <w:pPr>
        <w:pStyle w:val="FootnoteText"/>
        <w:spacing w:beforeAutospacing="0"/>
        <w:rPr>
          <w:lang w:val="en-ZW"/>
        </w:rPr>
      </w:pPr>
      <w:r>
        <w:rPr>
          <w:rStyle w:val="FootnoteReference"/>
        </w:rPr>
        <w:footnoteRef/>
      </w:r>
      <w:r>
        <w:rPr>
          <w:lang w:val="en-ZW"/>
        </w:rPr>
        <w:t xml:space="preserve"> </w:t>
      </w:r>
      <w:proofErr w:type="spellStart"/>
      <w:r w:rsidRPr="00CB2B84">
        <w:rPr>
          <w:lang w:val="en-ZW"/>
        </w:rPr>
        <w:t>Leveson</w:t>
      </w:r>
      <w:proofErr w:type="spellEnd"/>
      <w:r w:rsidRPr="00CB2B84">
        <w:rPr>
          <w:lang w:val="en-ZW"/>
        </w:rPr>
        <w:t xml:space="preserve"> G. </w:t>
      </w:r>
      <w:r w:rsidRPr="00CB2B84">
        <w:rPr>
          <w:i/>
          <w:lang w:val="en-ZW"/>
        </w:rPr>
        <w:t>Company Directors Law and Practice</w:t>
      </w:r>
      <w:r w:rsidRPr="00CB2B84">
        <w:rPr>
          <w:lang w:val="en-ZW"/>
        </w:rPr>
        <w:t xml:space="preserve"> (Durban Butterworths 1970) 138.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8283389"/>
      <w:docPartObj>
        <w:docPartGallery w:val="Page Numbers (Top of Page)"/>
        <w:docPartUnique/>
      </w:docPartObj>
    </w:sdtPr>
    <w:sdtEndPr>
      <w:rPr>
        <w:noProof/>
      </w:rPr>
    </w:sdtEndPr>
    <w:sdtContent>
      <w:p w:rsidR="00AE3445" w:rsidRDefault="00AE3445" w:rsidP="00AE3445">
        <w:pPr>
          <w:pStyle w:val="NoSpacing"/>
          <w:jc w:val="right"/>
          <w:rPr>
            <w:noProof/>
          </w:rPr>
        </w:pPr>
        <w:r>
          <w:fldChar w:fldCharType="begin"/>
        </w:r>
        <w:r>
          <w:instrText xml:space="preserve"> PAGE   \* MERGEFORMAT </w:instrText>
        </w:r>
        <w:r>
          <w:fldChar w:fldCharType="separate"/>
        </w:r>
        <w:r w:rsidR="008A6468">
          <w:rPr>
            <w:noProof/>
          </w:rPr>
          <w:t>13</w:t>
        </w:r>
        <w:r>
          <w:rPr>
            <w:noProof/>
          </w:rPr>
          <w:fldChar w:fldCharType="end"/>
        </w:r>
      </w:p>
      <w:p w:rsidR="00AE3445" w:rsidRDefault="00AE3445" w:rsidP="00AE3445">
        <w:pPr>
          <w:pStyle w:val="NoSpacing"/>
          <w:jc w:val="right"/>
          <w:rPr>
            <w:noProof/>
          </w:rPr>
        </w:pPr>
        <w:r>
          <w:rPr>
            <w:noProof/>
          </w:rPr>
          <w:t>HB 04/22</w:t>
        </w:r>
      </w:p>
      <w:p w:rsidR="00AE3445" w:rsidRDefault="00AE3445" w:rsidP="00AE3445">
        <w:pPr>
          <w:pStyle w:val="NoSpacing"/>
          <w:jc w:val="right"/>
          <w:rPr>
            <w:noProof/>
          </w:rPr>
        </w:pPr>
        <w:r>
          <w:rPr>
            <w:noProof/>
          </w:rPr>
          <w:t>HC 291/19</w:t>
        </w:r>
      </w:p>
      <w:p w:rsidR="00AE3445" w:rsidRDefault="00AE3445" w:rsidP="00AE3445">
        <w:pPr>
          <w:pStyle w:val="NoSpacing"/>
          <w:jc w:val="right"/>
        </w:pPr>
        <w:r>
          <w:rPr>
            <w:noProof/>
          </w:rPr>
          <w:t>HC 2915/18</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B4107"/>
    <w:multiLevelType w:val="hybridMultilevel"/>
    <w:tmpl w:val="AC48DB70"/>
    <w:lvl w:ilvl="0" w:tplc="2938B2B8">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10B179D1"/>
    <w:multiLevelType w:val="hybridMultilevel"/>
    <w:tmpl w:val="FC6C792E"/>
    <w:lvl w:ilvl="0" w:tplc="A8B812B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5B32F54"/>
    <w:multiLevelType w:val="hybridMultilevel"/>
    <w:tmpl w:val="341EB24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6606EBF"/>
    <w:multiLevelType w:val="hybridMultilevel"/>
    <w:tmpl w:val="531A8DA0"/>
    <w:lvl w:ilvl="0" w:tplc="73AC20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212D76"/>
    <w:multiLevelType w:val="hybridMultilevel"/>
    <w:tmpl w:val="FC6C792E"/>
    <w:lvl w:ilvl="0" w:tplc="A8B812B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49DC3F34"/>
    <w:multiLevelType w:val="hybridMultilevel"/>
    <w:tmpl w:val="86CE229E"/>
    <w:lvl w:ilvl="0" w:tplc="6C2EA82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5E064C83"/>
    <w:multiLevelType w:val="hybridMultilevel"/>
    <w:tmpl w:val="907209DA"/>
    <w:lvl w:ilvl="0" w:tplc="348AEEF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15:restartNumberingAfterBreak="0">
    <w:nsid w:val="72F73B6B"/>
    <w:multiLevelType w:val="hybridMultilevel"/>
    <w:tmpl w:val="2AAA1EA2"/>
    <w:lvl w:ilvl="0" w:tplc="93DCD4F6">
      <w:start w:val="1"/>
      <w:numFmt w:val="decimal"/>
      <w:lvlText w:val="%1."/>
      <w:lvlJc w:val="left"/>
      <w:pPr>
        <w:ind w:left="720" w:hanging="360"/>
      </w:pPr>
      <w:rPr>
        <w:rFonts w:ascii="Times New Roman" w:eastAsiaTheme="minorHAnsi" w:hAnsi="Times New Roman" w:cstheme="minorBid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7C5B0DAF"/>
    <w:multiLevelType w:val="hybridMultilevel"/>
    <w:tmpl w:val="5D4EF890"/>
    <w:lvl w:ilvl="0" w:tplc="329CE23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7"/>
  </w:num>
  <w:num w:numId="3">
    <w:abstractNumId w:val="0"/>
  </w:num>
  <w:num w:numId="4">
    <w:abstractNumId w:val="5"/>
  </w:num>
  <w:num w:numId="5">
    <w:abstractNumId w:val="6"/>
  </w:num>
  <w:num w:numId="6">
    <w:abstractNumId w:val="2"/>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4E3"/>
    <w:rsid w:val="00001254"/>
    <w:rsid w:val="000052DE"/>
    <w:rsid w:val="000058E1"/>
    <w:rsid w:val="0000713D"/>
    <w:rsid w:val="00007492"/>
    <w:rsid w:val="00011EA9"/>
    <w:rsid w:val="00013023"/>
    <w:rsid w:val="0001532B"/>
    <w:rsid w:val="000157EF"/>
    <w:rsid w:val="0001758B"/>
    <w:rsid w:val="000307AE"/>
    <w:rsid w:val="00036E9E"/>
    <w:rsid w:val="0004133A"/>
    <w:rsid w:val="00046542"/>
    <w:rsid w:val="00050496"/>
    <w:rsid w:val="000506E7"/>
    <w:rsid w:val="00052F20"/>
    <w:rsid w:val="00054A26"/>
    <w:rsid w:val="00061F39"/>
    <w:rsid w:val="0007282F"/>
    <w:rsid w:val="00074091"/>
    <w:rsid w:val="00087FA0"/>
    <w:rsid w:val="0009543F"/>
    <w:rsid w:val="00096F12"/>
    <w:rsid w:val="0009729E"/>
    <w:rsid w:val="000A48B6"/>
    <w:rsid w:val="000A4D6B"/>
    <w:rsid w:val="000B46B0"/>
    <w:rsid w:val="000B505B"/>
    <w:rsid w:val="000B732B"/>
    <w:rsid w:val="000C461D"/>
    <w:rsid w:val="000C4AD3"/>
    <w:rsid w:val="000D28B5"/>
    <w:rsid w:val="000D3408"/>
    <w:rsid w:val="000D7EC4"/>
    <w:rsid w:val="000E3E1A"/>
    <w:rsid w:val="000E5F1F"/>
    <w:rsid w:val="000F59E6"/>
    <w:rsid w:val="00107BC8"/>
    <w:rsid w:val="00113515"/>
    <w:rsid w:val="0011408E"/>
    <w:rsid w:val="00115397"/>
    <w:rsid w:val="00115BEA"/>
    <w:rsid w:val="00122CDA"/>
    <w:rsid w:val="0012354B"/>
    <w:rsid w:val="001521ED"/>
    <w:rsid w:val="00153A75"/>
    <w:rsid w:val="0015781D"/>
    <w:rsid w:val="00160C68"/>
    <w:rsid w:val="001643E4"/>
    <w:rsid w:val="00181B7E"/>
    <w:rsid w:val="00182EFC"/>
    <w:rsid w:val="00190661"/>
    <w:rsid w:val="001A2174"/>
    <w:rsid w:val="001B22A9"/>
    <w:rsid w:val="001D3657"/>
    <w:rsid w:val="001D3AA7"/>
    <w:rsid w:val="001D7A60"/>
    <w:rsid w:val="001D7C0C"/>
    <w:rsid w:val="001E0DE1"/>
    <w:rsid w:val="00204EF0"/>
    <w:rsid w:val="00210657"/>
    <w:rsid w:val="00211668"/>
    <w:rsid w:val="00214C15"/>
    <w:rsid w:val="00215560"/>
    <w:rsid w:val="002156BF"/>
    <w:rsid w:val="00215BA7"/>
    <w:rsid w:val="002179A2"/>
    <w:rsid w:val="00224F86"/>
    <w:rsid w:val="00230918"/>
    <w:rsid w:val="0023540C"/>
    <w:rsid w:val="002374DF"/>
    <w:rsid w:val="0025180B"/>
    <w:rsid w:val="00251A62"/>
    <w:rsid w:val="00262521"/>
    <w:rsid w:val="00262E47"/>
    <w:rsid w:val="00270727"/>
    <w:rsid w:val="00273797"/>
    <w:rsid w:val="00280513"/>
    <w:rsid w:val="0028055E"/>
    <w:rsid w:val="00287A31"/>
    <w:rsid w:val="00291E02"/>
    <w:rsid w:val="00292FF5"/>
    <w:rsid w:val="002A45DC"/>
    <w:rsid w:val="002B0288"/>
    <w:rsid w:val="002B4CBD"/>
    <w:rsid w:val="002C09F3"/>
    <w:rsid w:val="002C4D58"/>
    <w:rsid w:val="002D60C6"/>
    <w:rsid w:val="002D623B"/>
    <w:rsid w:val="002D768A"/>
    <w:rsid w:val="002E2A86"/>
    <w:rsid w:val="002E5AF1"/>
    <w:rsid w:val="002F4C98"/>
    <w:rsid w:val="002F6014"/>
    <w:rsid w:val="003000E2"/>
    <w:rsid w:val="003029C8"/>
    <w:rsid w:val="00302AD2"/>
    <w:rsid w:val="003113CF"/>
    <w:rsid w:val="003116E3"/>
    <w:rsid w:val="003173CF"/>
    <w:rsid w:val="00322B0D"/>
    <w:rsid w:val="00324A2C"/>
    <w:rsid w:val="003275E6"/>
    <w:rsid w:val="00334565"/>
    <w:rsid w:val="003358DE"/>
    <w:rsid w:val="00336976"/>
    <w:rsid w:val="0035174C"/>
    <w:rsid w:val="003621DD"/>
    <w:rsid w:val="0037062F"/>
    <w:rsid w:val="00372491"/>
    <w:rsid w:val="003741EB"/>
    <w:rsid w:val="0037437F"/>
    <w:rsid w:val="00380C19"/>
    <w:rsid w:val="0038524A"/>
    <w:rsid w:val="00387230"/>
    <w:rsid w:val="003874C7"/>
    <w:rsid w:val="00395E1F"/>
    <w:rsid w:val="003975F1"/>
    <w:rsid w:val="00397E2B"/>
    <w:rsid w:val="003A1F68"/>
    <w:rsid w:val="003A3BB4"/>
    <w:rsid w:val="003A419A"/>
    <w:rsid w:val="003B512C"/>
    <w:rsid w:val="003B647E"/>
    <w:rsid w:val="003C1B7B"/>
    <w:rsid w:val="003C5D07"/>
    <w:rsid w:val="003C7EE7"/>
    <w:rsid w:val="003D3DD8"/>
    <w:rsid w:val="003E2AA9"/>
    <w:rsid w:val="003E3240"/>
    <w:rsid w:val="003E3A01"/>
    <w:rsid w:val="003F248B"/>
    <w:rsid w:val="0040000F"/>
    <w:rsid w:val="00405F8A"/>
    <w:rsid w:val="004075B0"/>
    <w:rsid w:val="00407CE9"/>
    <w:rsid w:val="004103B0"/>
    <w:rsid w:val="00422C9B"/>
    <w:rsid w:val="00426A5B"/>
    <w:rsid w:val="0042722C"/>
    <w:rsid w:val="00440875"/>
    <w:rsid w:val="004535AE"/>
    <w:rsid w:val="0045475F"/>
    <w:rsid w:val="0045488D"/>
    <w:rsid w:val="0045771D"/>
    <w:rsid w:val="00457DAC"/>
    <w:rsid w:val="00464C97"/>
    <w:rsid w:val="00475840"/>
    <w:rsid w:val="00476492"/>
    <w:rsid w:val="00483026"/>
    <w:rsid w:val="004869C2"/>
    <w:rsid w:val="0049762E"/>
    <w:rsid w:val="004A01B7"/>
    <w:rsid w:val="004A45DB"/>
    <w:rsid w:val="004A5931"/>
    <w:rsid w:val="004A6568"/>
    <w:rsid w:val="004B0A26"/>
    <w:rsid w:val="004B75FF"/>
    <w:rsid w:val="004C2A64"/>
    <w:rsid w:val="004C6958"/>
    <w:rsid w:val="004D579D"/>
    <w:rsid w:val="004E02FD"/>
    <w:rsid w:val="004E5516"/>
    <w:rsid w:val="004F1B92"/>
    <w:rsid w:val="004F723F"/>
    <w:rsid w:val="004F7F78"/>
    <w:rsid w:val="00500A38"/>
    <w:rsid w:val="00507524"/>
    <w:rsid w:val="0051298A"/>
    <w:rsid w:val="00527F4A"/>
    <w:rsid w:val="0053096B"/>
    <w:rsid w:val="00532387"/>
    <w:rsid w:val="00536D6E"/>
    <w:rsid w:val="00542266"/>
    <w:rsid w:val="00543B69"/>
    <w:rsid w:val="00552D7E"/>
    <w:rsid w:val="00555E96"/>
    <w:rsid w:val="00557BE5"/>
    <w:rsid w:val="00560C1F"/>
    <w:rsid w:val="00560E5B"/>
    <w:rsid w:val="005631B7"/>
    <w:rsid w:val="0057019F"/>
    <w:rsid w:val="005722FE"/>
    <w:rsid w:val="00574749"/>
    <w:rsid w:val="0059302F"/>
    <w:rsid w:val="00593434"/>
    <w:rsid w:val="00594095"/>
    <w:rsid w:val="005972E8"/>
    <w:rsid w:val="005A0991"/>
    <w:rsid w:val="005A1E3F"/>
    <w:rsid w:val="005A2E03"/>
    <w:rsid w:val="005A3C82"/>
    <w:rsid w:val="005A45C4"/>
    <w:rsid w:val="005A5075"/>
    <w:rsid w:val="005B3959"/>
    <w:rsid w:val="005B43AA"/>
    <w:rsid w:val="005B49CC"/>
    <w:rsid w:val="005C23DA"/>
    <w:rsid w:val="005C5C80"/>
    <w:rsid w:val="005D20D8"/>
    <w:rsid w:val="005D5CEE"/>
    <w:rsid w:val="005E5174"/>
    <w:rsid w:val="005E772B"/>
    <w:rsid w:val="005F1623"/>
    <w:rsid w:val="005F3831"/>
    <w:rsid w:val="00601ECA"/>
    <w:rsid w:val="00603CC2"/>
    <w:rsid w:val="00604679"/>
    <w:rsid w:val="0060588D"/>
    <w:rsid w:val="00606896"/>
    <w:rsid w:val="006074B6"/>
    <w:rsid w:val="0060798B"/>
    <w:rsid w:val="00620554"/>
    <w:rsid w:val="00620EAB"/>
    <w:rsid w:val="00621099"/>
    <w:rsid w:val="0062258E"/>
    <w:rsid w:val="00624D12"/>
    <w:rsid w:val="00627674"/>
    <w:rsid w:val="006327B5"/>
    <w:rsid w:val="0063416E"/>
    <w:rsid w:val="0063752F"/>
    <w:rsid w:val="006411B9"/>
    <w:rsid w:val="00653899"/>
    <w:rsid w:val="00653D35"/>
    <w:rsid w:val="00670396"/>
    <w:rsid w:val="006719AC"/>
    <w:rsid w:val="006727B5"/>
    <w:rsid w:val="006769BF"/>
    <w:rsid w:val="00681B01"/>
    <w:rsid w:val="00681E82"/>
    <w:rsid w:val="00683FD7"/>
    <w:rsid w:val="00685CB5"/>
    <w:rsid w:val="006929F1"/>
    <w:rsid w:val="00695C15"/>
    <w:rsid w:val="006A05E0"/>
    <w:rsid w:val="006A0DC0"/>
    <w:rsid w:val="006A47F1"/>
    <w:rsid w:val="006A5599"/>
    <w:rsid w:val="006A5781"/>
    <w:rsid w:val="006B21F6"/>
    <w:rsid w:val="006B7FA5"/>
    <w:rsid w:val="006C2CE2"/>
    <w:rsid w:val="006D71CE"/>
    <w:rsid w:val="006E18EB"/>
    <w:rsid w:val="006E4F9D"/>
    <w:rsid w:val="006E6EC2"/>
    <w:rsid w:val="006F1627"/>
    <w:rsid w:val="006F24FB"/>
    <w:rsid w:val="006F48B4"/>
    <w:rsid w:val="007037C7"/>
    <w:rsid w:val="00704DB4"/>
    <w:rsid w:val="00710567"/>
    <w:rsid w:val="00711488"/>
    <w:rsid w:val="00720330"/>
    <w:rsid w:val="00722D17"/>
    <w:rsid w:val="00725678"/>
    <w:rsid w:val="00727DDC"/>
    <w:rsid w:val="007356A7"/>
    <w:rsid w:val="00736D89"/>
    <w:rsid w:val="007374BB"/>
    <w:rsid w:val="00744B16"/>
    <w:rsid w:val="00746589"/>
    <w:rsid w:val="007465CB"/>
    <w:rsid w:val="00746ABD"/>
    <w:rsid w:val="0074743F"/>
    <w:rsid w:val="00751E0F"/>
    <w:rsid w:val="00754A66"/>
    <w:rsid w:val="007554AC"/>
    <w:rsid w:val="0077194E"/>
    <w:rsid w:val="00771BAE"/>
    <w:rsid w:val="0077733D"/>
    <w:rsid w:val="00784FAF"/>
    <w:rsid w:val="0078597F"/>
    <w:rsid w:val="007901BF"/>
    <w:rsid w:val="00790913"/>
    <w:rsid w:val="007A3737"/>
    <w:rsid w:val="007A3AD9"/>
    <w:rsid w:val="007A6231"/>
    <w:rsid w:val="007A63A4"/>
    <w:rsid w:val="007A6A57"/>
    <w:rsid w:val="007C44E3"/>
    <w:rsid w:val="007D2367"/>
    <w:rsid w:val="007D3802"/>
    <w:rsid w:val="007D6093"/>
    <w:rsid w:val="007E6A18"/>
    <w:rsid w:val="007E76AF"/>
    <w:rsid w:val="008032A7"/>
    <w:rsid w:val="008061BA"/>
    <w:rsid w:val="00807CCF"/>
    <w:rsid w:val="0081199C"/>
    <w:rsid w:val="00811D91"/>
    <w:rsid w:val="0081327E"/>
    <w:rsid w:val="008141AD"/>
    <w:rsid w:val="00817656"/>
    <w:rsid w:val="008208DA"/>
    <w:rsid w:val="00823721"/>
    <w:rsid w:val="0082573B"/>
    <w:rsid w:val="00825780"/>
    <w:rsid w:val="0082580B"/>
    <w:rsid w:val="00825B6B"/>
    <w:rsid w:val="00825D05"/>
    <w:rsid w:val="00841532"/>
    <w:rsid w:val="00841A9B"/>
    <w:rsid w:val="00845A27"/>
    <w:rsid w:val="0085793D"/>
    <w:rsid w:val="008611F2"/>
    <w:rsid w:val="008659BC"/>
    <w:rsid w:val="00867D47"/>
    <w:rsid w:val="0087507E"/>
    <w:rsid w:val="00877367"/>
    <w:rsid w:val="00881780"/>
    <w:rsid w:val="00883F18"/>
    <w:rsid w:val="008846F5"/>
    <w:rsid w:val="00886B88"/>
    <w:rsid w:val="008903C8"/>
    <w:rsid w:val="00891FCF"/>
    <w:rsid w:val="00896ABB"/>
    <w:rsid w:val="008A1BF9"/>
    <w:rsid w:val="008A4320"/>
    <w:rsid w:val="008A6468"/>
    <w:rsid w:val="008A6C4E"/>
    <w:rsid w:val="008B0FCC"/>
    <w:rsid w:val="008D6256"/>
    <w:rsid w:val="008E0C90"/>
    <w:rsid w:val="008E30BC"/>
    <w:rsid w:val="008E787A"/>
    <w:rsid w:val="008F0209"/>
    <w:rsid w:val="008F30BD"/>
    <w:rsid w:val="00903162"/>
    <w:rsid w:val="00905676"/>
    <w:rsid w:val="00911148"/>
    <w:rsid w:val="00913EAA"/>
    <w:rsid w:val="009205CE"/>
    <w:rsid w:val="00926D5B"/>
    <w:rsid w:val="00931EB2"/>
    <w:rsid w:val="00933433"/>
    <w:rsid w:val="00934CBA"/>
    <w:rsid w:val="009432F1"/>
    <w:rsid w:val="00944B0A"/>
    <w:rsid w:val="0094503A"/>
    <w:rsid w:val="00951421"/>
    <w:rsid w:val="00951440"/>
    <w:rsid w:val="00951AE2"/>
    <w:rsid w:val="00952FD0"/>
    <w:rsid w:val="00955B93"/>
    <w:rsid w:val="009562BD"/>
    <w:rsid w:val="00957D15"/>
    <w:rsid w:val="00960F65"/>
    <w:rsid w:val="00967431"/>
    <w:rsid w:val="00971035"/>
    <w:rsid w:val="009805A7"/>
    <w:rsid w:val="00980768"/>
    <w:rsid w:val="00986507"/>
    <w:rsid w:val="0098650C"/>
    <w:rsid w:val="0098705E"/>
    <w:rsid w:val="009976EF"/>
    <w:rsid w:val="009A2A20"/>
    <w:rsid w:val="009A4C6E"/>
    <w:rsid w:val="009A6771"/>
    <w:rsid w:val="009B1184"/>
    <w:rsid w:val="009B6940"/>
    <w:rsid w:val="009E3519"/>
    <w:rsid w:val="009E4EA5"/>
    <w:rsid w:val="009F0459"/>
    <w:rsid w:val="009F1081"/>
    <w:rsid w:val="009F6716"/>
    <w:rsid w:val="009F793E"/>
    <w:rsid w:val="00A05706"/>
    <w:rsid w:val="00A15642"/>
    <w:rsid w:val="00A15C68"/>
    <w:rsid w:val="00A166B0"/>
    <w:rsid w:val="00A16FC0"/>
    <w:rsid w:val="00A22244"/>
    <w:rsid w:val="00A22AEB"/>
    <w:rsid w:val="00A237E8"/>
    <w:rsid w:val="00A23F2C"/>
    <w:rsid w:val="00A25F30"/>
    <w:rsid w:val="00A3101B"/>
    <w:rsid w:val="00A32300"/>
    <w:rsid w:val="00A323F6"/>
    <w:rsid w:val="00A325B7"/>
    <w:rsid w:val="00A37073"/>
    <w:rsid w:val="00A41355"/>
    <w:rsid w:val="00A414CE"/>
    <w:rsid w:val="00A4280D"/>
    <w:rsid w:val="00A55D81"/>
    <w:rsid w:val="00A57C6D"/>
    <w:rsid w:val="00A600CE"/>
    <w:rsid w:val="00A614E2"/>
    <w:rsid w:val="00A61668"/>
    <w:rsid w:val="00A61DC1"/>
    <w:rsid w:val="00A62203"/>
    <w:rsid w:val="00A66F22"/>
    <w:rsid w:val="00A74B14"/>
    <w:rsid w:val="00A757A0"/>
    <w:rsid w:val="00A847DE"/>
    <w:rsid w:val="00A871FD"/>
    <w:rsid w:val="00A94D5A"/>
    <w:rsid w:val="00AA4FBE"/>
    <w:rsid w:val="00AA5AB9"/>
    <w:rsid w:val="00AA63F3"/>
    <w:rsid w:val="00AA6FAB"/>
    <w:rsid w:val="00AB03F6"/>
    <w:rsid w:val="00AB4AC3"/>
    <w:rsid w:val="00AB5284"/>
    <w:rsid w:val="00AB61D7"/>
    <w:rsid w:val="00AB71D7"/>
    <w:rsid w:val="00AC4D70"/>
    <w:rsid w:val="00AD3AF6"/>
    <w:rsid w:val="00AD635D"/>
    <w:rsid w:val="00AE297F"/>
    <w:rsid w:val="00AE2BD6"/>
    <w:rsid w:val="00AE3445"/>
    <w:rsid w:val="00AE46FC"/>
    <w:rsid w:val="00AE4FB4"/>
    <w:rsid w:val="00AF3523"/>
    <w:rsid w:val="00AF59FB"/>
    <w:rsid w:val="00AF78DC"/>
    <w:rsid w:val="00AF7BA3"/>
    <w:rsid w:val="00B0079F"/>
    <w:rsid w:val="00B1233C"/>
    <w:rsid w:val="00B213F7"/>
    <w:rsid w:val="00B246F2"/>
    <w:rsid w:val="00B250BC"/>
    <w:rsid w:val="00B41873"/>
    <w:rsid w:val="00B5091A"/>
    <w:rsid w:val="00B519F4"/>
    <w:rsid w:val="00B52CD1"/>
    <w:rsid w:val="00B637D8"/>
    <w:rsid w:val="00B63DF7"/>
    <w:rsid w:val="00B704FF"/>
    <w:rsid w:val="00B81F26"/>
    <w:rsid w:val="00B845FD"/>
    <w:rsid w:val="00B877AF"/>
    <w:rsid w:val="00B90971"/>
    <w:rsid w:val="00BA4011"/>
    <w:rsid w:val="00BA49B5"/>
    <w:rsid w:val="00BA77E9"/>
    <w:rsid w:val="00BC0136"/>
    <w:rsid w:val="00BC2C67"/>
    <w:rsid w:val="00BC6482"/>
    <w:rsid w:val="00BD4199"/>
    <w:rsid w:val="00BE1103"/>
    <w:rsid w:val="00BE1CCE"/>
    <w:rsid w:val="00BE6405"/>
    <w:rsid w:val="00BE7CCD"/>
    <w:rsid w:val="00BF0A8F"/>
    <w:rsid w:val="00BF6033"/>
    <w:rsid w:val="00C01E56"/>
    <w:rsid w:val="00C02B53"/>
    <w:rsid w:val="00C05E2B"/>
    <w:rsid w:val="00C079F6"/>
    <w:rsid w:val="00C14ACF"/>
    <w:rsid w:val="00C15F22"/>
    <w:rsid w:val="00C20FE2"/>
    <w:rsid w:val="00C33256"/>
    <w:rsid w:val="00C349AC"/>
    <w:rsid w:val="00C42701"/>
    <w:rsid w:val="00C42BD9"/>
    <w:rsid w:val="00C62617"/>
    <w:rsid w:val="00C63403"/>
    <w:rsid w:val="00C65B87"/>
    <w:rsid w:val="00C67860"/>
    <w:rsid w:val="00C67AE1"/>
    <w:rsid w:val="00C72809"/>
    <w:rsid w:val="00C7576E"/>
    <w:rsid w:val="00C76397"/>
    <w:rsid w:val="00C77BCA"/>
    <w:rsid w:val="00CA4004"/>
    <w:rsid w:val="00CB2B84"/>
    <w:rsid w:val="00CC3EFC"/>
    <w:rsid w:val="00CC417B"/>
    <w:rsid w:val="00CC69F3"/>
    <w:rsid w:val="00CC6B4F"/>
    <w:rsid w:val="00CF1764"/>
    <w:rsid w:val="00CF2E01"/>
    <w:rsid w:val="00CF2EFB"/>
    <w:rsid w:val="00CF4A62"/>
    <w:rsid w:val="00D02030"/>
    <w:rsid w:val="00D03454"/>
    <w:rsid w:val="00D10607"/>
    <w:rsid w:val="00D10B08"/>
    <w:rsid w:val="00D1264F"/>
    <w:rsid w:val="00D155E6"/>
    <w:rsid w:val="00D17022"/>
    <w:rsid w:val="00D208D6"/>
    <w:rsid w:val="00D20C62"/>
    <w:rsid w:val="00D21E1E"/>
    <w:rsid w:val="00D237A3"/>
    <w:rsid w:val="00D365AE"/>
    <w:rsid w:val="00D414ED"/>
    <w:rsid w:val="00D4271B"/>
    <w:rsid w:val="00D51092"/>
    <w:rsid w:val="00D52121"/>
    <w:rsid w:val="00D57C8C"/>
    <w:rsid w:val="00D627AC"/>
    <w:rsid w:val="00D678F5"/>
    <w:rsid w:val="00D70233"/>
    <w:rsid w:val="00D845CA"/>
    <w:rsid w:val="00DA14FB"/>
    <w:rsid w:val="00DA1F5C"/>
    <w:rsid w:val="00DA2BDD"/>
    <w:rsid w:val="00DB32B4"/>
    <w:rsid w:val="00DB699C"/>
    <w:rsid w:val="00DB6E13"/>
    <w:rsid w:val="00DC0F81"/>
    <w:rsid w:val="00DD1E2A"/>
    <w:rsid w:val="00DD45E0"/>
    <w:rsid w:val="00DD549E"/>
    <w:rsid w:val="00DE699A"/>
    <w:rsid w:val="00DF5A83"/>
    <w:rsid w:val="00E033B8"/>
    <w:rsid w:val="00E05218"/>
    <w:rsid w:val="00E0701E"/>
    <w:rsid w:val="00E16524"/>
    <w:rsid w:val="00E27189"/>
    <w:rsid w:val="00E3091A"/>
    <w:rsid w:val="00E37D32"/>
    <w:rsid w:val="00E431DF"/>
    <w:rsid w:val="00E45436"/>
    <w:rsid w:val="00E522C8"/>
    <w:rsid w:val="00E55830"/>
    <w:rsid w:val="00E708B2"/>
    <w:rsid w:val="00E75EA2"/>
    <w:rsid w:val="00E77C5E"/>
    <w:rsid w:val="00E77E63"/>
    <w:rsid w:val="00E86051"/>
    <w:rsid w:val="00E8796B"/>
    <w:rsid w:val="00E93ECF"/>
    <w:rsid w:val="00E93EF8"/>
    <w:rsid w:val="00E94A02"/>
    <w:rsid w:val="00E94F58"/>
    <w:rsid w:val="00E96A28"/>
    <w:rsid w:val="00EA08ED"/>
    <w:rsid w:val="00EA185E"/>
    <w:rsid w:val="00EB2E29"/>
    <w:rsid w:val="00EB4687"/>
    <w:rsid w:val="00EB53A9"/>
    <w:rsid w:val="00EB75B7"/>
    <w:rsid w:val="00EC26A0"/>
    <w:rsid w:val="00EC552E"/>
    <w:rsid w:val="00ED0944"/>
    <w:rsid w:val="00EF50BB"/>
    <w:rsid w:val="00F04745"/>
    <w:rsid w:val="00F074E1"/>
    <w:rsid w:val="00F125B6"/>
    <w:rsid w:val="00F1707F"/>
    <w:rsid w:val="00F20A67"/>
    <w:rsid w:val="00F23272"/>
    <w:rsid w:val="00F24363"/>
    <w:rsid w:val="00F309BE"/>
    <w:rsid w:val="00F35684"/>
    <w:rsid w:val="00F35EC3"/>
    <w:rsid w:val="00F42381"/>
    <w:rsid w:val="00F52DDC"/>
    <w:rsid w:val="00F55966"/>
    <w:rsid w:val="00F66C2D"/>
    <w:rsid w:val="00F71C8A"/>
    <w:rsid w:val="00F81ED0"/>
    <w:rsid w:val="00F8209E"/>
    <w:rsid w:val="00F829D7"/>
    <w:rsid w:val="00F86D3F"/>
    <w:rsid w:val="00F87188"/>
    <w:rsid w:val="00F94194"/>
    <w:rsid w:val="00FA32F7"/>
    <w:rsid w:val="00FA437D"/>
    <w:rsid w:val="00FB6893"/>
    <w:rsid w:val="00FB6DF3"/>
    <w:rsid w:val="00FB6F98"/>
    <w:rsid w:val="00FC1AA1"/>
    <w:rsid w:val="00FC3AFB"/>
    <w:rsid w:val="00FC449B"/>
    <w:rsid w:val="00FD1B58"/>
    <w:rsid w:val="00FD2424"/>
    <w:rsid w:val="00FD4108"/>
    <w:rsid w:val="00FD5935"/>
    <w:rsid w:val="00FE025D"/>
    <w:rsid w:val="00FE060D"/>
    <w:rsid w:val="00FE0EFF"/>
    <w:rsid w:val="00FE2AC9"/>
    <w:rsid w:val="00FE41B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918786-2313-42D0-B0F8-C21570C4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4E3"/>
    <w:pPr>
      <w:spacing w:before="100" w:beforeAutospacing="1" w:after="100" w:afterAutospacing="1" w:line="36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44E3"/>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074091"/>
    <w:pPr>
      <w:ind w:left="720"/>
      <w:contextualSpacing/>
    </w:pPr>
  </w:style>
  <w:style w:type="paragraph" w:customStyle="1" w:styleId="Default">
    <w:name w:val="Default"/>
    <w:rsid w:val="00A3101B"/>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560C1F"/>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560C1F"/>
    <w:rPr>
      <w:rFonts w:ascii="Times New Roman" w:hAnsi="Times New Roman"/>
      <w:sz w:val="20"/>
      <w:szCs w:val="20"/>
      <w:lang w:val="en-US"/>
    </w:rPr>
  </w:style>
  <w:style w:type="character" w:styleId="FootnoteReference">
    <w:name w:val="footnote reference"/>
    <w:basedOn w:val="DefaultParagraphFont"/>
    <w:uiPriority w:val="99"/>
    <w:semiHidden/>
    <w:unhideWhenUsed/>
    <w:rsid w:val="00560C1F"/>
    <w:rPr>
      <w:vertAlign w:val="superscript"/>
    </w:rPr>
  </w:style>
  <w:style w:type="paragraph" w:styleId="Header">
    <w:name w:val="header"/>
    <w:basedOn w:val="Normal"/>
    <w:link w:val="HeaderChar"/>
    <w:uiPriority w:val="99"/>
    <w:unhideWhenUsed/>
    <w:rsid w:val="00AE344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E3445"/>
    <w:rPr>
      <w:rFonts w:ascii="Times New Roman" w:hAnsi="Times New Roman"/>
      <w:sz w:val="24"/>
      <w:lang w:val="en-US"/>
    </w:rPr>
  </w:style>
  <w:style w:type="paragraph" w:styleId="Footer">
    <w:name w:val="footer"/>
    <w:basedOn w:val="Normal"/>
    <w:link w:val="FooterChar"/>
    <w:uiPriority w:val="99"/>
    <w:unhideWhenUsed/>
    <w:rsid w:val="00AE344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E3445"/>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9AD15-5C8D-4AD0-9E37-61CB7F896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13</Pages>
  <Words>4144</Words>
  <Characters>23621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89</cp:revision>
  <dcterms:created xsi:type="dcterms:W3CDTF">2021-12-04T04:38:00Z</dcterms:created>
  <dcterms:modified xsi:type="dcterms:W3CDTF">2022-01-05T08:05:00Z</dcterms:modified>
</cp:coreProperties>
</file>