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DF" w:rsidRDefault="002D1DDF"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AMANDA BERKOWITZ (NEE COHEN)</w:t>
      </w:r>
    </w:p>
    <w:p w:rsidR="002D1DDF" w:rsidRDefault="00602BDA" w:rsidP="00550CAB">
      <w:pPr>
        <w:pStyle w:val="NoSpacing"/>
        <w:rPr>
          <w:rFonts w:ascii="Times New Roman" w:hAnsi="Times New Roman" w:cs="Times New Roman"/>
          <w:sz w:val="24"/>
          <w:szCs w:val="24"/>
        </w:rPr>
      </w:pPr>
      <w:r>
        <w:rPr>
          <w:rFonts w:ascii="Times New Roman" w:hAnsi="Times New Roman" w:cs="Times New Roman"/>
          <w:sz w:val="24"/>
          <w:szCs w:val="24"/>
        </w:rPr>
        <w:t>a</w:t>
      </w:r>
      <w:r w:rsidR="002D1DDF">
        <w:rPr>
          <w:rFonts w:ascii="Times New Roman" w:hAnsi="Times New Roman" w:cs="Times New Roman"/>
          <w:sz w:val="24"/>
          <w:szCs w:val="24"/>
        </w:rPr>
        <w:t>nd</w:t>
      </w:r>
    </w:p>
    <w:p w:rsidR="002D1DDF" w:rsidRDefault="002D1DDF" w:rsidP="00550CAB">
      <w:pPr>
        <w:pStyle w:val="NoSpacing"/>
        <w:rPr>
          <w:rFonts w:ascii="Times New Roman" w:hAnsi="Times New Roman" w:cs="Times New Roman"/>
          <w:sz w:val="24"/>
          <w:szCs w:val="24"/>
        </w:rPr>
      </w:pPr>
      <w:r>
        <w:rPr>
          <w:rFonts w:ascii="Times New Roman" w:hAnsi="Times New Roman" w:cs="Times New Roman"/>
          <w:sz w:val="24"/>
          <w:szCs w:val="24"/>
        </w:rPr>
        <w:t>WAVERLEY PLASTICS (PRIVATE) LIMITED</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2D1DDF" w:rsidRDefault="002D1DDF" w:rsidP="001A4E4C">
      <w:pPr>
        <w:pStyle w:val="NoSpacing"/>
        <w:rPr>
          <w:rFonts w:ascii="Times New Roman" w:hAnsi="Times New Roman" w:cs="Times New Roman"/>
          <w:sz w:val="24"/>
          <w:szCs w:val="24"/>
        </w:rPr>
      </w:pPr>
      <w:r>
        <w:rPr>
          <w:rFonts w:ascii="Times New Roman" w:hAnsi="Times New Roman" w:cs="Times New Roman"/>
          <w:sz w:val="24"/>
          <w:szCs w:val="24"/>
        </w:rPr>
        <w:t>ARON VICO</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and</w:t>
      </w:r>
    </w:p>
    <w:p w:rsidR="002D1DDF" w:rsidRDefault="002D1DDF" w:rsidP="001A4E4C">
      <w:pPr>
        <w:pStyle w:val="NoSpacing"/>
        <w:rPr>
          <w:rFonts w:ascii="Times New Roman" w:hAnsi="Times New Roman" w:cs="Times New Roman"/>
          <w:sz w:val="24"/>
          <w:szCs w:val="24"/>
        </w:rPr>
      </w:pPr>
      <w:r>
        <w:rPr>
          <w:rFonts w:ascii="Times New Roman" w:hAnsi="Times New Roman" w:cs="Times New Roman"/>
          <w:sz w:val="24"/>
          <w:szCs w:val="24"/>
        </w:rPr>
        <w:t>AA OMAR AND COMPANY</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And</w:t>
      </w:r>
    </w:p>
    <w:p w:rsidR="002D1DDF" w:rsidRDefault="002D1DDF" w:rsidP="001A4E4C">
      <w:pPr>
        <w:pStyle w:val="NoSpacing"/>
        <w:rPr>
          <w:rFonts w:ascii="Times New Roman" w:hAnsi="Times New Roman" w:cs="Times New Roman"/>
          <w:sz w:val="24"/>
          <w:szCs w:val="24"/>
        </w:rPr>
      </w:pPr>
      <w:r>
        <w:rPr>
          <w:rFonts w:ascii="Times New Roman" w:hAnsi="Times New Roman" w:cs="Times New Roman"/>
          <w:sz w:val="24"/>
          <w:szCs w:val="24"/>
        </w:rPr>
        <w:t>REGISTRAR OF COMPANIES N.O.</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2D1DDF">
        <w:rPr>
          <w:rFonts w:ascii="Times New Roman" w:hAnsi="Times New Roman" w:cs="Times New Roman"/>
          <w:sz w:val="24"/>
          <w:szCs w:val="24"/>
        </w:rPr>
        <w:t>1</w:t>
      </w:r>
      <w:r w:rsidR="00902F54">
        <w:rPr>
          <w:rFonts w:ascii="Times New Roman" w:hAnsi="Times New Roman" w:cs="Times New Roman"/>
          <w:sz w:val="24"/>
          <w:szCs w:val="24"/>
        </w:rPr>
        <w:t>5</w:t>
      </w:r>
      <w:r w:rsidR="002D1DDF">
        <w:rPr>
          <w:rFonts w:ascii="Times New Roman" w:hAnsi="Times New Roman" w:cs="Times New Roman"/>
          <w:sz w:val="24"/>
          <w:szCs w:val="24"/>
        </w:rPr>
        <w:t>, 18, 22</w:t>
      </w:r>
      <w:r w:rsidR="001A4E4C">
        <w:rPr>
          <w:rFonts w:ascii="Times New Roman" w:hAnsi="Times New Roman" w:cs="Times New Roman"/>
          <w:sz w:val="24"/>
          <w:szCs w:val="24"/>
        </w:rPr>
        <w:t xml:space="preserve"> March</w:t>
      </w:r>
      <w:r w:rsidR="00902F54">
        <w:rPr>
          <w:rFonts w:ascii="Times New Roman" w:hAnsi="Times New Roman" w:cs="Times New Roman"/>
          <w:sz w:val="24"/>
          <w:szCs w:val="24"/>
        </w:rPr>
        <w:t xml:space="preserve"> &amp;</w:t>
      </w:r>
      <w:r w:rsidR="001A4E4C">
        <w:rPr>
          <w:rFonts w:ascii="Times New Roman" w:hAnsi="Times New Roman" w:cs="Times New Roman"/>
          <w:sz w:val="24"/>
          <w:szCs w:val="24"/>
        </w:rPr>
        <w:t xml:space="preserve"> </w:t>
      </w:r>
      <w:r w:rsidR="00A20452">
        <w:rPr>
          <w:rFonts w:ascii="Times New Roman" w:hAnsi="Times New Roman" w:cs="Times New Roman"/>
          <w:sz w:val="24"/>
          <w:szCs w:val="24"/>
        </w:rPr>
        <w:t>12</w:t>
      </w:r>
      <w:r w:rsidR="002D1DDF">
        <w:rPr>
          <w:rFonts w:ascii="Times New Roman" w:hAnsi="Times New Roman" w:cs="Times New Roman"/>
          <w:sz w:val="24"/>
          <w:szCs w:val="24"/>
        </w:rPr>
        <w:t xml:space="preserve"> May</w:t>
      </w:r>
      <w:r w:rsidR="001A4E4C">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2D1DDF">
        <w:rPr>
          <w:rFonts w:ascii="Times New Roman" w:hAnsi="Times New Roman" w:cs="Times New Roman"/>
          <w:b/>
          <w:sz w:val="24"/>
          <w:szCs w:val="24"/>
        </w:rPr>
        <w:t>Special plea</w:t>
      </w:r>
    </w:p>
    <w:p w:rsidR="00902F54" w:rsidRDefault="00902F54"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F40BC8" w:rsidP="00AD30D7">
      <w:pPr>
        <w:spacing w:after="0" w:line="240" w:lineRule="auto"/>
        <w:rPr>
          <w:rFonts w:ascii="Times New Roman" w:hAnsi="Times New Roman" w:cs="Times New Roman"/>
          <w:sz w:val="24"/>
          <w:szCs w:val="24"/>
        </w:rPr>
      </w:pPr>
      <w:r w:rsidRPr="00602BDA">
        <w:rPr>
          <w:rFonts w:ascii="Times New Roman" w:hAnsi="Times New Roman" w:cs="Times New Roman"/>
          <w:sz w:val="24"/>
          <w:szCs w:val="24"/>
        </w:rPr>
        <w:t>M</w:t>
      </w:r>
      <w:r w:rsidR="002D1DDF" w:rsidRPr="00602BDA">
        <w:rPr>
          <w:rFonts w:ascii="Times New Roman" w:hAnsi="Times New Roman" w:cs="Times New Roman"/>
          <w:sz w:val="24"/>
          <w:szCs w:val="24"/>
        </w:rPr>
        <w:t>r</w:t>
      </w:r>
      <w:r w:rsidR="002D1DDF">
        <w:rPr>
          <w:rFonts w:ascii="Times New Roman" w:hAnsi="Times New Roman" w:cs="Times New Roman"/>
          <w:i/>
          <w:sz w:val="24"/>
          <w:szCs w:val="24"/>
        </w:rPr>
        <w:t xml:space="preserve"> T Biti</w:t>
      </w:r>
      <w:r w:rsidR="00902F54">
        <w:rPr>
          <w:rFonts w:ascii="Times New Roman" w:hAnsi="Times New Roman" w:cs="Times New Roman"/>
          <w:i/>
          <w:sz w:val="24"/>
          <w:szCs w:val="24"/>
        </w:rPr>
        <w:t>,</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 xml:space="preserve">for the </w:t>
      </w:r>
      <w:r w:rsidR="007337D3">
        <w:rPr>
          <w:rFonts w:ascii="Times New Roman" w:hAnsi="Times New Roman" w:cs="Times New Roman"/>
          <w:sz w:val="24"/>
          <w:szCs w:val="24"/>
        </w:rPr>
        <w:t>plaintiffs</w:t>
      </w:r>
    </w:p>
    <w:p w:rsidR="001245CF" w:rsidRDefault="001A4E4C" w:rsidP="004877F9">
      <w:pPr>
        <w:spacing w:after="0" w:line="240" w:lineRule="auto"/>
        <w:rPr>
          <w:rFonts w:ascii="Times New Roman" w:hAnsi="Times New Roman" w:cs="Times New Roman"/>
          <w:sz w:val="24"/>
          <w:szCs w:val="24"/>
        </w:rPr>
      </w:pPr>
      <w:r w:rsidRPr="00602BDA">
        <w:rPr>
          <w:rFonts w:ascii="Times New Roman" w:hAnsi="Times New Roman" w:cs="Times New Roman"/>
          <w:sz w:val="24"/>
          <w:szCs w:val="24"/>
        </w:rPr>
        <w:t>M</w:t>
      </w:r>
      <w:r w:rsidR="002D1DDF" w:rsidRPr="00602BDA">
        <w:rPr>
          <w:rFonts w:ascii="Times New Roman" w:hAnsi="Times New Roman" w:cs="Times New Roman"/>
          <w:sz w:val="24"/>
          <w:szCs w:val="24"/>
        </w:rPr>
        <w:t>r</w:t>
      </w:r>
      <w:r w:rsidR="002D1DDF">
        <w:rPr>
          <w:rFonts w:ascii="Times New Roman" w:hAnsi="Times New Roman" w:cs="Times New Roman"/>
          <w:i/>
          <w:sz w:val="24"/>
          <w:szCs w:val="24"/>
        </w:rPr>
        <w:t xml:space="preserve"> H Mutasa</w:t>
      </w:r>
      <w:r w:rsidR="00902F54">
        <w:rPr>
          <w:rFonts w:ascii="Times New Roman" w:hAnsi="Times New Roman" w:cs="Times New Roman"/>
          <w:i/>
          <w:sz w:val="24"/>
          <w:szCs w:val="24"/>
        </w:rPr>
        <w:t xml:space="preserve">, </w:t>
      </w:r>
      <w:r w:rsidR="00902F54">
        <w:rPr>
          <w:rFonts w:ascii="Times New Roman" w:hAnsi="Times New Roman" w:cs="Times New Roman"/>
          <w:sz w:val="24"/>
          <w:szCs w:val="24"/>
        </w:rPr>
        <w:t>for</w:t>
      </w:r>
      <w:r w:rsidR="00DA4E3D">
        <w:rPr>
          <w:rFonts w:ascii="Times New Roman" w:hAnsi="Times New Roman" w:cs="Times New Roman"/>
          <w:sz w:val="24"/>
          <w:szCs w:val="24"/>
        </w:rPr>
        <w:t xml:space="preserve"> </w:t>
      </w:r>
      <w:r w:rsidR="00902F54">
        <w:rPr>
          <w:rFonts w:ascii="Times New Roman" w:hAnsi="Times New Roman" w:cs="Times New Roman"/>
          <w:sz w:val="24"/>
          <w:szCs w:val="24"/>
        </w:rPr>
        <w:t xml:space="preserve">first </w:t>
      </w:r>
      <w:r w:rsidR="007337D3">
        <w:rPr>
          <w:rFonts w:ascii="Times New Roman" w:hAnsi="Times New Roman" w:cs="Times New Roman"/>
          <w:sz w:val="24"/>
          <w:szCs w:val="24"/>
        </w:rPr>
        <w:t>defendant</w:t>
      </w:r>
    </w:p>
    <w:p w:rsidR="00902F54" w:rsidRPr="001245CF" w:rsidRDefault="00902F54" w:rsidP="004877F9">
      <w:pPr>
        <w:spacing w:after="0" w:line="240" w:lineRule="auto"/>
        <w:rPr>
          <w:rFonts w:ascii="Times New Roman" w:hAnsi="Times New Roman" w:cs="Times New Roman"/>
          <w:sz w:val="24"/>
          <w:szCs w:val="24"/>
        </w:rPr>
      </w:pP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115B6" w:rsidRDefault="00AB6264" w:rsidP="00602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609E8">
        <w:rPr>
          <w:rFonts w:ascii="Times New Roman" w:hAnsi="Times New Roman" w:cs="Times New Roman"/>
          <w:sz w:val="24"/>
          <w:szCs w:val="24"/>
        </w:rPr>
        <w:t xml:space="preserve">This </w:t>
      </w:r>
      <w:r w:rsidR="00022BF3">
        <w:rPr>
          <w:rFonts w:ascii="Times New Roman" w:hAnsi="Times New Roman" w:cs="Times New Roman"/>
          <w:sz w:val="24"/>
          <w:szCs w:val="24"/>
        </w:rPr>
        <w:t>matter began a</w:t>
      </w:r>
      <w:r w:rsidR="006609E8">
        <w:rPr>
          <w:rFonts w:ascii="Times New Roman" w:hAnsi="Times New Roman" w:cs="Times New Roman"/>
          <w:sz w:val="24"/>
          <w:szCs w:val="24"/>
        </w:rPr>
        <w:t xml:space="preserve">s an application for </w:t>
      </w:r>
      <w:r w:rsidR="002D1DDF">
        <w:rPr>
          <w:rFonts w:ascii="Times New Roman" w:hAnsi="Times New Roman" w:cs="Times New Roman"/>
          <w:sz w:val="24"/>
          <w:szCs w:val="24"/>
        </w:rPr>
        <w:t xml:space="preserve">a </w:t>
      </w:r>
      <w:r w:rsidR="002D1DDF" w:rsidRPr="00022BF3">
        <w:rPr>
          <w:rFonts w:ascii="Times New Roman" w:hAnsi="Times New Roman" w:cs="Times New Roman"/>
          <w:i/>
          <w:sz w:val="24"/>
          <w:szCs w:val="24"/>
        </w:rPr>
        <w:t>declaratur</w:t>
      </w:r>
      <w:r w:rsidR="002D1DDF">
        <w:rPr>
          <w:rFonts w:ascii="Times New Roman" w:hAnsi="Times New Roman" w:cs="Times New Roman"/>
          <w:sz w:val="24"/>
          <w:szCs w:val="24"/>
        </w:rPr>
        <w:t xml:space="preserve"> that the purported issue and allotment of 245 and 124 ordin</w:t>
      </w:r>
      <w:r w:rsidR="00901B38">
        <w:rPr>
          <w:rFonts w:ascii="Times New Roman" w:hAnsi="Times New Roman" w:cs="Times New Roman"/>
          <w:sz w:val="24"/>
          <w:szCs w:val="24"/>
        </w:rPr>
        <w:t xml:space="preserve">ary shares to first </w:t>
      </w:r>
      <w:r w:rsidR="007337D3">
        <w:rPr>
          <w:rFonts w:ascii="Times New Roman" w:hAnsi="Times New Roman" w:cs="Times New Roman"/>
          <w:sz w:val="24"/>
          <w:szCs w:val="24"/>
        </w:rPr>
        <w:t>defendant</w:t>
      </w:r>
      <w:r w:rsidR="00901B38">
        <w:rPr>
          <w:rFonts w:ascii="Times New Roman" w:hAnsi="Times New Roman" w:cs="Times New Roman"/>
          <w:sz w:val="24"/>
          <w:szCs w:val="24"/>
        </w:rPr>
        <w:t xml:space="preserve"> </w:t>
      </w:r>
      <w:r w:rsidR="002D1DDF">
        <w:rPr>
          <w:rFonts w:ascii="Times New Roman" w:hAnsi="Times New Roman" w:cs="Times New Roman"/>
          <w:sz w:val="24"/>
          <w:szCs w:val="24"/>
        </w:rPr>
        <w:t xml:space="preserve">and </w:t>
      </w:r>
      <w:r w:rsidR="00901B38">
        <w:rPr>
          <w:rFonts w:ascii="Times New Roman" w:hAnsi="Times New Roman" w:cs="Times New Roman"/>
          <w:sz w:val="24"/>
          <w:szCs w:val="24"/>
        </w:rPr>
        <w:t xml:space="preserve">one </w:t>
      </w:r>
      <w:r w:rsidR="002D1DDF">
        <w:rPr>
          <w:rFonts w:ascii="Times New Roman" w:hAnsi="Times New Roman" w:cs="Times New Roman"/>
          <w:sz w:val="24"/>
          <w:szCs w:val="24"/>
        </w:rPr>
        <w:t xml:space="preserve">Victor Cohen respectively is null and void; that the CR2 return of the allotment is irregular and therefore null and void; and consequently that the second applicant’s </w:t>
      </w:r>
      <w:r w:rsidR="00022BF3">
        <w:rPr>
          <w:rFonts w:ascii="Times New Roman" w:hAnsi="Times New Roman" w:cs="Times New Roman"/>
          <w:sz w:val="24"/>
          <w:szCs w:val="24"/>
        </w:rPr>
        <w:t xml:space="preserve">shareholding did not change by virtue of these impugned issue and allotment. By judgment of this court on 13 November 2019, the matter was referred to trial, the </w:t>
      </w:r>
      <w:r w:rsidR="00901B38">
        <w:rPr>
          <w:rFonts w:ascii="Times New Roman" w:hAnsi="Times New Roman" w:cs="Times New Roman"/>
          <w:sz w:val="24"/>
          <w:szCs w:val="24"/>
        </w:rPr>
        <w:t xml:space="preserve">disposal </w:t>
      </w:r>
      <w:r w:rsidR="00A14433">
        <w:rPr>
          <w:rFonts w:ascii="Times New Roman" w:hAnsi="Times New Roman" w:cs="Times New Roman"/>
          <w:sz w:val="24"/>
          <w:szCs w:val="24"/>
        </w:rPr>
        <w:t xml:space="preserve">order </w:t>
      </w:r>
      <w:r w:rsidR="00901B38">
        <w:rPr>
          <w:rFonts w:ascii="Times New Roman" w:hAnsi="Times New Roman" w:cs="Times New Roman"/>
          <w:sz w:val="24"/>
          <w:szCs w:val="24"/>
        </w:rPr>
        <w:t xml:space="preserve">of which </w:t>
      </w:r>
      <w:r w:rsidR="00022BF3">
        <w:rPr>
          <w:rFonts w:ascii="Times New Roman" w:hAnsi="Times New Roman" w:cs="Times New Roman"/>
          <w:sz w:val="24"/>
          <w:szCs w:val="24"/>
        </w:rPr>
        <w:t xml:space="preserve">judgment </w:t>
      </w:r>
      <w:r w:rsidR="00D75BB6">
        <w:rPr>
          <w:rFonts w:ascii="Times New Roman" w:hAnsi="Times New Roman" w:cs="Times New Roman"/>
          <w:sz w:val="24"/>
          <w:szCs w:val="24"/>
        </w:rPr>
        <w:t>reads</w:t>
      </w:r>
      <w:r w:rsidR="00022BF3">
        <w:rPr>
          <w:rFonts w:ascii="Times New Roman" w:hAnsi="Times New Roman" w:cs="Times New Roman"/>
          <w:sz w:val="24"/>
          <w:szCs w:val="24"/>
        </w:rPr>
        <w:t xml:space="preserve"> as follows:  </w:t>
      </w:r>
    </w:p>
    <w:p w:rsidR="00901B38" w:rsidRPr="000115B6" w:rsidRDefault="00A14433" w:rsidP="000115B6">
      <w:pPr>
        <w:spacing w:after="0" w:line="276" w:lineRule="auto"/>
        <w:ind w:firstLine="720"/>
        <w:jc w:val="both"/>
        <w:rPr>
          <w:rFonts w:ascii="Times New Roman" w:hAnsi="Times New Roman" w:cs="Times New Roman"/>
        </w:rPr>
      </w:pPr>
      <w:r w:rsidRPr="000115B6">
        <w:rPr>
          <w:rFonts w:ascii="Times New Roman" w:hAnsi="Times New Roman" w:cs="Times New Roman"/>
        </w:rPr>
        <w:t>“In</w:t>
      </w:r>
      <w:r w:rsidR="00901B38" w:rsidRPr="000115B6">
        <w:rPr>
          <w:rFonts w:ascii="Times New Roman" w:hAnsi="Times New Roman" w:cs="Times New Roman"/>
        </w:rPr>
        <w:t xml:space="preserve"> the result it is ordered as follows;</w:t>
      </w:r>
    </w:p>
    <w:p w:rsidR="00901B38" w:rsidRPr="000115B6" w:rsidRDefault="00A14433" w:rsidP="000115B6">
      <w:pPr>
        <w:pStyle w:val="ListParagraph"/>
        <w:numPr>
          <w:ilvl w:val="0"/>
          <w:numId w:val="41"/>
        </w:numPr>
        <w:spacing w:after="0" w:line="276" w:lineRule="auto"/>
        <w:jc w:val="both"/>
        <w:rPr>
          <w:rFonts w:ascii="Times New Roman" w:hAnsi="Times New Roman" w:cs="Times New Roman"/>
        </w:rPr>
      </w:pPr>
      <w:r>
        <w:rPr>
          <w:rFonts w:ascii="Times New Roman" w:hAnsi="Times New Roman" w:cs="Times New Roman"/>
        </w:rPr>
        <w:t>Th</w:t>
      </w:r>
      <w:r w:rsidRPr="000115B6">
        <w:rPr>
          <w:rFonts w:ascii="Times New Roman" w:hAnsi="Times New Roman" w:cs="Times New Roman"/>
        </w:rPr>
        <w:t>e</w:t>
      </w:r>
      <w:r w:rsidR="00901B38" w:rsidRPr="000115B6">
        <w:rPr>
          <w:rFonts w:ascii="Times New Roman" w:hAnsi="Times New Roman" w:cs="Times New Roman"/>
        </w:rPr>
        <w:t xml:space="preserve"> </w:t>
      </w:r>
      <w:r w:rsidR="007337D3">
        <w:rPr>
          <w:rFonts w:ascii="Times New Roman" w:hAnsi="Times New Roman" w:cs="Times New Roman"/>
        </w:rPr>
        <w:t>applicants</w:t>
      </w:r>
      <w:r w:rsidR="00901B38" w:rsidRPr="000115B6">
        <w:rPr>
          <w:rFonts w:ascii="Times New Roman" w:hAnsi="Times New Roman" w:cs="Times New Roman"/>
        </w:rPr>
        <w:t xml:space="preserve">’ application and the first </w:t>
      </w:r>
      <w:r w:rsidR="007337D3">
        <w:rPr>
          <w:rFonts w:ascii="Times New Roman" w:hAnsi="Times New Roman" w:cs="Times New Roman"/>
        </w:rPr>
        <w:t>respondent’</w:t>
      </w:r>
      <w:r w:rsidR="005F2625" w:rsidRPr="000115B6">
        <w:rPr>
          <w:rFonts w:ascii="Times New Roman" w:hAnsi="Times New Roman" w:cs="Times New Roman"/>
        </w:rPr>
        <w:t>s counterclaim</w:t>
      </w:r>
      <w:r w:rsidR="00901B38" w:rsidRPr="000115B6">
        <w:rPr>
          <w:rFonts w:ascii="Times New Roman" w:hAnsi="Times New Roman" w:cs="Times New Roman"/>
        </w:rPr>
        <w:t xml:space="preserve"> are converted into trial actions.</w:t>
      </w:r>
    </w:p>
    <w:p w:rsidR="00901B38" w:rsidRPr="000115B6" w:rsidRDefault="00901B38" w:rsidP="000115B6">
      <w:pPr>
        <w:pStyle w:val="ListParagraph"/>
        <w:numPr>
          <w:ilvl w:val="0"/>
          <w:numId w:val="41"/>
        </w:numPr>
        <w:spacing w:after="0" w:line="276" w:lineRule="auto"/>
        <w:jc w:val="both"/>
        <w:rPr>
          <w:rFonts w:ascii="Times New Roman" w:hAnsi="Times New Roman" w:cs="Times New Roman"/>
        </w:rPr>
      </w:pPr>
      <w:r w:rsidRPr="000115B6">
        <w:rPr>
          <w:rFonts w:ascii="Times New Roman" w:hAnsi="Times New Roman" w:cs="Times New Roman"/>
        </w:rPr>
        <w:t xml:space="preserve">The </w:t>
      </w:r>
      <w:r w:rsidR="007337D3">
        <w:rPr>
          <w:rFonts w:ascii="Times New Roman" w:hAnsi="Times New Roman" w:cs="Times New Roman"/>
        </w:rPr>
        <w:t>applicants</w:t>
      </w:r>
      <w:r w:rsidRPr="000115B6">
        <w:rPr>
          <w:rFonts w:ascii="Times New Roman" w:hAnsi="Times New Roman" w:cs="Times New Roman"/>
        </w:rPr>
        <w:t>’ application is converted into the summons in this matter.</w:t>
      </w:r>
    </w:p>
    <w:p w:rsidR="00901B38" w:rsidRPr="000115B6" w:rsidRDefault="00901B38" w:rsidP="000115B6">
      <w:pPr>
        <w:pStyle w:val="ListParagraph"/>
        <w:numPr>
          <w:ilvl w:val="0"/>
          <w:numId w:val="41"/>
        </w:numPr>
        <w:spacing w:after="0" w:line="276" w:lineRule="auto"/>
        <w:jc w:val="both"/>
        <w:rPr>
          <w:rFonts w:ascii="Times New Roman" w:hAnsi="Times New Roman" w:cs="Times New Roman"/>
        </w:rPr>
      </w:pPr>
      <w:r w:rsidRPr="000115B6">
        <w:rPr>
          <w:rFonts w:ascii="Times New Roman" w:hAnsi="Times New Roman" w:cs="Times New Roman"/>
        </w:rPr>
        <w:t xml:space="preserve">The </w:t>
      </w:r>
      <w:r w:rsidR="007337D3">
        <w:rPr>
          <w:rFonts w:ascii="Times New Roman" w:hAnsi="Times New Roman" w:cs="Times New Roman"/>
        </w:rPr>
        <w:t>applicants</w:t>
      </w:r>
      <w:r w:rsidRPr="000115B6">
        <w:rPr>
          <w:rFonts w:ascii="Times New Roman" w:hAnsi="Times New Roman" w:cs="Times New Roman"/>
        </w:rPr>
        <w:t xml:space="preserve"> shall file their declaration within 10 days of this order.</w:t>
      </w:r>
    </w:p>
    <w:p w:rsidR="000115B6" w:rsidRPr="000115B6" w:rsidRDefault="00901B38" w:rsidP="000115B6">
      <w:pPr>
        <w:pStyle w:val="ListParagraph"/>
        <w:numPr>
          <w:ilvl w:val="0"/>
          <w:numId w:val="41"/>
        </w:numPr>
        <w:spacing w:after="0" w:line="276" w:lineRule="auto"/>
        <w:jc w:val="both"/>
        <w:rPr>
          <w:rFonts w:ascii="Times New Roman" w:hAnsi="Times New Roman" w:cs="Times New Roman"/>
        </w:rPr>
      </w:pPr>
      <w:r w:rsidRPr="000115B6">
        <w:rPr>
          <w:rFonts w:ascii="Times New Roman" w:hAnsi="Times New Roman" w:cs="Times New Roman"/>
        </w:rPr>
        <w:t xml:space="preserve">The first </w:t>
      </w:r>
      <w:r w:rsidR="007337D3">
        <w:rPr>
          <w:rFonts w:ascii="Times New Roman" w:hAnsi="Times New Roman" w:cs="Times New Roman"/>
        </w:rPr>
        <w:t>respondent</w:t>
      </w:r>
      <w:r w:rsidR="000115B6" w:rsidRPr="000115B6">
        <w:rPr>
          <w:rFonts w:ascii="Times New Roman" w:hAnsi="Times New Roman" w:cs="Times New Roman"/>
        </w:rPr>
        <w:t>’s notice of opposition and opposing affidavit shall stand as the appearance to defend.</w:t>
      </w:r>
    </w:p>
    <w:p w:rsidR="000115B6" w:rsidRPr="000115B6" w:rsidRDefault="000115B6" w:rsidP="000115B6">
      <w:pPr>
        <w:pStyle w:val="ListParagraph"/>
        <w:numPr>
          <w:ilvl w:val="0"/>
          <w:numId w:val="41"/>
        </w:numPr>
        <w:spacing w:after="0" w:line="276" w:lineRule="auto"/>
        <w:jc w:val="both"/>
        <w:rPr>
          <w:rFonts w:ascii="Times New Roman" w:hAnsi="Times New Roman" w:cs="Times New Roman"/>
        </w:rPr>
      </w:pPr>
      <w:r w:rsidRPr="000115B6">
        <w:rPr>
          <w:rFonts w:ascii="Times New Roman" w:hAnsi="Times New Roman" w:cs="Times New Roman"/>
        </w:rPr>
        <w:t xml:space="preserve">The first </w:t>
      </w:r>
      <w:r w:rsidR="007337D3">
        <w:rPr>
          <w:rFonts w:ascii="Times New Roman" w:hAnsi="Times New Roman" w:cs="Times New Roman"/>
        </w:rPr>
        <w:t>respondent</w:t>
      </w:r>
      <w:r w:rsidRPr="000115B6">
        <w:rPr>
          <w:rFonts w:ascii="Times New Roman" w:hAnsi="Times New Roman" w:cs="Times New Roman"/>
        </w:rPr>
        <w:t xml:space="preserve"> shall file his plea and counterclaim within 10 days of being served with the declaration in this matter.</w:t>
      </w:r>
    </w:p>
    <w:p w:rsidR="000115B6" w:rsidRPr="000115B6" w:rsidRDefault="000115B6" w:rsidP="000115B6">
      <w:pPr>
        <w:pStyle w:val="ListParagraph"/>
        <w:numPr>
          <w:ilvl w:val="0"/>
          <w:numId w:val="41"/>
        </w:numPr>
        <w:spacing w:after="0" w:line="276" w:lineRule="auto"/>
        <w:jc w:val="both"/>
        <w:rPr>
          <w:rFonts w:ascii="Times New Roman" w:hAnsi="Times New Roman" w:cs="Times New Roman"/>
        </w:rPr>
      </w:pPr>
      <w:r w:rsidRPr="000115B6">
        <w:rPr>
          <w:rFonts w:ascii="Times New Roman" w:hAnsi="Times New Roman" w:cs="Times New Roman"/>
        </w:rPr>
        <w:t>Thereafter the ordinary rules of procedure shall apply.”</w:t>
      </w:r>
    </w:p>
    <w:p w:rsidR="000115B6" w:rsidRDefault="000115B6" w:rsidP="00D47206">
      <w:pPr>
        <w:spacing w:after="0" w:line="360" w:lineRule="auto"/>
        <w:ind w:firstLine="720"/>
        <w:jc w:val="both"/>
        <w:rPr>
          <w:rFonts w:ascii="Times New Roman" w:hAnsi="Times New Roman" w:cs="Times New Roman"/>
          <w:sz w:val="24"/>
          <w:szCs w:val="24"/>
        </w:rPr>
      </w:pPr>
    </w:p>
    <w:p w:rsidR="0021637F" w:rsidRDefault="000115B6"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Rather than file their declaration as ordered, the </w:t>
      </w:r>
      <w:r w:rsidR="007337D3">
        <w:rPr>
          <w:rFonts w:ascii="Times New Roman" w:hAnsi="Times New Roman" w:cs="Times New Roman"/>
          <w:sz w:val="24"/>
          <w:szCs w:val="24"/>
        </w:rPr>
        <w:t>plaintiffs</w:t>
      </w:r>
      <w:r>
        <w:rPr>
          <w:rFonts w:ascii="Times New Roman" w:hAnsi="Times New Roman" w:cs="Times New Roman"/>
          <w:sz w:val="24"/>
          <w:szCs w:val="24"/>
        </w:rPr>
        <w:t xml:space="preserve"> appealed the decision of the court in SC 624/19. After reading the documents filed of </w:t>
      </w:r>
      <w:r w:rsidR="00BA3BE3">
        <w:rPr>
          <w:rFonts w:ascii="Times New Roman" w:hAnsi="Times New Roman" w:cs="Times New Roman"/>
          <w:sz w:val="24"/>
          <w:szCs w:val="24"/>
        </w:rPr>
        <w:t>record</w:t>
      </w:r>
      <w:r>
        <w:rPr>
          <w:rFonts w:ascii="Times New Roman" w:hAnsi="Times New Roman" w:cs="Times New Roman"/>
          <w:sz w:val="24"/>
          <w:szCs w:val="24"/>
        </w:rPr>
        <w:t xml:space="preserve"> and hearing counsel, the Supreme Court struck the appeal off the roll on 28 May 2020, by consent</w:t>
      </w:r>
      <w:r w:rsidR="00A305D1">
        <w:rPr>
          <w:rFonts w:ascii="Times New Roman" w:hAnsi="Times New Roman" w:cs="Times New Roman"/>
          <w:sz w:val="24"/>
          <w:szCs w:val="24"/>
        </w:rPr>
        <w:t xml:space="preserve">, with costs against the </w:t>
      </w:r>
      <w:r w:rsidR="007337D3">
        <w:rPr>
          <w:rFonts w:ascii="Times New Roman" w:hAnsi="Times New Roman" w:cs="Times New Roman"/>
          <w:sz w:val="24"/>
          <w:szCs w:val="24"/>
        </w:rPr>
        <w:t xml:space="preserve">plaintiffs </w:t>
      </w:r>
      <w:r w:rsidR="00A305D1">
        <w:rPr>
          <w:rFonts w:ascii="Times New Roman" w:hAnsi="Times New Roman" w:cs="Times New Roman"/>
          <w:sz w:val="24"/>
          <w:szCs w:val="24"/>
        </w:rPr>
        <w:t>(</w:t>
      </w:r>
      <w:r w:rsidR="007337D3">
        <w:rPr>
          <w:rFonts w:ascii="Times New Roman" w:hAnsi="Times New Roman" w:cs="Times New Roman"/>
          <w:sz w:val="24"/>
          <w:szCs w:val="24"/>
        </w:rPr>
        <w:t>appellants</w:t>
      </w:r>
      <w:r w:rsidR="00A305D1">
        <w:rPr>
          <w:rFonts w:ascii="Times New Roman" w:hAnsi="Times New Roman" w:cs="Times New Roman"/>
          <w:sz w:val="24"/>
          <w:szCs w:val="24"/>
        </w:rPr>
        <w:t>)</w:t>
      </w:r>
      <w:r>
        <w:rPr>
          <w:rFonts w:ascii="Times New Roman" w:hAnsi="Times New Roman" w:cs="Times New Roman"/>
          <w:sz w:val="24"/>
          <w:szCs w:val="24"/>
        </w:rPr>
        <w:t>.</w:t>
      </w:r>
      <w:r w:rsidR="00BA3BE3">
        <w:rPr>
          <w:rFonts w:ascii="Times New Roman" w:hAnsi="Times New Roman" w:cs="Times New Roman"/>
          <w:sz w:val="24"/>
          <w:szCs w:val="24"/>
        </w:rPr>
        <w:t xml:space="preserve"> On 12 June 2020, the </w:t>
      </w:r>
      <w:r w:rsidR="007337D3">
        <w:rPr>
          <w:rFonts w:ascii="Times New Roman" w:hAnsi="Times New Roman" w:cs="Times New Roman"/>
          <w:sz w:val="24"/>
          <w:szCs w:val="24"/>
        </w:rPr>
        <w:t>plaintiffs</w:t>
      </w:r>
      <w:r w:rsidR="00BA3BE3">
        <w:rPr>
          <w:rFonts w:ascii="Times New Roman" w:hAnsi="Times New Roman" w:cs="Times New Roman"/>
          <w:sz w:val="24"/>
          <w:szCs w:val="24"/>
        </w:rPr>
        <w:t xml:space="preserve"> </w:t>
      </w:r>
      <w:r w:rsidR="0021637F">
        <w:rPr>
          <w:rFonts w:ascii="Times New Roman" w:hAnsi="Times New Roman" w:cs="Times New Roman"/>
          <w:sz w:val="24"/>
          <w:szCs w:val="24"/>
        </w:rPr>
        <w:t xml:space="preserve">then </w:t>
      </w:r>
      <w:r w:rsidR="00BA3BE3">
        <w:rPr>
          <w:rFonts w:ascii="Times New Roman" w:hAnsi="Times New Roman" w:cs="Times New Roman"/>
          <w:sz w:val="24"/>
          <w:szCs w:val="24"/>
        </w:rPr>
        <w:t xml:space="preserve">filed their declaration as originally ordered. </w:t>
      </w:r>
    </w:p>
    <w:p w:rsidR="000115B6" w:rsidRDefault="00BA3BE3"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19 June 2020, the first </w:t>
      </w:r>
      <w:r w:rsidR="007337D3">
        <w:rPr>
          <w:rFonts w:ascii="Times New Roman" w:hAnsi="Times New Roman" w:cs="Times New Roman"/>
          <w:sz w:val="24"/>
          <w:szCs w:val="24"/>
        </w:rPr>
        <w:t>defendant</w:t>
      </w:r>
      <w:r>
        <w:rPr>
          <w:rFonts w:ascii="Times New Roman" w:hAnsi="Times New Roman" w:cs="Times New Roman"/>
          <w:sz w:val="24"/>
          <w:szCs w:val="24"/>
        </w:rPr>
        <w:t xml:space="preserve"> filed an application in HC 3090/2020, to strike out the declaration for having been filed out of the time</w:t>
      </w:r>
      <w:r w:rsidR="005F2625">
        <w:rPr>
          <w:rFonts w:ascii="Times New Roman" w:hAnsi="Times New Roman" w:cs="Times New Roman"/>
          <w:sz w:val="24"/>
          <w:szCs w:val="24"/>
        </w:rPr>
        <w:t xml:space="preserve"> frame</w:t>
      </w:r>
      <w:r>
        <w:rPr>
          <w:rFonts w:ascii="Times New Roman" w:hAnsi="Times New Roman" w:cs="Times New Roman"/>
          <w:sz w:val="24"/>
          <w:szCs w:val="24"/>
        </w:rPr>
        <w:t xml:space="preserve"> specified </w:t>
      </w:r>
      <w:r w:rsidR="003E5A1B">
        <w:rPr>
          <w:rFonts w:ascii="Times New Roman" w:hAnsi="Times New Roman" w:cs="Times New Roman"/>
          <w:sz w:val="24"/>
          <w:szCs w:val="24"/>
        </w:rPr>
        <w:t xml:space="preserve">in paragraph 3 of the </w:t>
      </w:r>
      <w:r>
        <w:rPr>
          <w:rFonts w:ascii="Times New Roman" w:hAnsi="Times New Roman" w:cs="Times New Roman"/>
          <w:sz w:val="24"/>
          <w:szCs w:val="24"/>
        </w:rPr>
        <w:t xml:space="preserve">order of the court dated 13 November 2019 and without </w:t>
      </w:r>
      <w:r w:rsidR="003E5A1B">
        <w:rPr>
          <w:rFonts w:ascii="Times New Roman" w:hAnsi="Times New Roman" w:cs="Times New Roman"/>
          <w:sz w:val="24"/>
          <w:szCs w:val="24"/>
        </w:rPr>
        <w:t xml:space="preserve">first seeking </w:t>
      </w:r>
      <w:r>
        <w:rPr>
          <w:rFonts w:ascii="Times New Roman" w:hAnsi="Times New Roman" w:cs="Times New Roman"/>
          <w:sz w:val="24"/>
          <w:szCs w:val="24"/>
        </w:rPr>
        <w:t xml:space="preserve">condonation. </w:t>
      </w:r>
      <w:r w:rsidR="005F2625">
        <w:rPr>
          <w:rFonts w:ascii="Times New Roman" w:hAnsi="Times New Roman" w:cs="Times New Roman"/>
          <w:sz w:val="24"/>
          <w:szCs w:val="24"/>
        </w:rPr>
        <w:t xml:space="preserve">At the hearing of this matter first </w:t>
      </w:r>
      <w:r w:rsidR="007337D3">
        <w:rPr>
          <w:rFonts w:ascii="Times New Roman" w:hAnsi="Times New Roman" w:cs="Times New Roman"/>
          <w:sz w:val="24"/>
          <w:szCs w:val="24"/>
        </w:rPr>
        <w:t>defendant</w:t>
      </w:r>
      <w:r w:rsidR="005F2625">
        <w:rPr>
          <w:rFonts w:ascii="Times New Roman" w:hAnsi="Times New Roman" w:cs="Times New Roman"/>
          <w:sz w:val="24"/>
          <w:szCs w:val="24"/>
        </w:rPr>
        <w:t xml:space="preserve"> undertook to, and did</w:t>
      </w:r>
      <w:r>
        <w:rPr>
          <w:rFonts w:ascii="Times New Roman" w:hAnsi="Times New Roman" w:cs="Times New Roman"/>
          <w:sz w:val="24"/>
          <w:szCs w:val="24"/>
        </w:rPr>
        <w:t xml:space="preserve"> withdraw</w:t>
      </w:r>
      <w:r w:rsidR="005F2625">
        <w:rPr>
          <w:rFonts w:ascii="Times New Roman" w:hAnsi="Times New Roman" w:cs="Times New Roman"/>
          <w:sz w:val="24"/>
          <w:szCs w:val="24"/>
        </w:rPr>
        <w:t xml:space="preserve"> that application</w:t>
      </w:r>
      <w:r>
        <w:rPr>
          <w:rFonts w:ascii="Times New Roman" w:hAnsi="Times New Roman" w:cs="Times New Roman"/>
          <w:sz w:val="24"/>
          <w:szCs w:val="24"/>
        </w:rPr>
        <w:t xml:space="preserve"> </w:t>
      </w:r>
      <w:r w:rsidR="009C7AB6">
        <w:rPr>
          <w:rFonts w:ascii="Times New Roman" w:hAnsi="Times New Roman" w:cs="Times New Roman"/>
          <w:sz w:val="24"/>
          <w:szCs w:val="24"/>
        </w:rPr>
        <w:t>on 24 March 2021</w:t>
      </w:r>
      <w:r>
        <w:rPr>
          <w:rFonts w:ascii="Times New Roman" w:hAnsi="Times New Roman" w:cs="Times New Roman"/>
          <w:sz w:val="24"/>
          <w:szCs w:val="24"/>
        </w:rPr>
        <w:t xml:space="preserve"> as the relief sought </w:t>
      </w:r>
      <w:r w:rsidR="005F2625">
        <w:rPr>
          <w:rFonts w:ascii="Times New Roman" w:hAnsi="Times New Roman" w:cs="Times New Roman"/>
          <w:sz w:val="24"/>
          <w:szCs w:val="24"/>
        </w:rPr>
        <w:t xml:space="preserve">therein </w:t>
      </w:r>
      <w:r>
        <w:rPr>
          <w:rFonts w:ascii="Times New Roman" w:hAnsi="Times New Roman" w:cs="Times New Roman"/>
          <w:sz w:val="24"/>
          <w:szCs w:val="24"/>
        </w:rPr>
        <w:t xml:space="preserve">is the same as the relief that will be </w:t>
      </w:r>
      <w:r w:rsidR="00A305D1">
        <w:rPr>
          <w:rFonts w:ascii="Times New Roman" w:hAnsi="Times New Roman" w:cs="Times New Roman"/>
          <w:sz w:val="24"/>
          <w:szCs w:val="24"/>
        </w:rPr>
        <w:t>achieved by the special plea raised in this matter and filed on 2 October 2020</w:t>
      </w:r>
      <w:r w:rsidR="005F2625">
        <w:rPr>
          <w:rFonts w:ascii="Times New Roman" w:hAnsi="Times New Roman" w:cs="Times New Roman"/>
          <w:sz w:val="24"/>
          <w:szCs w:val="24"/>
        </w:rPr>
        <w:t xml:space="preserve"> after first </w:t>
      </w:r>
      <w:r w:rsidR="007337D3">
        <w:rPr>
          <w:rFonts w:ascii="Times New Roman" w:hAnsi="Times New Roman" w:cs="Times New Roman"/>
          <w:sz w:val="24"/>
          <w:szCs w:val="24"/>
        </w:rPr>
        <w:t>defendant</w:t>
      </w:r>
      <w:r w:rsidR="005F2625">
        <w:rPr>
          <w:rFonts w:ascii="Times New Roman" w:hAnsi="Times New Roman" w:cs="Times New Roman"/>
          <w:sz w:val="24"/>
          <w:szCs w:val="24"/>
        </w:rPr>
        <w:t xml:space="preserve"> had been served with a notice to plead</w:t>
      </w:r>
      <w:r w:rsidR="00A305D1">
        <w:rPr>
          <w:rFonts w:ascii="Times New Roman" w:hAnsi="Times New Roman" w:cs="Times New Roman"/>
          <w:sz w:val="24"/>
          <w:szCs w:val="24"/>
        </w:rPr>
        <w:t>.</w:t>
      </w:r>
    </w:p>
    <w:p w:rsidR="0021637F" w:rsidRDefault="00901B38" w:rsidP="00602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22BF3">
        <w:rPr>
          <w:rFonts w:ascii="Times New Roman" w:hAnsi="Times New Roman" w:cs="Times New Roman"/>
          <w:sz w:val="24"/>
          <w:szCs w:val="24"/>
        </w:rPr>
        <w:t xml:space="preserve">The </w:t>
      </w:r>
      <w:r w:rsidR="0021637F">
        <w:rPr>
          <w:rFonts w:ascii="Times New Roman" w:hAnsi="Times New Roman" w:cs="Times New Roman"/>
          <w:sz w:val="24"/>
          <w:szCs w:val="24"/>
        </w:rPr>
        <w:t xml:space="preserve">special plea objects to the declaration as being </w:t>
      </w:r>
    </w:p>
    <w:p w:rsidR="0021637F" w:rsidRDefault="0021637F" w:rsidP="00F34C7F">
      <w:pPr>
        <w:spacing w:after="0" w:line="276" w:lineRule="auto"/>
        <w:ind w:left="720"/>
        <w:jc w:val="both"/>
        <w:rPr>
          <w:rFonts w:ascii="Times New Roman" w:hAnsi="Times New Roman" w:cs="Times New Roman"/>
        </w:rPr>
      </w:pPr>
      <w:r w:rsidRPr="0021637F">
        <w:rPr>
          <w:rFonts w:ascii="Times New Roman" w:hAnsi="Times New Roman" w:cs="Times New Roman"/>
        </w:rPr>
        <w:t>“</w:t>
      </w:r>
      <w:r>
        <w:rPr>
          <w:rFonts w:ascii="Times New Roman" w:hAnsi="Times New Roman" w:cs="Times New Roman"/>
        </w:rPr>
        <w:t>…</w:t>
      </w:r>
      <w:r w:rsidRPr="009C7AB6">
        <w:rPr>
          <w:rFonts w:ascii="Times New Roman" w:hAnsi="Times New Roman" w:cs="Times New Roman"/>
          <w:u w:val="single"/>
        </w:rPr>
        <w:t xml:space="preserve">a nullity for having been filed outside the </w:t>
      </w:r>
      <w:r w:rsidRPr="009C7AB6">
        <w:rPr>
          <w:rFonts w:ascii="Times New Roman" w:hAnsi="Times New Roman" w:cs="Times New Roman"/>
          <w:i/>
          <w:u w:val="single"/>
        </w:rPr>
        <w:t>dies induciae</w:t>
      </w:r>
      <w:r w:rsidRPr="009C7AB6">
        <w:rPr>
          <w:rFonts w:ascii="Times New Roman" w:hAnsi="Times New Roman" w:cs="Times New Roman"/>
          <w:u w:val="single"/>
        </w:rPr>
        <w:t xml:space="preserve"> that was fixed by the order of this Honourable Court</w:t>
      </w:r>
      <w:r w:rsidR="009C7AB6">
        <w:rPr>
          <w:rFonts w:ascii="Times New Roman" w:hAnsi="Times New Roman" w:cs="Times New Roman"/>
        </w:rPr>
        <w:t xml:space="preserve"> (my emphasis)</w:t>
      </w:r>
      <w:r>
        <w:rPr>
          <w:rFonts w:ascii="Times New Roman" w:hAnsi="Times New Roman" w:cs="Times New Roman"/>
        </w:rPr>
        <w:t xml:space="preserve"> per Honourable Dube J. dated 13 November 2019.</w:t>
      </w:r>
    </w:p>
    <w:p w:rsidR="0021637F" w:rsidRDefault="0021637F" w:rsidP="00F34C7F">
      <w:pPr>
        <w:spacing w:after="0" w:line="276" w:lineRule="auto"/>
        <w:ind w:firstLine="720"/>
        <w:jc w:val="both"/>
        <w:rPr>
          <w:rFonts w:ascii="Times New Roman" w:hAnsi="Times New Roman" w:cs="Times New Roman"/>
        </w:rPr>
      </w:pPr>
    </w:p>
    <w:p w:rsidR="0021637F" w:rsidRDefault="00602BDA" w:rsidP="00F34C7F">
      <w:pPr>
        <w:spacing w:after="0" w:line="276" w:lineRule="auto"/>
        <w:ind w:firstLine="720"/>
        <w:jc w:val="both"/>
        <w:rPr>
          <w:rFonts w:ascii="Times New Roman" w:hAnsi="Times New Roman" w:cs="Times New Roman"/>
        </w:rPr>
      </w:pPr>
      <w:r>
        <w:rPr>
          <w:rFonts w:ascii="Times New Roman" w:hAnsi="Times New Roman" w:cs="Times New Roman"/>
        </w:rPr>
        <w:t>THEREFORE,</w:t>
      </w:r>
      <w:r w:rsidR="0021637F">
        <w:rPr>
          <w:rFonts w:ascii="Times New Roman" w:hAnsi="Times New Roman" w:cs="Times New Roman"/>
        </w:rPr>
        <w:t xml:space="preserve"> First defendant prays </w:t>
      </w:r>
      <w:r>
        <w:rPr>
          <w:rFonts w:ascii="Times New Roman" w:hAnsi="Times New Roman" w:cs="Times New Roman"/>
        </w:rPr>
        <w:t>that: -</w:t>
      </w:r>
    </w:p>
    <w:p w:rsidR="0021637F" w:rsidRDefault="0021637F" w:rsidP="00F34C7F">
      <w:pPr>
        <w:pStyle w:val="ListParagraph"/>
        <w:numPr>
          <w:ilvl w:val="0"/>
          <w:numId w:val="42"/>
        </w:numPr>
        <w:spacing w:after="0" w:line="276" w:lineRule="auto"/>
        <w:jc w:val="both"/>
        <w:rPr>
          <w:rFonts w:ascii="Times New Roman" w:hAnsi="Times New Roman" w:cs="Times New Roman"/>
        </w:rPr>
      </w:pPr>
      <w:r>
        <w:rPr>
          <w:rFonts w:ascii="Times New Roman" w:hAnsi="Times New Roman" w:cs="Times New Roman"/>
        </w:rPr>
        <w:t>The defective declaration be struck out; and</w:t>
      </w:r>
    </w:p>
    <w:p w:rsidR="00F34C7F" w:rsidRDefault="0021637F" w:rsidP="00602BDA">
      <w:pPr>
        <w:pStyle w:val="ListParagraph"/>
        <w:numPr>
          <w:ilvl w:val="0"/>
          <w:numId w:val="42"/>
        </w:numPr>
        <w:spacing w:after="0" w:line="276" w:lineRule="auto"/>
        <w:jc w:val="both"/>
        <w:rPr>
          <w:rFonts w:ascii="Times New Roman" w:hAnsi="Times New Roman" w:cs="Times New Roman"/>
        </w:rPr>
      </w:pPr>
      <w:r>
        <w:rPr>
          <w:rFonts w:ascii="Times New Roman" w:hAnsi="Times New Roman" w:cs="Times New Roman"/>
        </w:rPr>
        <w:t>The Plaintiff’s claim be struck off the Roll with costs on the higher scale.”</w:t>
      </w:r>
    </w:p>
    <w:p w:rsidR="00602BDA" w:rsidRPr="00602BDA" w:rsidRDefault="00602BDA" w:rsidP="00602BDA">
      <w:pPr>
        <w:pStyle w:val="ListParagraph"/>
        <w:spacing w:after="0" w:line="276" w:lineRule="auto"/>
        <w:ind w:left="1080"/>
        <w:jc w:val="both"/>
        <w:rPr>
          <w:rFonts w:ascii="Times New Roman" w:hAnsi="Times New Roman" w:cs="Times New Roman"/>
        </w:rPr>
      </w:pPr>
    </w:p>
    <w:p w:rsidR="00F34C7F" w:rsidRDefault="00F34C7F"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7337D3">
        <w:rPr>
          <w:rFonts w:ascii="Times New Roman" w:hAnsi="Times New Roman" w:cs="Times New Roman"/>
          <w:sz w:val="24"/>
          <w:szCs w:val="24"/>
        </w:rPr>
        <w:t>defendant</w:t>
      </w:r>
      <w:r>
        <w:rPr>
          <w:rFonts w:ascii="Times New Roman" w:hAnsi="Times New Roman" w:cs="Times New Roman"/>
          <w:sz w:val="24"/>
          <w:szCs w:val="24"/>
        </w:rPr>
        <w:t xml:space="preserve">’s heads of argument support the same proposition, that the declaration having been filed contrary to the provisions of the court order, is a nullity and should be viewed as if it never happened as it does not fall within the confines of r13. For these propositions the </w:t>
      </w:r>
      <w:r w:rsidR="00A36E5A">
        <w:rPr>
          <w:rFonts w:ascii="Times New Roman" w:hAnsi="Times New Roman" w:cs="Times New Roman"/>
          <w:sz w:val="24"/>
          <w:szCs w:val="24"/>
        </w:rPr>
        <w:t xml:space="preserve">first </w:t>
      </w:r>
      <w:r w:rsidR="007337D3">
        <w:rPr>
          <w:rFonts w:ascii="Times New Roman" w:hAnsi="Times New Roman" w:cs="Times New Roman"/>
          <w:sz w:val="24"/>
          <w:szCs w:val="24"/>
        </w:rPr>
        <w:t>defendant</w:t>
      </w:r>
      <w:r>
        <w:rPr>
          <w:rFonts w:ascii="Times New Roman" w:hAnsi="Times New Roman" w:cs="Times New Roman"/>
          <w:sz w:val="24"/>
          <w:szCs w:val="24"/>
        </w:rPr>
        <w:t xml:space="preserve"> relies on </w:t>
      </w:r>
      <w:r w:rsidRPr="00F34C7F">
        <w:rPr>
          <w:rFonts w:ascii="Times New Roman" w:hAnsi="Times New Roman" w:cs="Times New Roman"/>
          <w:i/>
          <w:sz w:val="24"/>
          <w:szCs w:val="24"/>
        </w:rPr>
        <w:t xml:space="preserve">Ceck Enterprises </w:t>
      </w:r>
      <w:r w:rsidRPr="00602BDA">
        <w:rPr>
          <w:rFonts w:ascii="Times New Roman" w:hAnsi="Times New Roman" w:cs="Times New Roman"/>
          <w:sz w:val="24"/>
          <w:szCs w:val="24"/>
        </w:rPr>
        <w:t>v</w:t>
      </w:r>
      <w:r w:rsidRPr="00F34C7F">
        <w:rPr>
          <w:rFonts w:ascii="Times New Roman" w:hAnsi="Times New Roman" w:cs="Times New Roman"/>
          <w:i/>
          <w:sz w:val="24"/>
          <w:szCs w:val="24"/>
        </w:rPr>
        <w:t xml:space="preserve"> Sithole</w:t>
      </w:r>
      <w:r>
        <w:rPr>
          <w:rStyle w:val="FootnoteReference"/>
          <w:rFonts w:ascii="Times New Roman" w:hAnsi="Times New Roman"/>
          <w:sz w:val="24"/>
          <w:szCs w:val="24"/>
        </w:rPr>
        <w:footnoteReference w:id="1"/>
      </w:r>
      <w:r>
        <w:rPr>
          <w:rFonts w:ascii="Times New Roman" w:hAnsi="Times New Roman" w:cs="Times New Roman"/>
          <w:i/>
          <w:sz w:val="24"/>
          <w:szCs w:val="24"/>
        </w:rPr>
        <w:t>, Gong v Mayor Logistics (Pvt) Lt</w:t>
      </w:r>
      <w:r>
        <w:rPr>
          <w:rStyle w:val="FootnoteReference"/>
          <w:rFonts w:ascii="Times New Roman" w:hAnsi="Times New Roman"/>
          <w:i/>
          <w:sz w:val="24"/>
          <w:szCs w:val="24"/>
        </w:rPr>
        <w:footnoteReference w:id="2"/>
      </w:r>
      <w:r w:rsidRPr="00F34C7F">
        <w:rPr>
          <w:rFonts w:ascii="Times New Roman" w:hAnsi="Times New Roman" w:cs="Times New Roman"/>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 xml:space="preserve">Steward Bank Ltd </w:t>
      </w:r>
      <w:r w:rsidRPr="00602BDA">
        <w:rPr>
          <w:rFonts w:ascii="Times New Roman" w:hAnsi="Times New Roman" w:cs="Times New Roman"/>
          <w:sz w:val="24"/>
          <w:szCs w:val="24"/>
        </w:rPr>
        <w:t>v</w:t>
      </w:r>
      <w:r>
        <w:rPr>
          <w:rFonts w:ascii="Times New Roman" w:hAnsi="Times New Roman" w:cs="Times New Roman"/>
          <w:i/>
          <w:sz w:val="24"/>
          <w:szCs w:val="24"/>
        </w:rPr>
        <w:t xml:space="preserve"> Calendfab Services (Pvt) Ltd &amp; 2 Ors</w:t>
      </w:r>
      <w:r>
        <w:rPr>
          <w:rStyle w:val="FootnoteReference"/>
          <w:rFonts w:ascii="Times New Roman" w:hAnsi="Times New Roman"/>
          <w:i/>
          <w:sz w:val="24"/>
          <w:szCs w:val="24"/>
        </w:rPr>
        <w:footnoteReference w:id="3"/>
      </w:r>
      <w:r>
        <w:rPr>
          <w:rFonts w:ascii="Times New Roman" w:hAnsi="Times New Roman" w:cs="Times New Roman"/>
          <w:sz w:val="24"/>
          <w:szCs w:val="24"/>
        </w:rPr>
        <w:t xml:space="preserve">. </w:t>
      </w:r>
    </w:p>
    <w:p w:rsidR="004802B4" w:rsidRDefault="00F34C7F"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therefore arising from the special plea and the heads of argument is </w:t>
      </w:r>
      <w:r>
        <w:rPr>
          <w:rFonts w:ascii="Times New Roman" w:hAnsi="Times New Roman" w:cs="Times New Roman"/>
          <w:sz w:val="24"/>
          <w:szCs w:val="24"/>
          <w:u w:val="single"/>
        </w:rPr>
        <w:t xml:space="preserve">whether the declaration </w:t>
      </w:r>
      <w:r w:rsidR="004802B4">
        <w:rPr>
          <w:rFonts w:ascii="Times New Roman" w:hAnsi="Times New Roman" w:cs="Times New Roman"/>
          <w:sz w:val="24"/>
          <w:szCs w:val="24"/>
          <w:u w:val="single"/>
        </w:rPr>
        <w:t xml:space="preserve">is a nullity for having been </w:t>
      </w:r>
      <w:r>
        <w:rPr>
          <w:rFonts w:ascii="Times New Roman" w:hAnsi="Times New Roman" w:cs="Times New Roman"/>
          <w:sz w:val="24"/>
          <w:szCs w:val="24"/>
          <w:u w:val="single"/>
        </w:rPr>
        <w:t xml:space="preserve">filed out of time </w:t>
      </w:r>
      <w:r w:rsidR="004802B4">
        <w:rPr>
          <w:rFonts w:ascii="Times New Roman" w:hAnsi="Times New Roman" w:cs="Times New Roman"/>
          <w:sz w:val="24"/>
          <w:szCs w:val="24"/>
          <w:u w:val="single"/>
        </w:rPr>
        <w:t>in circumstances where condonation was not sought.</w:t>
      </w:r>
      <w:r w:rsidR="009C7AB6">
        <w:rPr>
          <w:rFonts w:ascii="Times New Roman" w:hAnsi="Times New Roman" w:cs="Times New Roman"/>
          <w:sz w:val="24"/>
          <w:szCs w:val="24"/>
          <w:u w:val="single"/>
        </w:rPr>
        <w:t xml:space="preserve"> </w:t>
      </w:r>
      <w:r>
        <w:rPr>
          <w:rFonts w:ascii="Times New Roman" w:hAnsi="Times New Roman" w:cs="Times New Roman"/>
          <w:sz w:val="24"/>
          <w:szCs w:val="24"/>
        </w:rPr>
        <w:t xml:space="preserve">However, in his oral </w:t>
      </w:r>
      <w:r w:rsidR="004802B4">
        <w:rPr>
          <w:rFonts w:ascii="Times New Roman" w:hAnsi="Times New Roman" w:cs="Times New Roman"/>
          <w:sz w:val="24"/>
          <w:szCs w:val="24"/>
        </w:rPr>
        <w:t xml:space="preserve">submissions </w:t>
      </w:r>
      <w:r w:rsidR="004802B4" w:rsidRPr="005F2625">
        <w:rPr>
          <w:rFonts w:ascii="Times New Roman" w:hAnsi="Times New Roman" w:cs="Times New Roman"/>
          <w:i/>
          <w:sz w:val="24"/>
          <w:szCs w:val="24"/>
        </w:rPr>
        <w:t>Mr Mutasa</w:t>
      </w:r>
      <w:r w:rsidR="004802B4">
        <w:rPr>
          <w:rFonts w:ascii="Times New Roman" w:hAnsi="Times New Roman" w:cs="Times New Roman"/>
          <w:sz w:val="24"/>
          <w:szCs w:val="24"/>
        </w:rPr>
        <w:t xml:space="preserve"> identified his issue as</w:t>
      </w:r>
      <w:r w:rsidR="004802B4" w:rsidRPr="00A51A11">
        <w:rPr>
          <w:rFonts w:ascii="Times New Roman" w:hAnsi="Times New Roman" w:cs="Times New Roman"/>
          <w:i/>
          <w:sz w:val="24"/>
          <w:szCs w:val="24"/>
        </w:rPr>
        <w:t xml:space="preserve"> “whether the appeal filed in SC624/2019 has the effect of suspending the order of the High Court.”</w:t>
      </w:r>
      <w:r w:rsidR="004802B4">
        <w:rPr>
          <w:rFonts w:ascii="Times New Roman" w:hAnsi="Times New Roman" w:cs="Times New Roman"/>
          <w:sz w:val="24"/>
          <w:szCs w:val="24"/>
        </w:rPr>
        <w:t xml:space="preserve"> </w:t>
      </w:r>
      <w:r>
        <w:rPr>
          <w:rFonts w:ascii="Times New Roman" w:hAnsi="Times New Roman" w:cs="Times New Roman"/>
          <w:sz w:val="24"/>
          <w:szCs w:val="24"/>
        </w:rPr>
        <w:t xml:space="preserve"> </w:t>
      </w:r>
      <w:r w:rsidR="004802B4">
        <w:rPr>
          <w:rFonts w:ascii="Times New Roman" w:hAnsi="Times New Roman" w:cs="Times New Roman"/>
          <w:sz w:val="24"/>
          <w:szCs w:val="24"/>
        </w:rPr>
        <w:t xml:space="preserve">He went on to make submissions that the appeal was a nullity as it was filed against an </w:t>
      </w:r>
      <w:r w:rsidR="007337D3">
        <w:rPr>
          <w:rFonts w:ascii="Times New Roman" w:hAnsi="Times New Roman" w:cs="Times New Roman"/>
          <w:sz w:val="24"/>
          <w:szCs w:val="24"/>
        </w:rPr>
        <w:t>in-appealable</w:t>
      </w:r>
      <w:r w:rsidR="004802B4">
        <w:rPr>
          <w:rFonts w:ascii="Times New Roman" w:hAnsi="Times New Roman" w:cs="Times New Roman"/>
          <w:sz w:val="24"/>
          <w:szCs w:val="24"/>
        </w:rPr>
        <w:t xml:space="preserve"> directive of the court. Therefore</w:t>
      </w:r>
      <w:r w:rsidR="00602BDA">
        <w:rPr>
          <w:rFonts w:ascii="Times New Roman" w:hAnsi="Times New Roman" w:cs="Times New Roman"/>
          <w:sz w:val="24"/>
          <w:szCs w:val="24"/>
        </w:rPr>
        <w:t>,</w:t>
      </w:r>
      <w:r w:rsidR="004802B4">
        <w:rPr>
          <w:rFonts w:ascii="Times New Roman" w:hAnsi="Times New Roman" w:cs="Times New Roman"/>
          <w:sz w:val="24"/>
          <w:szCs w:val="24"/>
        </w:rPr>
        <w:t xml:space="preserve"> the consequences of a void appeal is that the </w:t>
      </w:r>
      <w:r w:rsidR="004802B4">
        <w:rPr>
          <w:rFonts w:ascii="Times New Roman" w:hAnsi="Times New Roman" w:cs="Times New Roman"/>
          <w:sz w:val="24"/>
          <w:szCs w:val="24"/>
        </w:rPr>
        <w:lastRenderedPageBreak/>
        <w:t xml:space="preserve">special plea should be upheld. For this he relied on </w:t>
      </w:r>
      <w:r w:rsidR="004802B4" w:rsidRPr="00A9540C">
        <w:rPr>
          <w:rFonts w:ascii="Times New Roman" w:hAnsi="Times New Roman" w:cs="Times New Roman"/>
          <w:i/>
          <w:sz w:val="24"/>
          <w:szCs w:val="24"/>
        </w:rPr>
        <w:t xml:space="preserve">Charle de Kock &amp; Wilton Tobacco </w:t>
      </w:r>
      <w:r w:rsidR="004802B4" w:rsidRPr="00602BDA">
        <w:rPr>
          <w:rFonts w:ascii="Times New Roman" w:hAnsi="Times New Roman" w:cs="Times New Roman"/>
          <w:sz w:val="24"/>
          <w:szCs w:val="24"/>
        </w:rPr>
        <w:t>v</w:t>
      </w:r>
      <w:r w:rsidR="004802B4" w:rsidRPr="00A9540C">
        <w:rPr>
          <w:rFonts w:ascii="Times New Roman" w:hAnsi="Times New Roman" w:cs="Times New Roman"/>
          <w:i/>
          <w:sz w:val="24"/>
          <w:szCs w:val="24"/>
        </w:rPr>
        <w:t xml:space="preserve"> Mike M</w:t>
      </w:r>
      <w:r w:rsidR="00A9540C">
        <w:rPr>
          <w:rFonts w:ascii="Times New Roman" w:hAnsi="Times New Roman" w:cs="Times New Roman"/>
          <w:i/>
          <w:sz w:val="24"/>
          <w:szCs w:val="24"/>
        </w:rPr>
        <w:t>adiro</w:t>
      </w:r>
      <w:r w:rsidR="00A9540C">
        <w:rPr>
          <w:rStyle w:val="FootnoteReference"/>
          <w:rFonts w:ascii="Times New Roman" w:hAnsi="Times New Roman"/>
          <w:i/>
          <w:sz w:val="24"/>
          <w:szCs w:val="24"/>
        </w:rPr>
        <w:footnoteReference w:id="4"/>
      </w:r>
    </w:p>
    <w:p w:rsidR="00A51A11" w:rsidRDefault="004802B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Understandably, </w:t>
      </w:r>
      <w:r w:rsidRPr="00602BDA">
        <w:rPr>
          <w:rFonts w:ascii="Times New Roman" w:hAnsi="Times New Roman" w:cs="Times New Roman"/>
          <w:sz w:val="24"/>
          <w:szCs w:val="24"/>
        </w:rPr>
        <w:t>Mr</w:t>
      </w:r>
      <w:r w:rsidRPr="00A51A11">
        <w:rPr>
          <w:rFonts w:ascii="Times New Roman" w:hAnsi="Times New Roman" w:cs="Times New Roman"/>
          <w:i/>
          <w:sz w:val="24"/>
          <w:szCs w:val="24"/>
        </w:rPr>
        <w:t xml:space="preserve"> Biti</w:t>
      </w:r>
      <w:r>
        <w:rPr>
          <w:rFonts w:ascii="Times New Roman" w:hAnsi="Times New Roman" w:cs="Times New Roman"/>
          <w:sz w:val="24"/>
          <w:szCs w:val="24"/>
        </w:rPr>
        <w:t xml:space="preserve"> for the </w:t>
      </w:r>
      <w:r w:rsidR="007337D3">
        <w:rPr>
          <w:rFonts w:ascii="Times New Roman" w:hAnsi="Times New Roman" w:cs="Times New Roman"/>
          <w:sz w:val="24"/>
          <w:szCs w:val="24"/>
        </w:rPr>
        <w:t>plaintiffs</w:t>
      </w:r>
      <w:r>
        <w:rPr>
          <w:rFonts w:ascii="Times New Roman" w:hAnsi="Times New Roman" w:cs="Times New Roman"/>
          <w:sz w:val="24"/>
          <w:szCs w:val="24"/>
        </w:rPr>
        <w:t xml:space="preserve"> pointed out that what </w:t>
      </w:r>
      <w:r w:rsidRPr="00602BDA">
        <w:rPr>
          <w:rFonts w:ascii="Times New Roman" w:hAnsi="Times New Roman" w:cs="Times New Roman"/>
          <w:sz w:val="24"/>
          <w:szCs w:val="24"/>
        </w:rPr>
        <w:t>Mr</w:t>
      </w:r>
      <w:r w:rsidRPr="00A51A11">
        <w:rPr>
          <w:rFonts w:ascii="Times New Roman" w:hAnsi="Times New Roman" w:cs="Times New Roman"/>
          <w:i/>
          <w:sz w:val="24"/>
          <w:szCs w:val="24"/>
        </w:rPr>
        <w:t xml:space="preserve"> Mutasa</w:t>
      </w:r>
      <w:r>
        <w:rPr>
          <w:rFonts w:ascii="Times New Roman" w:hAnsi="Times New Roman" w:cs="Times New Roman"/>
          <w:sz w:val="24"/>
          <w:szCs w:val="24"/>
        </w:rPr>
        <w:t xml:space="preserve"> submitted on was not in the special plea and heads of argument. Neither was it even the case in the application to strike out the declaration in HC</w:t>
      </w:r>
      <w:r w:rsidR="00602BDA">
        <w:rPr>
          <w:rFonts w:ascii="Times New Roman" w:hAnsi="Times New Roman" w:cs="Times New Roman"/>
          <w:sz w:val="24"/>
          <w:szCs w:val="24"/>
        </w:rPr>
        <w:t xml:space="preserve"> </w:t>
      </w:r>
      <w:r>
        <w:rPr>
          <w:rFonts w:ascii="Times New Roman" w:hAnsi="Times New Roman" w:cs="Times New Roman"/>
          <w:sz w:val="24"/>
          <w:szCs w:val="24"/>
        </w:rPr>
        <w:t xml:space="preserve">3096/20. The question that the appeal was never made </w:t>
      </w:r>
      <w:r w:rsidR="00A51A11">
        <w:rPr>
          <w:rFonts w:ascii="Times New Roman" w:hAnsi="Times New Roman" w:cs="Times New Roman"/>
          <w:sz w:val="24"/>
          <w:szCs w:val="24"/>
        </w:rPr>
        <w:t xml:space="preserve">as it was void </w:t>
      </w:r>
      <w:r w:rsidR="00A51A11" w:rsidRPr="00A51A11">
        <w:rPr>
          <w:rFonts w:ascii="Times New Roman" w:hAnsi="Times New Roman" w:cs="Times New Roman"/>
          <w:i/>
          <w:sz w:val="24"/>
          <w:szCs w:val="24"/>
        </w:rPr>
        <w:t>ab initio</w:t>
      </w:r>
      <w:r w:rsidR="00A51A11">
        <w:rPr>
          <w:rFonts w:ascii="Times New Roman" w:hAnsi="Times New Roman" w:cs="Times New Roman"/>
          <w:sz w:val="24"/>
          <w:szCs w:val="24"/>
        </w:rPr>
        <w:t xml:space="preserve"> was never raised </w:t>
      </w:r>
      <w:r>
        <w:rPr>
          <w:rFonts w:ascii="Times New Roman" w:hAnsi="Times New Roman" w:cs="Times New Roman"/>
          <w:sz w:val="24"/>
          <w:szCs w:val="24"/>
        </w:rPr>
        <w:t xml:space="preserve">and </w:t>
      </w:r>
      <w:r w:rsidR="00A9540C">
        <w:rPr>
          <w:rFonts w:ascii="Times New Roman" w:hAnsi="Times New Roman" w:cs="Times New Roman"/>
          <w:sz w:val="24"/>
          <w:szCs w:val="24"/>
        </w:rPr>
        <w:t xml:space="preserve">hence the </w:t>
      </w:r>
      <w:r w:rsidR="007337D3">
        <w:rPr>
          <w:rFonts w:ascii="Times New Roman" w:hAnsi="Times New Roman" w:cs="Times New Roman"/>
          <w:sz w:val="24"/>
          <w:szCs w:val="24"/>
        </w:rPr>
        <w:t>plaintiffs</w:t>
      </w:r>
      <w:r w:rsidR="00A9540C">
        <w:rPr>
          <w:rFonts w:ascii="Times New Roman" w:hAnsi="Times New Roman" w:cs="Times New Roman"/>
          <w:sz w:val="24"/>
          <w:szCs w:val="24"/>
        </w:rPr>
        <w:t xml:space="preserve"> did not an</w:t>
      </w:r>
      <w:r>
        <w:rPr>
          <w:rFonts w:ascii="Times New Roman" w:hAnsi="Times New Roman" w:cs="Times New Roman"/>
          <w:sz w:val="24"/>
          <w:szCs w:val="24"/>
        </w:rPr>
        <w:t xml:space="preserve">d could not address it. </w:t>
      </w:r>
      <w:r w:rsidR="00A9540C">
        <w:rPr>
          <w:rFonts w:ascii="Times New Roman" w:hAnsi="Times New Roman" w:cs="Times New Roman"/>
          <w:sz w:val="24"/>
          <w:szCs w:val="24"/>
        </w:rPr>
        <w:t>In any event, given that a substantive judgment was handed down, no concession is made that the appeal was defective.</w:t>
      </w:r>
      <w:r w:rsidR="00A51A11">
        <w:rPr>
          <w:rFonts w:ascii="Times New Roman" w:hAnsi="Times New Roman" w:cs="Times New Roman"/>
          <w:sz w:val="24"/>
          <w:szCs w:val="24"/>
        </w:rPr>
        <w:t xml:space="preserve"> </w:t>
      </w:r>
      <w:r w:rsidR="00A9540C">
        <w:rPr>
          <w:rFonts w:ascii="Times New Roman" w:hAnsi="Times New Roman" w:cs="Times New Roman"/>
          <w:sz w:val="24"/>
          <w:szCs w:val="24"/>
        </w:rPr>
        <w:t xml:space="preserve">As to whether the declaration was out of time, </w:t>
      </w:r>
      <w:r w:rsidR="008B1C45" w:rsidRPr="00602BDA">
        <w:rPr>
          <w:rFonts w:ascii="Times New Roman" w:hAnsi="Times New Roman" w:cs="Times New Roman"/>
          <w:sz w:val="24"/>
          <w:szCs w:val="24"/>
        </w:rPr>
        <w:t xml:space="preserve">Mr </w:t>
      </w:r>
      <w:r w:rsidR="008B1C45" w:rsidRPr="00A51A11">
        <w:rPr>
          <w:rFonts w:ascii="Times New Roman" w:hAnsi="Times New Roman" w:cs="Times New Roman"/>
          <w:i/>
          <w:sz w:val="24"/>
          <w:szCs w:val="24"/>
        </w:rPr>
        <w:t>Biti</w:t>
      </w:r>
      <w:r w:rsidR="008B1C45">
        <w:rPr>
          <w:rFonts w:ascii="Times New Roman" w:hAnsi="Times New Roman" w:cs="Times New Roman"/>
          <w:sz w:val="24"/>
          <w:szCs w:val="24"/>
        </w:rPr>
        <w:t xml:space="preserve"> submits that </w:t>
      </w:r>
      <w:r w:rsidR="00A9540C">
        <w:rPr>
          <w:rFonts w:ascii="Times New Roman" w:hAnsi="Times New Roman" w:cs="Times New Roman"/>
          <w:sz w:val="24"/>
          <w:szCs w:val="24"/>
        </w:rPr>
        <w:t xml:space="preserve">until the Supreme Court made its determination, the common law </w:t>
      </w:r>
      <w:r w:rsidR="008B1C45">
        <w:rPr>
          <w:rFonts w:ascii="Times New Roman" w:hAnsi="Times New Roman" w:cs="Times New Roman"/>
          <w:sz w:val="24"/>
          <w:szCs w:val="24"/>
        </w:rPr>
        <w:t xml:space="preserve">position is that </w:t>
      </w:r>
      <w:r w:rsidR="005F2625">
        <w:rPr>
          <w:rFonts w:ascii="Times New Roman" w:hAnsi="Times New Roman" w:cs="Times New Roman"/>
          <w:sz w:val="24"/>
          <w:szCs w:val="24"/>
        </w:rPr>
        <w:t>the noting</w:t>
      </w:r>
      <w:r w:rsidR="008B1C45">
        <w:rPr>
          <w:rFonts w:ascii="Times New Roman" w:hAnsi="Times New Roman" w:cs="Times New Roman"/>
          <w:sz w:val="24"/>
          <w:szCs w:val="24"/>
        </w:rPr>
        <w:t xml:space="preserve"> of </w:t>
      </w:r>
      <w:r w:rsidR="005F2625">
        <w:rPr>
          <w:rFonts w:ascii="Times New Roman" w:hAnsi="Times New Roman" w:cs="Times New Roman"/>
          <w:sz w:val="24"/>
          <w:szCs w:val="24"/>
        </w:rPr>
        <w:t xml:space="preserve">an </w:t>
      </w:r>
      <w:r w:rsidR="008B1C45">
        <w:rPr>
          <w:rFonts w:ascii="Times New Roman" w:hAnsi="Times New Roman" w:cs="Times New Roman"/>
          <w:sz w:val="24"/>
          <w:szCs w:val="24"/>
        </w:rPr>
        <w:t xml:space="preserve">appeal suspends a judgment except in certain exceptional circumstances. </w:t>
      </w:r>
      <w:r w:rsidR="00A51A11">
        <w:rPr>
          <w:rFonts w:ascii="Times New Roman" w:hAnsi="Times New Roman" w:cs="Times New Roman"/>
          <w:sz w:val="24"/>
          <w:szCs w:val="24"/>
        </w:rPr>
        <w:t>Finally, he submits that the special plea is in any case improperly before the court</w:t>
      </w:r>
      <w:r w:rsidR="00C64664">
        <w:rPr>
          <w:rFonts w:ascii="Times New Roman" w:hAnsi="Times New Roman" w:cs="Times New Roman"/>
          <w:sz w:val="24"/>
          <w:szCs w:val="24"/>
        </w:rPr>
        <w:t xml:space="preserve"> it having been set down contrary to r138</w:t>
      </w:r>
      <w:r w:rsidR="00A36E5A">
        <w:rPr>
          <w:rFonts w:ascii="Times New Roman" w:hAnsi="Times New Roman" w:cs="Times New Roman"/>
          <w:sz w:val="24"/>
          <w:szCs w:val="24"/>
        </w:rPr>
        <w:t>(c)</w:t>
      </w:r>
      <w:r w:rsidR="00C64664">
        <w:rPr>
          <w:rFonts w:ascii="Times New Roman" w:hAnsi="Times New Roman" w:cs="Times New Roman"/>
          <w:sz w:val="24"/>
          <w:szCs w:val="24"/>
        </w:rPr>
        <w:t>.</w:t>
      </w:r>
    </w:p>
    <w:p w:rsidR="009C7AB6" w:rsidRPr="009C7AB6" w:rsidRDefault="009C7AB6"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agree with </w:t>
      </w:r>
      <w:r w:rsidRPr="00602BDA">
        <w:rPr>
          <w:rFonts w:ascii="Times New Roman" w:hAnsi="Times New Roman" w:cs="Times New Roman"/>
          <w:sz w:val="24"/>
          <w:szCs w:val="24"/>
        </w:rPr>
        <w:t>Mr</w:t>
      </w:r>
      <w:r w:rsidRPr="009C7AB6">
        <w:rPr>
          <w:rFonts w:ascii="Times New Roman" w:hAnsi="Times New Roman" w:cs="Times New Roman"/>
          <w:i/>
          <w:sz w:val="24"/>
          <w:szCs w:val="24"/>
        </w:rPr>
        <w:t xml:space="preserve"> Biti</w:t>
      </w:r>
      <w:r>
        <w:rPr>
          <w:rFonts w:ascii="Times New Roman" w:hAnsi="Times New Roman" w:cs="Times New Roman"/>
          <w:i/>
          <w:sz w:val="24"/>
          <w:szCs w:val="24"/>
        </w:rPr>
        <w:t xml:space="preserve">. </w:t>
      </w:r>
      <w:r>
        <w:rPr>
          <w:rFonts w:ascii="Times New Roman" w:hAnsi="Times New Roman" w:cs="Times New Roman"/>
          <w:sz w:val="24"/>
          <w:szCs w:val="24"/>
        </w:rPr>
        <w:t>While the question of whether the appeal before the Supreme C</w:t>
      </w:r>
      <w:r w:rsidR="00A51A11">
        <w:rPr>
          <w:rFonts w:ascii="Times New Roman" w:hAnsi="Times New Roman" w:cs="Times New Roman"/>
          <w:sz w:val="24"/>
          <w:szCs w:val="24"/>
        </w:rPr>
        <w:t xml:space="preserve">ourt was a nullity or not is </w:t>
      </w:r>
      <w:r>
        <w:rPr>
          <w:rFonts w:ascii="Times New Roman" w:hAnsi="Times New Roman" w:cs="Times New Roman"/>
          <w:sz w:val="24"/>
          <w:szCs w:val="24"/>
        </w:rPr>
        <w:t xml:space="preserve">indeed a question of law, it is not the subject of the special plea. The </w:t>
      </w:r>
      <w:r w:rsidR="007337D3">
        <w:rPr>
          <w:rFonts w:ascii="Times New Roman" w:hAnsi="Times New Roman" w:cs="Times New Roman"/>
          <w:sz w:val="24"/>
          <w:szCs w:val="24"/>
        </w:rPr>
        <w:t>defendant</w:t>
      </w:r>
      <w:r>
        <w:rPr>
          <w:rFonts w:ascii="Times New Roman" w:hAnsi="Times New Roman" w:cs="Times New Roman"/>
          <w:sz w:val="24"/>
          <w:szCs w:val="24"/>
        </w:rPr>
        <w:t xml:space="preserve"> cannot be allowed to amend his special plea through oral arguments during the hearing to plug loopholes in his case.</w:t>
      </w:r>
      <w:r w:rsidR="00A36E5A">
        <w:rPr>
          <w:rFonts w:ascii="Times New Roman" w:hAnsi="Times New Roman" w:cs="Times New Roman"/>
          <w:sz w:val="24"/>
          <w:szCs w:val="24"/>
        </w:rPr>
        <w:t xml:space="preserve"> In any event, it is not for this court to determine that an appeal to the Supreme Court is a nullity and void </w:t>
      </w:r>
      <w:r w:rsidR="00A36E5A" w:rsidRPr="00A36E5A">
        <w:rPr>
          <w:rFonts w:ascii="Times New Roman" w:hAnsi="Times New Roman" w:cs="Times New Roman"/>
          <w:i/>
          <w:sz w:val="24"/>
          <w:szCs w:val="24"/>
        </w:rPr>
        <w:t>ab initio</w:t>
      </w:r>
      <w:r w:rsidR="00A36E5A">
        <w:rPr>
          <w:rFonts w:ascii="Times New Roman" w:hAnsi="Times New Roman" w:cs="Times New Roman"/>
          <w:sz w:val="24"/>
          <w:szCs w:val="24"/>
        </w:rPr>
        <w:t>. The order of the Supreme Court does not state the reasons for striking out the appeal.</w:t>
      </w:r>
    </w:p>
    <w:p w:rsidR="00A9540C" w:rsidRDefault="008B1C45"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and in any event, </w:t>
      </w:r>
      <w:r w:rsidR="009C7AB6" w:rsidRPr="00602BDA">
        <w:rPr>
          <w:rFonts w:ascii="Times New Roman" w:hAnsi="Times New Roman" w:cs="Times New Roman"/>
          <w:sz w:val="24"/>
          <w:szCs w:val="24"/>
        </w:rPr>
        <w:t>Mr</w:t>
      </w:r>
      <w:r w:rsidR="009C7AB6" w:rsidRPr="00A51A11">
        <w:rPr>
          <w:rFonts w:ascii="Times New Roman" w:hAnsi="Times New Roman" w:cs="Times New Roman"/>
          <w:i/>
          <w:sz w:val="24"/>
          <w:szCs w:val="24"/>
        </w:rPr>
        <w:t xml:space="preserve"> Biti</w:t>
      </w:r>
      <w:r w:rsidR="009C7AB6">
        <w:rPr>
          <w:rFonts w:ascii="Times New Roman" w:hAnsi="Times New Roman" w:cs="Times New Roman"/>
          <w:sz w:val="24"/>
          <w:szCs w:val="24"/>
        </w:rPr>
        <w:t xml:space="preserve"> is also correct that </w:t>
      </w:r>
      <w:r>
        <w:rPr>
          <w:rFonts w:ascii="Times New Roman" w:hAnsi="Times New Roman" w:cs="Times New Roman"/>
          <w:sz w:val="24"/>
          <w:szCs w:val="24"/>
        </w:rPr>
        <w:t xml:space="preserve">the special plea is improperly before the court, it having been filed on 2 October 2020 </w:t>
      </w:r>
      <w:r w:rsidR="00A36E5A">
        <w:rPr>
          <w:rFonts w:ascii="Times New Roman" w:hAnsi="Times New Roman" w:cs="Times New Roman"/>
          <w:sz w:val="24"/>
          <w:szCs w:val="24"/>
        </w:rPr>
        <w:t xml:space="preserve">with </w:t>
      </w:r>
      <w:r>
        <w:rPr>
          <w:rFonts w:ascii="Times New Roman" w:hAnsi="Times New Roman" w:cs="Times New Roman"/>
          <w:sz w:val="24"/>
          <w:szCs w:val="24"/>
        </w:rPr>
        <w:t>the heads of argument</w:t>
      </w:r>
      <w:r w:rsidR="00C64664">
        <w:rPr>
          <w:rFonts w:ascii="Times New Roman" w:hAnsi="Times New Roman" w:cs="Times New Roman"/>
          <w:sz w:val="24"/>
          <w:szCs w:val="24"/>
        </w:rPr>
        <w:t xml:space="preserve"> </w:t>
      </w:r>
      <w:r w:rsidR="00A36E5A">
        <w:rPr>
          <w:rFonts w:ascii="Times New Roman" w:hAnsi="Times New Roman" w:cs="Times New Roman"/>
          <w:sz w:val="24"/>
          <w:szCs w:val="24"/>
        </w:rPr>
        <w:t>being</w:t>
      </w:r>
      <w:r w:rsidR="00C64664">
        <w:rPr>
          <w:rFonts w:ascii="Times New Roman" w:hAnsi="Times New Roman" w:cs="Times New Roman"/>
          <w:sz w:val="24"/>
          <w:szCs w:val="24"/>
        </w:rPr>
        <w:t xml:space="preserve"> subsequently filed </w:t>
      </w:r>
      <w:r w:rsidR="00A36E5A">
        <w:rPr>
          <w:rFonts w:ascii="Times New Roman" w:hAnsi="Times New Roman" w:cs="Times New Roman"/>
          <w:sz w:val="24"/>
          <w:szCs w:val="24"/>
        </w:rPr>
        <w:t xml:space="preserve">only </w:t>
      </w:r>
      <w:r>
        <w:rPr>
          <w:rFonts w:ascii="Times New Roman" w:hAnsi="Times New Roman" w:cs="Times New Roman"/>
          <w:sz w:val="24"/>
          <w:szCs w:val="24"/>
        </w:rPr>
        <w:t>on 20 October 2020. The special plea ought to have been set down in terms o</w:t>
      </w:r>
      <w:r w:rsidR="00F04A56">
        <w:rPr>
          <w:rFonts w:ascii="Times New Roman" w:hAnsi="Times New Roman" w:cs="Times New Roman"/>
          <w:sz w:val="24"/>
          <w:szCs w:val="24"/>
        </w:rPr>
        <w:t>f</w:t>
      </w:r>
      <w:r>
        <w:rPr>
          <w:rFonts w:ascii="Times New Roman" w:hAnsi="Times New Roman" w:cs="Times New Roman"/>
          <w:sz w:val="24"/>
          <w:szCs w:val="24"/>
        </w:rPr>
        <w:t xml:space="preserve"> r138 by 16 October 2020</w:t>
      </w:r>
      <w:r w:rsidR="00F04A56">
        <w:rPr>
          <w:rFonts w:ascii="Times New Roman" w:hAnsi="Times New Roman" w:cs="Times New Roman"/>
          <w:sz w:val="24"/>
          <w:szCs w:val="24"/>
        </w:rPr>
        <w:t>,</w:t>
      </w:r>
      <w:r>
        <w:rPr>
          <w:rFonts w:ascii="Times New Roman" w:hAnsi="Times New Roman" w:cs="Times New Roman"/>
          <w:sz w:val="24"/>
          <w:szCs w:val="24"/>
        </w:rPr>
        <w:t xml:space="preserve"> that is</w:t>
      </w:r>
      <w:r w:rsidR="00F04A56">
        <w:rPr>
          <w:rFonts w:ascii="Times New Roman" w:hAnsi="Times New Roman" w:cs="Times New Roman"/>
          <w:sz w:val="24"/>
          <w:szCs w:val="24"/>
        </w:rPr>
        <w:t>;</w:t>
      </w:r>
      <w:r>
        <w:rPr>
          <w:rFonts w:ascii="Times New Roman" w:hAnsi="Times New Roman" w:cs="Times New Roman"/>
          <w:sz w:val="24"/>
          <w:szCs w:val="24"/>
        </w:rPr>
        <w:t xml:space="preserve"> within the aggregate 14 </w:t>
      </w:r>
      <w:r w:rsidR="00A36E5A">
        <w:rPr>
          <w:rFonts w:ascii="Times New Roman" w:hAnsi="Times New Roman" w:cs="Times New Roman"/>
          <w:sz w:val="24"/>
          <w:szCs w:val="24"/>
        </w:rPr>
        <w:t xml:space="preserve">days </w:t>
      </w:r>
      <w:r>
        <w:rPr>
          <w:rFonts w:ascii="Times New Roman" w:hAnsi="Times New Roman" w:cs="Times New Roman"/>
          <w:sz w:val="24"/>
          <w:szCs w:val="24"/>
        </w:rPr>
        <w:t xml:space="preserve">required by the rules. Having failed to do so, the </w:t>
      </w:r>
      <w:r w:rsidR="007337D3">
        <w:rPr>
          <w:rFonts w:ascii="Times New Roman" w:hAnsi="Times New Roman" w:cs="Times New Roman"/>
          <w:sz w:val="24"/>
          <w:szCs w:val="24"/>
        </w:rPr>
        <w:t>defendant</w:t>
      </w:r>
      <w:r>
        <w:rPr>
          <w:rFonts w:ascii="Times New Roman" w:hAnsi="Times New Roman" w:cs="Times New Roman"/>
          <w:sz w:val="24"/>
          <w:szCs w:val="24"/>
        </w:rPr>
        <w:t xml:space="preserve"> ought to have pleaded over to the merits for the special plea to be determined at the trial.</w:t>
      </w:r>
    </w:p>
    <w:p w:rsidR="008B1C45" w:rsidRPr="00F04A56" w:rsidRDefault="0046100E"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that </w:t>
      </w:r>
      <w:r w:rsidR="00C64664" w:rsidRPr="00602BDA">
        <w:rPr>
          <w:rFonts w:ascii="Times New Roman" w:hAnsi="Times New Roman" w:cs="Times New Roman"/>
          <w:sz w:val="24"/>
          <w:szCs w:val="24"/>
        </w:rPr>
        <w:t>Mr</w:t>
      </w:r>
      <w:r w:rsidR="00C64664" w:rsidRPr="00C64664">
        <w:rPr>
          <w:rFonts w:ascii="Times New Roman" w:hAnsi="Times New Roman" w:cs="Times New Roman"/>
          <w:i/>
          <w:sz w:val="24"/>
          <w:szCs w:val="24"/>
        </w:rPr>
        <w:t xml:space="preserve"> Mutasa</w:t>
      </w:r>
      <w:r w:rsidR="00C64664">
        <w:rPr>
          <w:rFonts w:ascii="Times New Roman" w:hAnsi="Times New Roman" w:cs="Times New Roman"/>
          <w:sz w:val="24"/>
          <w:szCs w:val="24"/>
        </w:rPr>
        <w:t xml:space="preserve">, for the </w:t>
      </w:r>
      <w:r w:rsidR="007337D3">
        <w:rPr>
          <w:rFonts w:ascii="Times New Roman" w:hAnsi="Times New Roman" w:cs="Times New Roman"/>
          <w:sz w:val="24"/>
          <w:szCs w:val="24"/>
        </w:rPr>
        <w:t>defendant</w:t>
      </w:r>
      <w:r w:rsidR="00C64664">
        <w:rPr>
          <w:rFonts w:ascii="Times New Roman" w:hAnsi="Times New Roman" w:cs="Times New Roman"/>
          <w:sz w:val="24"/>
          <w:szCs w:val="24"/>
        </w:rPr>
        <w:t>,</w:t>
      </w:r>
      <w:r>
        <w:rPr>
          <w:rFonts w:ascii="Times New Roman" w:hAnsi="Times New Roman" w:cs="Times New Roman"/>
          <w:sz w:val="24"/>
          <w:szCs w:val="24"/>
        </w:rPr>
        <w:t xml:space="preserve"> makes no submissions </w:t>
      </w:r>
      <w:r w:rsidR="00A36E5A">
        <w:rPr>
          <w:rFonts w:ascii="Times New Roman" w:hAnsi="Times New Roman" w:cs="Times New Roman"/>
          <w:sz w:val="24"/>
          <w:szCs w:val="24"/>
        </w:rPr>
        <w:t>i</w:t>
      </w:r>
      <w:r>
        <w:rPr>
          <w:rFonts w:ascii="Times New Roman" w:hAnsi="Times New Roman" w:cs="Times New Roman"/>
          <w:sz w:val="24"/>
          <w:szCs w:val="24"/>
        </w:rPr>
        <w:t xml:space="preserve">n this regard. Indeed, he could not as the law is clear per </w:t>
      </w:r>
      <w:r>
        <w:rPr>
          <w:rFonts w:ascii="Times New Roman" w:hAnsi="Times New Roman" w:cs="Times New Roman"/>
          <w:i/>
          <w:sz w:val="24"/>
          <w:szCs w:val="24"/>
        </w:rPr>
        <w:t xml:space="preserve">Sammy’s Group (Pvt) Ltd </w:t>
      </w:r>
      <w:r w:rsidRPr="00602BDA">
        <w:rPr>
          <w:rFonts w:ascii="Times New Roman" w:hAnsi="Times New Roman" w:cs="Times New Roman"/>
          <w:sz w:val="24"/>
          <w:szCs w:val="24"/>
        </w:rPr>
        <w:t xml:space="preserve">v </w:t>
      </w:r>
      <w:r>
        <w:rPr>
          <w:rFonts w:ascii="Times New Roman" w:hAnsi="Times New Roman" w:cs="Times New Roman"/>
          <w:i/>
          <w:sz w:val="24"/>
          <w:szCs w:val="24"/>
        </w:rPr>
        <w:t>Meyburgh NO &amp; Ors</w:t>
      </w:r>
      <w:r>
        <w:rPr>
          <w:rStyle w:val="FootnoteReference"/>
          <w:rFonts w:ascii="Times New Roman" w:hAnsi="Times New Roman"/>
          <w:i/>
          <w:sz w:val="24"/>
          <w:szCs w:val="24"/>
        </w:rPr>
        <w:footnoteReference w:id="5"/>
      </w:r>
      <w:r w:rsidR="00F04A56">
        <w:rPr>
          <w:rFonts w:ascii="Times New Roman" w:hAnsi="Times New Roman" w:cs="Times New Roman"/>
          <w:i/>
          <w:sz w:val="24"/>
          <w:szCs w:val="24"/>
        </w:rPr>
        <w:t>.</w:t>
      </w:r>
      <w:r w:rsidR="00F04A56">
        <w:rPr>
          <w:rFonts w:ascii="Times New Roman" w:hAnsi="Times New Roman" w:cs="Times New Roman"/>
          <w:sz w:val="24"/>
          <w:szCs w:val="24"/>
        </w:rPr>
        <w:t xml:space="preserve"> </w:t>
      </w:r>
      <w:r w:rsidR="00A87AB9">
        <w:rPr>
          <w:rFonts w:ascii="Times New Roman" w:hAnsi="Times New Roman" w:cs="Times New Roman"/>
          <w:sz w:val="24"/>
          <w:szCs w:val="24"/>
        </w:rPr>
        <w:t xml:space="preserve">R138 is mandatory. Anything done outside its provisions </w:t>
      </w:r>
      <w:r w:rsidR="00A51A11">
        <w:rPr>
          <w:rFonts w:ascii="Times New Roman" w:hAnsi="Times New Roman" w:cs="Times New Roman"/>
          <w:sz w:val="24"/>
          <w:szCs w:val="24"/>
        </w:rPr>
        <w:t xml:space="preserve">is improper unless condonation has been sought. </w:t>
      </w:r>
      <w:r w:rsidR="00F04A56">
        <w:rPr>
          <w:rFonts w:ascii="Times New Roman" w:hAnsi="Times New Roman" w:cs="Times New Roman"/>
          <w:sz w:val="24"/>
          <w:szCs w:val="24"/>
        </w:rPr>
        <w:t xml:space="preserve">The special plea </w:t>
      </w:r>
      <w:r w:rsidR="00A87AB9">
        <w:rPr>
          <w:rFonts w:ascii="Times New Roman" w:hAnsi="Times New Roman" w:cs="Times New Roman"/>
          <w:sz w:val="24"/>
          <w:szCs w:val="24"/>
        </w:rPr>
        <w:t xml:space="preserve">should not have been set down </w:t>
      </w:r>
      <w:r w:rsidR="00A51A11">
        <w:rPr>
          <w:rFonts w:ascii="Times New Roman" w:hAnsi="Times New Roman" w:cs="Times New Roman"/>
          <w:sz w:val="24"/>
          <w:szCs w:val="24"/>
        </w:rPr>
        <w:t>outside the precincts of r138</w:t>
      </w:r>
      <w:r w:rsidR="00C64664">
        <w:rPr>
          <w:rFonts w:ascii="Times New Roman" w:hAnsi="Times New Roman" w:cs="Times New Roman"/>
          <w:sz w:val="24"/>
          <w:szCs w:val="24"/>
        </w:rPr>
        <w:t xml:space="preserve"> as no condonation had been sought</w:t>
      </w:r>
      <w:r w:rsidR="00A51A11">
        <w:rPr>
          <w:rFonts w:ascii="Times New Roman" w:hAnsi="Times New Roman" w:cs="Times New Roman"/>
          <w:sz w:val="24"/>
          <w:szCs w:val="24"/>
        </w:rPr>
        <w:t xml:space="preserve">. It </w:t>
      </w:r>
      <w:r w:rsidR="00C64664">
        <w:rPr>
          <w:rFonts w:ascii="Times New Roman" w:hAnsi="Times New Roman" w:cs="Times New Roman"/>
          <w:sz w:val="24"/>
          <w:szCs w:val="24"/>
        </w:rPr>
        <w:t xml:space="preserve">must </w:t>
      </w:r>
      <w:r w:rsidR="00F04A56">
        <w:rPr>
          <w:rFonts w:ascii="Times New Roman" w:hAnsi="Times New Roman" w:cs="Times New Roman"/>
          <w:sz w:val="24"/>
          <w:szCs w:val="24"/>
        </w:rPr>
        <w:t>now</w:t>
      </w:r>
      <w:r w:rsidR="00C64664">
        <w:rPr>
          <w:rFonts w:ascii="Times New Roman" w:hAnsi="Times New Roman" w:cs="Times New Roman"/>
          <w:sz w:val="24"/>
          <w:szCs w:val="24"/>
        </w:rPr>
        <w:t>, if at all,</w:t>
      </w:r>
      <w:r w:rsidR="00F04A56">
        <w:rPr>
          <w:rFonts w:ascii="Times New Roman" w:hAnsi="Times New Roman" w:cs="Times New Roman"/>
          <w:sz w:val="24"/>
          <w:szCs w:val="24"/>
        </w:rPr>
        <w:t xml:space="preserve"> be heard at the trial. The </w:t>
      </w:r>
      <w:r w:rsidR="00A36E5A">
        <w:rPr>
          <w:rFonts w:ascii="Times New Roman" w:hAnsi="Times New Roman" w:cs="Times New Roman"/>
          <w:sz w:val="24"/>
          <w:szCs w:val="24"/>
        </w:rPr>
        <w:t xml:space="preserve">first </w:t>
      </w:r>
      <w:r w:rsidR="007337D3">
        <w:rPr>
          <w:rFonts w:ascii="Times New Roman" w:hAnsi="Times New Roman" w:cs="Times New Roman"/>
          <w:sz w:val="24"/>
          <w:szCs w:val="24"/>
        </w:rPr>
        <w:t>defendant</w:t>
      </w:r>
      <w:r w:rsidR="00F04A56">
        <w:rPr>
          <w:rFonts w:ascii="Times New Roman" w:hAnsi="Times New Roman" w:cs="Times New Roman"/>
          <w:sz w:val="24"/>
          <w:szCs w:val="24"/>
        </w:rPr>
        <w:t xml:space="preserve"> must plead over to the merits.</w:t>
      </w:r>
    </w:p>
    <w:p w:rsidR="001A0486" w:rsidRDefault="001A0486" w:rsidP="001A0486">
      <w:pPr>
        <w:spacing w:after="0" w:line="360" w:lineRule="auto"/>
        <w:jc w:val="both"/>
        <w:rPr>
          <w:rFonts w:ascii="Times New Roman" w:hAnsi="Times New Roman" w:cs="Times New Roman"/>
          <w:sz w:val="24"/>
          <w:szCs w:val="24"/>
          <w:u w:val="single"/>
        </w:rPr>
      </w:pPr>
      <w:r w:rsidRPr="001A0486">
        <w:rPr>
          <w:rFonts w:ascii="Times New Roman" w:hAnsi="Times New Roman" w:cs="Times New Roman"/>
          <w:sz w:val="24"/>
          <w:szCs w:val="24"/>
          <w:u w:val="single"/>
        </w:rPr>
        <w:lastRenderedPageBreak/>
        <w:t>Costs</w:t>
      </w:r>
    </w:p>
    <w:p w:rsidR="002E5FFA" w:rsidRDefault="007337D3" w:rsidP="001A04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w:t>
      </w:r>
      <w:r w:rsidR="002E5FFA">
        <w:rPr>
          <w:rFonts w:ascii="Times New Roman" w:hAnsi="Times New Roman" w:cs="Times New Roman"/>
          <w:sz w:val="24"/>
          <w:szCs w:val="24"/>
        </w:rPr>
        <w:t xml:space="preserve"> sought costs on the higher scale on the grounds that </w:t>
      </w:r>
      <w:r w:rsidR="001A0486" w:rsidRPr="001A0486">
        <w:rPr>
          <w:rFonts w:ascii="Times New Roman" w:hAnsi="Times New Roman" w:cs="Times New Roman"/>
          <w:sz w:val="24"/>
          <w:szCs w:val="24"/>
        </w:rPr>
        <w:t xml:space="preserve">first </w:t>
      </w:r>
      <w:r>
        <w:rPr>
          <w:rFonts w:ascii="Times New Roman" w:hAnsi="Times New Roman" w:cs="Times New Roman"/>
          <w:sz w:val="24"/>
          <w:szCs w:val="24"/>
        </w:rPr>
        <w:t>defendant</w:t>
      </w:r>
      <w:r w:rsidR="002E5FFA">
        <w:rPr>
          <w:rFonts w:ascii="Times New Roman" w:hAnsi="Times New Roman" w:cs="Times New Roman"/>
          <w:sz w:val="24"/>
          <w:szCs w:val="24"/>
        </w:rPr>
        <w:t xml:space="preserve">’s actions are wrong and frivolous. </w:t>
      </w:r>
      <w:r w:rsidR="002E5FFA" w:rsidRPr="00602BDA">
        <w:rPr>
          <w:rFonts w:ascii="Times New Roman" w:hAnsi="Times New Roman" w:cs="Times New Roman"/>
          <w:sz w:val="24"/>
          <w:szCs w:val="24"/>
        </w:rPr>
        <w:t xml:space="preserve">Mr </w:t>
      </w:r>
      <w:r w:rsidR="002E5FFA">
        <w:rPr>
          <w:rFonts w:ascii="Times New Roman" w:hAnsi="Times New Roman" w:cs="Times New Roman"/>
          <w:i/>
          <w:sz w:val="24"/>
          <w:szCs w:val="24"/>
        </w:rPr>
        <w:t>Mutasa</w:t>
      </w:r>
      <w:r w:rsidR="002E5FFA">
        <w:rPr>
          <w:rFonts w:ascii="Times New Roman" w:hAnsi="Times New Roman" w:cs="Times New Roman"/>
          <w:sz w:val="24"/>
          <w:szCs w:val="24"/>
        </w:rPr>
        <w:t xml:space="preserve"> made no submissions at all on that aspect. However, costs being in the discretion of the court, and punitive costs being warranted only in exceptional circumstances, and in any event, since I have made no determination on the substance of the special plea, costs should follow the result on the ordinary scale.</w:t>
      </w:r>
    </w:p>
    <w:p w:rsidR="002E5FFA" w:rsidRDefault="002E5FFA" w:rsidP="001A0486">
      <w:pPr>
        <w:spacing w:after="0" w:line="360" w:lineRule="auto"/>
        <w:ind w:firstLine="720"/>
        <w:jc w:val="both"/>
        <w:rPr>
          <w:rFonts w:ascii="Times New Roman" w:hAnsi="Times New Roman" w:cs="Times New Roman"/>
          <w:sz w:val="24"/>
          <w:szCs w:val="24"/>
        </w:rPr>
      </w:pPr>
    </w:p>
    <w:p w:rsidR="002E5FFA" w:rsidRDefault="002E5FFA" w:rsidP="002E5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2E5FFA" w:rsidRDefault="002E5FFA" w:rsidP="002E5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A14433" w:rsidRDefault="00A14433" w:rsidP="002E5FFA">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A36E5A">
        <w:rPr>
          <w:rFonts w:ascii="Times New Roman" w:hAnsi="Times New Roman" w:cs="Times New Roman"/>
          <w:sz w:val="24"/>
          <w:szCs w:val="24"/>
        </w:rPr>
        <w:t xml:space="preserve"> first</w:t>
      </w:r>
      <w:r>
        <w:rPr>
          <w:rFonts w:ascii="Times New Roman" w:hAnsi="Times New Roman" w:cs="Times New Roman"/>
          <w:sz w:val="24"/>
          <w:szCs w:val="24"/>
        </w:rPr>
        <w:t xml:space="preserve"> </w:t>
      </w:r>
      <w:r w:rsidR="007337D3">
        <w:rPr>
          <w:rFonts w:ascii="Times New Roman" w:hAnsi="Times New Roman" w:cs="Times New Roman"/>
          <w:sz w:val="24"/>
          <w:szCs w:val="24"/>
        </w:rPr>
        <w:t>defendant</w:t>
      </w:r>
      <w:r>
        <w:rPr>
          <w:rFonts w:ascii="Times New Roman" w:hAnsi="Times New Roman" w:cs="Times New Roman"/>
          <w:sz w:val="24"/>
          <w:szCs w:val="24"/>
        </w:rPr>
        <w:t>’s special plea is stood down for determination at the trial;</w:t>
      </w:r>
    </w:p>
    <w:p w:rsidR="00A14433" w:rsidRDefault="00A14433" w:rsidP="002E5FFA">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A36E5A">
        <w:rPr>
          <w:rFonts w:ascii="Times New Roman" w:hAnsi="Times New Roman" w:cs="Times New Roman"/>
          <w:sz w:val="24"/>
          <w:szCs w:val="24"/>
        </w:rPr>
        <w:t xml:space="preserve"> first</w:t>
      </w:r>
      <w:r>
        <w:rPr>
          <w:rFonts w:ascii="Times New Roman" w:hAnsi="Times New Roman" w:cs="Times New Roman"/>
          <w:sz w:val="24"/>
          <w:szCs w:val="24"/>
        </w:rPr>
        <w:t xml:space="preserve"> </w:t>
      </w:r>
      <w:r w:rsidR="007337D3">
        <w:rPr>
          <w:rFonts w:ascii="Times New Roman" w:hAnsi="Times New Roman" w:cs="Times New Roman"/>
          <w:sz w:val="24"/>
          <w:szCs w:val="24"/>
        </w:rPr>
        <w:t>defendant</w:t>
      </w:r>
      <w:r>
        <w:rPr>
          <w:rFonts w:ascii="Times New Roman" w:hAnsi="Times New Roman" w:cs="Times New Roman"/>
          <w:sz w:val="24"/>
          <w:szCs w:val="24"/>
        </w:rPr>
        <w:t xml:space="preserve"> is directed to plead over to the merits of the claim within 10 days of this order;</w:t>
      </w:r>
    </w:p>
    <w:p w:rsidR="00A14433" w:rsidRDefault="00A36E5A" w:rsidP="002E5FFA">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7337D3">
        <w:rPr>
          <w:rFonts w:ascii="Times New Roman" w:hAnsi="Times New Roman" w:cs="Times New Roman"/>
          <w:sz w:val="24"/>
          <w:szCs w:val="24"/>
        </w:rPr>
        <w:t>defendant</w:t>
      </w:r>
      <w:r w:rsidR="00A14433">
        <w:rPr>
          <w:rFonts w:ascii="Times New Roman" w:hAnsi="Times New Roman" w:cs="Times New Roman"/>
          <w:sz w:val="24"/>
          <w:szCs w:val="24"/>
        </w:rPr>
        <w:t xml:space="preserve"> shall pay </w:t>
      </w:r>
      <w:r w:rsidR="007337D3">
        <w:rPr>
          <w:rFonts w:ascii="Times New Roman" w:hAnsi="Times New Roman" w:cs="Times New Roman"/>
          <w:sz w:val="24"/>
          <w:szCs w:val="24"/>
        </w:rPr>
        <w:t>plaintiffs</w:t>
      </w:r>
      <w:r w:rsidR="00A14433">
        <w:rPr>
          <w:rFonts w:ascii="Times New Roman" w:hAnsi="Times New Roman" w:cs="Times New Roman"/>
          <w:sz w:val="24"/>
          <w:szCs w:val="24"/>
        </w:rPr>
        <w:t>’ costs of suit.</w:t>
      </w:r>
    </w:p>
    <w:p w:rsidR="00894F4F" w:rsidRPr="00894F4F" w:rsidRDefault="00894F4F" w:rsidP="00894F4F">
      <w:pPr>
        <w:pStyle w:val="ListParagraph"/>
        <w:spacing w:after="0" w:line="360" w:lineRule="auto"/>
        <w:ind w:left="1080"/>
        <w:jc w:val="both"/>
        <w:rPr>
          <w:rFonts w:ascii="Times New Roman" w:hAnsi="Times New Roman" w:cs="Times New Roman"/>
          <w:sz w:val="24"/>
          <w:szCs w:val="24"/>
        </w:rPr>
      </w:pPr>
    </w:p>
    <w:p w:rsidR="00585BA6" w:rsidRPr="00585BA6" w:rsidRDefault="000D22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r w:rsidR="00A20452">
        <w:rPr>
          <w:rFonts w:ascii="Times New Roman" w:hAnsi="Times New Roman" w:cs="Times New Roman"/>
          <w:i/>
          <w:sz w:val="24"/>
          <w:szCs w:val="24"/>
        </w:rPr>
        <w:t>Biti Law</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rsidR="00A20452" w:rsidRPr="00585BA6" w:rsidRDefault="00A20452" w:rsidP="00A2045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Messrs Gill Godlonton &amp; Gerrans, </w:t>
      </w:r>
      <w:r>
        <w:rPr>
          <w:rFonts w:ascii="Times New Roman" w:hAnsi="Times New Roman" w:cs="Times New Roman"/>
          <w:sz w:val="24"/>
          <w:szCs w:val="24"/>
        </w:rPr>
        <w:t>applicant’s legal practitioners</w:t>
      </w:r>
    </w:p>
    <w:p w:rsidR="001916DB" w:rsidRPr="00ED4FAA" w:rsidRDefault="001916DB" w:rsidP="00A20452">
      <w:pPr>
        <w:spacing w:after="0" w:line="240" w:lineRule="auto"/>
        <w:rPr>
          <w:rFonts w:ascii="Times New Roman" w:hAnsi="Times New Roman" w:cs="Times New Roman"/>
          <w:sz w:val="24"/>
          <w:szCs w:val="24"/>
          <w:lang w:val="fr-FR"/>
        </w:rPr>
      </w:pPr>
    </w:p>
    <w:sectPr w:rsidR="001916DB" w:rsidRPr="00ED4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147" w:rsidRDefault="007D3147" w:rsidP="00A5344D">
      <w:pPr>
        <w:spacing w:after="0" w:line="240" w:lineRule="auto"/>
      </w:pPr>
      <w:r>
        <w:separator/>
      </w:r>
    </w:p>
  </w:endnote>
  <w:endnote w:type="continuationSeparator" w:id="0">
    <w:p w:rsidR="007D3147" w:rsidRDefault="007D3147"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147" w:rsidRDefault="007D3147" w:rsidP="00A5344D">
      <w:pPr>
        <w:spacing w:after="0" w:line="240" w:lineRule="auto"/>
      </w:pPr>
      <w:r>
        <w:separator/>
      </w:r>
    </w:p>
  </w:footnote>
  <w:footnote w:type="continuationSeparator" w:id="0">
    <w:p w:rsidR="007D3147" w:rsidRDefault="007D3147" w:rsidP="00A5344D">
      <w:pPr>
        <w:spacing w:after="0" w:line="240" w:lineRule="auto"/>
      </w:pPr>
      <w:r>
        <w:continuationSeparator/>
      </w:r>
    </w:p>
  </w:footnote>
  <w:footnote w:id="1">
    <w:p w:rsidR="00F34C7F" w:rsidRPr="00F34C7F" w:rsidRDefault="00F34C7F">
      <w:pPr>
        <w:pStyle w:val="FootnoteText"/>
        <w:rPr>
          <w:lang w:val="en-US"/>
        </w:rPr>
      </w:pPr>
      <w:r>
        <w:rPr>
          <w:rStyle w:val="FootnoteReference"/>
        </w:rPr>
        <w:footnoteRef/>
      </w:r>
      <w:r>
        <w:t xml:space="preserve"> </w:t>
      </w:r>
      <w:r>
        <w:rPr>
          <w:lang w:val="en-US"/>
        </w:rPr>
        <w:t>SC87/20</w:t>
      </w:r>
    </w:p>
  </w:footnote>
  <w:footnote w:id="2">
    <w:p w:rsidR="00F34C7F" w:rsidRPr="00F34C7F" w:rsidRDefault="00F34C7F">
      <w:pPr>
        <w:pStyle w:val="FootnoteText"/>
        <w:rPr>
          <w:lang w:val="en-US"/>
        </w:rPr>
      </w:pPr>
      <w:r>
        <w:rPr>
          <w:rStyle w:val="FootnoteReference"/>
        </w:rPr>
        <w:footnoteRef/>
      </w:r>
      <w:r>
        <w:t xml:space="preserve"> </w:t>
      </w:r>
      <w:r>
        <w:rPr>
          <w:lang w:val="en-US"/>
        </w:rPr>
        <w:t>SC2/17</w:t>
      </w:r>
    </w:p>
  </w:footnote>
  <w:footnote w:id="3">
    <w:p w:rsidR="00F34C7F" w:rsidRPr="00F34C7F" w:rsidRDefault="00F34C7F">
      <w:pPr>
        <w:pStyle w:val="FootnoteText"/>
        <w:rPr>
          <w:lang w:val="en-US"/>
        </w:rPr>
      </w:pPr>
      <w:r>
        <w:rPr>
          <w:rStyle w:val="FootnoteReference"/>
        </w:rPr>
        <w:footnoteRef/>
      </w:r>
      <w:r>
        <w:t xml:space="preserve"> </w:t>
      </w:r>
      <w:r>
        <w:rPr>
          <w:lang w:val="en-US"/>
        </w:rPr>
        <w:t>HH142/17</w:t>
      </w:r>
    </w:p>
  </w:footnote>
  <w:footnote w:id="4">
    <w:p w:rsidR="00A9540C" w:rsidRPr="00A9540C" w:rsidRDefault="00A9540C">
      <w:pPr>
        <w:pStyle w:val="FootnoteText"/>
        <w:rPr>
          <w:lang w:val="en-US"/>
        </w:rPr>
      </w:pPr>
      <w:r>
        <w:rPr>
          <w:rStyle w:val="FootnoteReference"/>
        </w:rPr>
        <w:footnoteRef/>
      </w:r>
      <w:r>
        <w:t xml:space="preserve"> </w:t>
      </w:r>
      <w:r>
        <w:rPr>
          <w:lang w:val="en-US"/>
        </w:rPr>
        <w:t>HH429/2004</w:t>
      </w:r>
    </w:p>
  </w:footnote>
  <w:footnote w:id="5">
    <w:p w:rsidR="0046100E" w:rsidRPr="0046100E" w:rsidRDefault="0046100E">
      <w:pPr>
        <w:pStyle w:val="FootnoteText"/>
        <w:rPr>
          <w:lang w:val="en-US"/>
        </w:rPr>
      </w:pPr>
      <w:r>
        <w:rPr>
          <w:rStyle w:val="FootnoteReference"/>
        </w:rPr>
        <w:footnoteRef/>
      </w:r>
      <w:r>
        <w:t xml:space="preserve"> </w:t>
      </w:r>
      <w:r>
        <w:rPr>
          <w:lang w:val="en-US"/>
        </w:rPr>
        <w:t>SC45-15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6F410F">
          <w:rPr>
            <w:noProof/>
          </w:rPr>
          <w:t>1</w:t>
        </w:r>
        <w:r>
          <w:rPr>
            <w:noProof/>
          </w:rPr>
          <w:fldChar w:fldCharType="end"/>
        </w:r>
      </w:p>
      <w:p w:rsidR="00A20452" w:rsidRDefault="00A20452" w:rsidP="0081013D">
        <w:pPr>
          <w:pStyle w:val="Header"/>
          <w:jc w:val="right"/>
          <w:rPr>
            <w:noProof/>
          </w:rPr>
        </w:pPr>
        <w:r>
          <w:rPr>
            <w:noProof/>
          </w:rPr>
          <w:t>HH</w:t>
        </w:r>
        <w:r w:rsidR="00720D5E">
          <w:rPr>
            <w:noProof/>
          </w:rPr>
          <w:t xml:space="preserve"> 231-21</w:t>
        </w:r>
      </w:p>
      <w:p w:rsidR="00D60DED" w:rsidRDefault="00D60DED" w:rsidP="0081013D">
        <w:pPr>
          <w:pStyle w:val="Header"/>
          <w:jc w:val="right"/>
          <w:rPr>
            <w:noProof/>
          </w:rPr>
        </w:pPr>
        <w:r>
          <w:rPr>
            <w:noProof/>
          </w:rPr>
          <w:t xml:space="preserve">HC </w:t>
        </w:r>
        <w:r w:rsidR="002D1DDF">
          <w:rPr>
            <w:noProof/>
          </w:rPr>
          <w:t>5</w:t>
        </w:r>
        <w:r w:rsidR="00902F54">
          <w:rPr>
            <w:noProof/>
          </w:rPr>
          <w:t>0</w:t>
        </w:r>
        <w:r w:rsidR="002D1DDF">
          <w:rPr>
            <w:noProof/>
          </w:rPr>
          <w:t>40</w:t>
        </w:r>
        <w:r w:rsidR="00A61CD2">
          <w:rPr>
            <w:noProof/>
          </w:rPr>
          <w:t>/19</w:t>
        </w:r>
      </w:p>
      <w:p w:rsidR="00D60DED" w:rsidRDefault="007D3147"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1C37117F"/>
    <w:multiLevelType w:val="hybridMultilevel"/>
    <w:tmpl w:val="333CDC62"/>
    <w:lvl w:ilvl="0" w:tplc="FF4C9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D65304F"/>
    <w:multiLevelType w:val="hybridMultilevel"/>
    <w:tmpl w:val="97762A54"/>
    <w:lvl w:ilvl="0" w:tplc="83FE2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BD10AA4"/>
    <w:multiLevelType w:val="hybridMultilevel"/>
    <w:tmpl w:val="E18EC562"/>
    <w:lvl w:ilvl="0" w:tplc="C026F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8"/>
  </w:num>
  <w:num w:numId="2">
    <w:abstractNumId w:val="9"/>
  </w:num>
  <w:num w:numId="3">
    <w:abstractNumId w:val="5"/>
  </w:num>
  <w:num w:numId="4">
    <w:abstractNumId w:val="39"/>
  </w:num>
  <w:num w:numId="5">
    <w:abstractNumId w:val="40"/>
  </w:num>
  <w:num w:numId="6">
    <w:abstractNumId w:val="42"/>
  </w:num>
  <w:num w:numId="7">
    <w:abstractNumId w:val="18"/>
  </w:num>
  <w:num w:numId="8">
    <w:abstractNumId w:val="27"/>
  </w:num>
  <w:num w:numId="9">
    <w:abstractNumId w:val="38"/>
  </w:num>
  <w:num w:numId="10">
    <w:abstractNumId w:val="13"/>
  </w:num>
  <w:num w:numId="11">
    <w:abstractNumId w:val="33"/>
  </w:num>
  <w:num w:numId="12">
    <w:abstractNumId w:val="15"/>
  </w:num>
  <w:num w:numId="13">
    <w:abstractNumId w:val="25"/>
  </w:num>
  <w:num w:numId="14">
    <w:abstractNumId w:val="35"/>
  </w:num>
  <w:num w:numId="15">
    <w:abstractNumId w:val="41"/>
  </w:num>
  <w:num w:numId="16">
    <w:abstractNumId w:val="21"/>
  </w:num>
  <w:num w:numId="17">
    <w:abstractNumId w:val="6"/>
  </w:num>
  <w:num w:numId="18">
    <w:abstractNumId w:val="4"/>
  </w:num>
  <w:num w:numId="19">
    <w:abstractNumId w:val="20"/>
  </w:num>
  <w:num w:numId="20">
    <w:abstractNumId w:val="19"/>
  </w:num>
  <w:num w:numId="21">
    <w:abstractNumId w:val="24"/>
  </w:num>
  <w:num w:numId="22">
    <w:abstractNumId w:val="16"/>
  </w:num>
  <w:num w:numId="23">
    <w:abstractNumId w:val="37"/>
  </w:num>
  <w:num w:numId="24">
    <w:abstractNumId w:val="7"/>
  </w:num>
  <w:num w:numId="25">
    <w:abstractNumId w:val="22"/>
  </w:num>
  <w:num w:numId="26">
    <w:abstractNumId w:val="12"/>
  </w:num>
  <w:num w:numId="27">
    <w:abstractNumId w:val="34"/>
  </w:num>
  <w:num w:numId="28">
    <w:abstractNumId w:val="29"/>
  </w:num>
  <w:num w:numId="29">
    <w:abstractNumId w:val="14"/>
  </w:num>
  <w:num w:numId="30">
    <w:abstractNumId w:val="26"/>
  </w:num>
  <w:num w:numId="31">
    <w:abstractNumId w:val="3"/>
  </w:num>
  <w:num w:numId="32">
    <w:abstractNumId w:val="23"/>
  </w:num>
  <w:num w:numId="33">
    <w:abstractNumId w:val="31"/>
  </w:num>
  <w:num w:numId="34">
    <w:abstractNumId w:val="1"/>
  </w:num>
  <w:num w:numId="35">
    <w:abstractNumId w:val="8"/>
  </w:num>
  <w:num w:numId="36">
    <w:abstractNumId w:val="2"/>
  </w:num>
  <w:num w:numId="37">
    <w:abstractNumId w:val="0"/>
  </w:num>
  <w:num w:numId="38">
    <w:abstractNumId w:val="10"/>
  </w:num>
  <w:num w:numId="39">
    <w:abstractNumId w:val="17"/>
  </w:num>
  <w:num w:numId="40">
    <w:abstractNumId w:val="30"/>
  </w:num>
  <w:num w:numId="41">
    <w:abstractNumId w:val="36"/>
  </w:num>
  <w:num w:numId="42">
    <w:abstractNumId w:val="3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15B6"/>
    <w:rsid w:val="00012D36"/>
    <w:rsid w:val="000147B5"/>
    <w:rsid w:val="00020429"/>
    <w:rsid w:val="00022BF3"/>
    <w:rsid w:val="00024C29"/>
    <w:rsid w:val="00025F45"/>
    <w:rsid w:val="00033073"/>
    <w:rsid w:val="0003388C"/>
    <w:rsid w:val="00036056"/>
    <w:rsid w:val="00040646"/>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5A9"/>
    <w:rsid w:val="00112DE6"/>
    <w:rsid w:val="001136AE"/>
    <w:rsid w:val="001136E5"/>
    <w:rsid w:val="0012003C"/>
    <w:rsid w:val="001225C0"/>
    <w:rsid w:val="00122EC5"/>
    <w:rsid w:val="00123797"/>
    <w:rsid w:val="00123FD7"/>
    <w:rsid w:val="001245CF"/>
    <w:rsid w:val="00132947"/>
    <w:rsid w:val="0013647D"/>
    <w:rsid w:val="00144F54"/>
    <w:rsid w:val="0014648F"/>
    <w:rsid w:val="00153236"/>
    <w:rsid w:val="001536DE"/>
    <w:rsid w:val="0016137A"/>
    <w:rsid w:val="00161682"/>
    <w:rsid w:val="00165726"/>
    <w:rsid w:val="00165A09"/>
    <w:rsid w:val="0017321C"/>
    <w:rsid w:val="00174FCA"/>
    <w:rsid w:val="00176836"/>
    <w:rsid w:val="00183D71"/>
    <w:rsid w:val="0019018D"/>
    <w:rsid w:val="00190755"/>
    <w:rsid w:val="00191489"/>
    <w:rsid w:val="001916DB"/>
    <w:rsid w:val="00192891"/>
    <w:rsid w:val="001929C6"/>
    <w:rsid w:val="00196A4E"/>
    <w:rsid w:val="001A0486"/>
    <w:rsid w:val="001A4E4C"/>
    <w:rsid w:val="001A562F"/>
    <w:rsid w:val="001A7735"/>
    <w:rsid w:val="001C0ACE"/>
    <w:rsid w:val="001C5AA9"/>
    <w:rsid w:val="001D298A"/>
    <w:rsid w:val="001D481A"/>
    <w:rsid w:val="001E0BDC"/>
    <w:rsid w:val="001E416C"/>
    <w:rsid w:val="001E5B90"/>
    <w:rsid w:val="001F0CCD"/>
    <w:rsid w:val="001F2230"/>
    <w:rsid w:val="001F7BE4"/>
    <w:rsid w:val="00201157"/>
    <w:rsid w:val="0020159D"/>
    <w:rsid w:val="002020BF"/>
    <w:rsid w:val="00202A27"/>
    <w:rsid w:val="00206CEC"/>
    <w:rsid w:val="0021637F"/>
    <w:rsid w:val="00216B3D"/>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73F92"/>
    <w:rsid w:val="002831A9"/>
    <w:rsid w:val="00293728"/>
    <w:rsid w:val="00294321"/>
    <w:rsid w:val="0029584D"/>
    <w:rsid w:val="00296A0E"/>
    <w:rsid w:val="002A1BDC"/>
    <w:rsid w:val="002A4B44"/>
    <w:rsid w:val="002A6D8A"/>
    <w:rsid w:val="002B7E9A"/>
    <w:rsid w:val="002C08FB"/>
    <w:rsid w:val="002C47EF"/>
    <w:rsid w:val="002D0D37"/>
    <w:rsid w:val="002D1DDF"/>
    <w:rsid w:val="002D62E1"/>
    <w:rsid w:val="002E0DD3"/>
    <w:rsid w:val="002E29B2"/>
    <w:rsid w:val="002E32EC"/>
    <w:rsid w:val="002E5B08"/>
    <w:rsid w:val="002E5FFA"/>
    <w:rsid w:val="002E7C2E"/>
    <w:rsid w:val="002F3DB8"/>
    <w:rsid w:val="00300971"/>
    <w:rsid w:val="0030663C"/>
    <w:rsid w:val="003071B4"/>
    <w:rsid w:val="00307496"/>
    <w:rsid w:val="00307F43"/>
    <w:rsid w:val="003165A1"/>
    <w:rsid w:val="00320282"/>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5C36"/>
    <w:rsid w:val="003622F8"/>
    <w:rsid w:val="00371DFB"/>
    <w:rsid w:val="00390475"/>
    <w:rsid w:val="00390E7B"/>
    <w:rsid w:val="0039582E"/>
    <w:rsid w:val="00397B6F"/>
    <w:rsid w:val="003A0AA1"/>
    <w:rsid w:val="003A6F9C"/>
    <w:rsid w:val="003B20BF"/>
    <w:rsid w:val="003B3903"/>
    <w:rsid w:val="003B3C42"/>
    <w:rsid w:val="003B5CC5"/>
    <w:rsid w:val="003C2681"/>
    <w:rsid w:val="003C44DA"/>
    <w:rsid w:val="003C5EE9"/>
    <w:rsid w:val="003C7662"/>
    <w:rsid w:val="003D00DF"/>
    <w:rsid w:val="003D0CE8"/>
    <w:rsid w:val="003D0FEC"/>
    <w:rsid w:val="003D2792"/>
    <w:rsid w:val="003D3E83"/>
    <w:rsid w:val="003D670B"/>
    <w:rsid w:val="003D7AE0"/>
    <w:rsid w:val="003E3361"/>
    <w:rsid w:val="003E5A1B"/>
    <w:rsid w:val="003E5E20"/>
    <w:rsid w:val="003F2824"/>
    <w:rsid w:val="003F304A"/>
    <w:rsid w:val="003F3A45"/>
    <w:rsid w:val="003F643B"/>
    <w:rsid w:val="0040093B"/>
    <w:rsid w:val="0041452D"/>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00E"/>
    <w:rsid w:val="00461967"/>
    <w:rsid w:val="004639FA"/>
    <w:rsid w:val="0047011C"/>
    <w:rsid w:val="00471446"/>
    <w:rsid w:val="00472D5B"/>
    <w:rsid w:val="004735E9"/>
    <w:rsid w:val="0047591B"/>
    <w:rsid w:val="004802B4"/>
    <w:rsid w:val="00482DE2"/>
    <w:rsid w:val="00483ECA"/>
    <w:rsid w:val="00485DC3"/>
    <w:rsid w:val="004877F9"/>
    <w:rsid w:val="00491066"/>
    <w:rsid w:val="00494456"/>
    <w:rsid w:val="00495FDC"/>
    <w:rsid w:val="004A06CC"/>
    <w:rsid w:val="004A2D67"/>
    <w:rsid w:val="004C78B7"/>
    <w:rsid w:val="004C7B4C"/>
    <w:rsid w:val="004D1803"/>
    <w:rsid w:val="004D4139"/>
    <w:rsid w:val="004D6946"/>
    <w:rsid w:val="004E2EFD"/>
    <w:rsid w:val="004E4BA6"/>
    <w:rsid w:val="004E556B"/>
    <w:rsid w:val="004E5EC6"/>
    <w:rsid w:val="004E6CC3"/>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C213D"/>
    <w:rsid w:val="005C3F5C"/>
    <w:rsid w:val="005C6408"/>
    <w:rsid w:val="005C6A66"/>
    <w:rsid w:val="005D2DFA"/>
    <w:rsid w:val="005D41DC"/>
    <w:rsid w:val="005D4DAE"/>
    <w:rsid w:val="005D5F5F"/>
    <w:rsid w:val="005D6AE9"/>
    <w:rsid w:val="005E1FC3"/>
    <w:rsid w:val="005F01DA"/>
    <w:rsid w:val="005F2625"/>
    <w:rsid w:val="005F5D5C"/>
    <w:rsid w:val="005F63AD"/>
    <w:rsid w:val="00602BDA"/>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C9B"/>
    <w:rsid w:val="006609E8"/>
    <w:rsid w:val="006622DF"/>
    <w:rsid w:val="006651EB"/>
    <w:rsid w:val="00673887"/>
    <w:rsid w:val="00674C27"/>
    <w:rsid w:val="00676928"/>
    <w:rsid w:val="006802A1"/>
    <w:rsid w:val="0068380A"/>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20C8"/>
    <w:rsid w:val="006D3BEB"/>
    <w:rsid w:val="006D485A"/>
    <w:rsid w:val="006D6CDE"/>
    <w:rsid w:val="006D6E91"/>
    <w:rsid w:val="006D7AEF"/>
    <w:rsid w:val="006E4C89"/>
    <w:rsid w:val="006E5F5F"/>
    <w:rsid w:val="006E6AC6"/>
    <w:rsid w:val="006E6D32"/>
    <w:rsid w:val="006F290D"/>
    <w:rsid w:val="006F410F"/>
    <w:rsid w:val="006F50AA"/>
    <w:rsid w:val="006F77FF"/>
    <w:rsid w:val="006F7DF0"/>
    <w:rsid w:val="00700560"/>
    <w:rsid w:val="0070258F"/>
    <w:rsid w:val="00705117"/>
    <w:rsid w:val="007079A8"/>
    <w:rsid w:val="0071197D"/>
    <w:rsid w:val="0071201C"/>
    <w:rsid w:val="00716063"/>
    <w:rsid w:val="00716AF5"/>
    <w:rsid w:val="007204EB"/>
    <w:rsid w:val="00720544"/>
    <w:rsid w:val="00720D5E"/>
    <w:rsid w:val="0072318E"/>
    <w:rsid w:val="0072321F"/>
    <w:rsid w:val="007275F2"/>
    <w:rsid w:val="007337D3"/>
    <w:rsid w:val="0073687C"/>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A0ADB"/>
    <w:rsid w:val="007A13DA"/>
    <w:rsid w:val="007A21CF"/>
    <w:rsid w:val="007A2882"/>
    <w:rsid w:val="007A3773"/>
    <w:rsid w:val="007A39E6"/>
    <w:rsid w:val="007A5BC0"/>
    <w:rsid w:val="007A6B0B"/>
    <w:rsid w:val="007B0024"/>
    <w:rsid w:val="007B21C3"/>
    <w:rsid w:val="007B342F"/>
    <w:rsid w:val="007B35B9"/>
    <w:rsid w:val="007B4B62"/>
    <w:rsid w:val="007B4B9D"/>
    <w:rsid w:val="007B6BCE"/>
    <w:rsid w:val="007B7D1C"/>
    <w:rsid w:val="007C15A7"/>
    <w:rsid w:val="007C2219"/>
    <w:rsid w:val="007C67FF"/>
    <w:rsid w:val="007D3147"/>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43C2C"/>
    <w:rsid w:val="00851174"/>
    <w:rsid w:val="008538E5"/>
    <w:rsid w:val="00855D51"/>
    <w:rsid w:val="0086046E"/>
    <w:rsid w:val="00862C84"/>
    <w:rsid w:val="0086329F"/>
    <w:rsid w:val="00864E52"/>
    <w:rsid w:val="0086651B"/>
    <w:rsid w:val="008834AE"/>
    <w:rsid w:val="008837D8"/>
    <w:rsid w:val="00890585"/>
    <w:rsid w:val="00892080"/>
    <w:rsid w:val="008926B1"/>
    <w:rsid w:val="00894F4F"/>
    <w:rsid w:val="008A166C"/>
    <w:rsid w:val="008A73E6"/>
    <w:rsid w:val="008A7603"/>
    <w:rsid w:val="008A7B38"/>
    <w:rsid w:val="008A7CF2"/>
    <w:rsid w:val="008B04F7"/>
    <w:rsid w:val="008B0512"/>
    <w:rsid w:val="008B1C45"/>
    <w:rsid w:val="008B1E96"/>
    <w:rsid w:val="008B7F1F"/>
    <w:rsid w:val="008C08C3"/>
    <w:rsid w:val="008C48D1"/>
    <w:rsid w:val="008C6468"/>
    <w:rsid w:val="008C7F32"/>
    <w:rsid w:val="008D21A7"/>
    <w:rsid w:val="008D51A3"/>
    <w:rsid w:val="008D5B14"/>
    <w:rsid w:val="008E508B"/>
    <w:rsid w:val="008F183D"/>
    <w:rsid w:val="008F79B4"/>
    <w:rsid w:val="00901B38"/>
    <w:rsid w:val="00902F2A"/>
    <w:rsid w:val="00902F54"/>
    <w:rsid w:val="009049A6"/>
    <w:rsid w:val="00904D2B"/>
    <w:rsid w:val="00905E99"/>
    <w:rsid w:val="00907296"/>
    <w:rsid w:val="009160A2"/>
    <w:rsid w:val="00920B5E"/>
    <w:rsid w:val="00921768"/>
    <w:rsid w:val="00921972"/>
    <w:rsid w:val="00924F5C"/>
    <w:rsid w:val="00930208"/>
    <w:rsid w:val="0093314F"/>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4440"/>
    <w:rsid w:val="00964A1D"/>
    <w:rsid w:val="00965DA1"/>
    <w:rsid w:val="0097294C"/>
    <w:rsid w:val="009730A7"/>
    <w:rsid w:val="009753AB"/>
    <w:rsid w:val="0098161D"/>
    <w:rsid w:val="00984237"/>
    <w:rsid w:val="009854EA"/>
    <w:rsid w:val="00985E35"/>
    <w:rsid w:val="00987997"/>
    <w:rsid w:val="00987E5E"/>
    <w:rsid w:val="00992A46"/>
    <w:rsid w:val="0099314D"/>
    <w:rsid w:val="00993CC3"/>
    <w:rsid w:val="00996296"/>
    <w:rsid w:val="009A06C1"/>
    <w:rsid w:val="009A1665"/>
    <w:rsid w:val="009A1CBE"/>
    <w:rsid w:val="009A724F"/>
    <w:rsid w:val="009A7E9C"/>
    <w:rsid w:val="009B4612"/>
    <w:rsid w:val="009B6A22"/>
    <w:rsid w:val="009B6C41"/>
    <w:rsid w:val="009B75E2"/>
    <w:rsid w:val="009C1242"/>
    <w:rsid w:val="009C63FE"/>
    <w:rsid w:val="009C7AB6"/>
    <w:rsid w:val="009D01D1"/>
    <w:rsid w:val="009D21A8"/>
    <w:rsid w:val="009D24C0"/>
    <w:rsid w:val="009D53FA"/>
    <w:rsid w:val="009E3F68"/>
    <w:rsid w:val="009F602C"/>
    <w:rsid w:val="009F6E30"/>
    <w:rsid w:val="00A011B9"/>
    <w:rsid w:val="00A022AE"/>
    <w:rsid w:val="00A14433"/>
    <w:rsid w:val="00A15025"/>
    <w:rsid w:val="00A157ED"/>
    <w:rsid w:val="00A20452"/>
    <w:rsid w:val="00A21E6F"/>
    <w:rsid w:val="00A224BE"/>
    <w:rsid w:val="00A2642B"/>
    <w:rsid w:val="00A305D1"/>
    <w:rsid w:val="00A32902"/>
    <w:rsid w:val="00A33497"/>
    <w:rsid w:val="00A36E5A"/>
    <w:rsid w:val="00A411CF"/>
    <w:rsid w:val="00A42911"/>
    <w:rsid w:val="00A43EE6"/>
    <w:rsid w:val="00A441C6"/>
    <w:rsid w:val="00A44BB3"/>
    <w:rsid w:val="00A465F8"/>
    <w:rsid w:val="00A46FB7"/>
    <w:rsid w:val="00A51A11"/>
    <w:rsid w:val="00A51B2A"/>
    <w:rsid w:val="00A5344D"/>
    <w:rsid w:val="00A53E8D"/>
    <w:rsid w:val="00A574D3"/>
    <w:rsid w:val="00A61CD2"/>
    <w:rsid w:val="00A620DB"/>
    <w:rsid w:val="00A620E5"/>
    <w:rsid w:val="00A63DCC"/>
    <w:rsid w:val="00A643DE"/>
    <w:rsid w:val="00A66595"/>
    <w:rsid w:val="00A70274"/>
    <w:rsid w:val="00A71BC1"/>
    <w:rsid w:val="00A72477"/>
    <w:rsid w:val="00A74CDA"/>
    <w:rsid w:val="00A8089E"/>
    <w:rsid w:val="00A8164E"/>
    <w:rsid w:val="00A820E4"/>
    <w:rsid w:val="00A8553D"/>
    <w:rsid w:val="00A87AB9"/>
    <w:rsid w:val="00A91397"/>
    <w:rsid w:val="00A93DB8"/>
    <w:rsid w:val="00A9540C"/>
    <w:rsid w:val="00AA1FB6"/>
    <w:rsid w:val="00AA3CD3"/>
    <w:rsid w:val="00AA75D1"/>
    <w:rsid w:val="00AB222B"/>
    <w:rsid w:val="00AB34A2"/>
    <w:rsid w:val="00AB6264"/>
    <w:rsid w:val="00AB6AD1"/>
    <w:rsid w:val="00AC0E9E"/>
    <w:rsid w:val="00AC368F"/>
    <w:rsid w:val="00AC5598"/>
    <w:rsid w:val="00AD30D7"/>
    <w:rsid w:val="00AE01AC"/>
    <w:rsid w:val="00AE1630"/>
    <w:rsid w:val="00AE6CC5"/>
    <w:rsid w:val="00AF0243"/>
    <w:rsid w:val="00AF6176"/>
    <w:rsid w:val="00B00361"/>
    <w:rsid w:val="00B0367B"/>
    <w:rsid w:val="00B13657"/>
    <w:rsid w:val="00B2441C"/>
    <w:rsid w:val="00B25DE2"/>
    <w:rsid w:val="00B27F25"/>
    <w:rsid w:val="00B33832"/>
    <w:rsid w:val="00B3468F"/>
    <w:rsid w:val="00B34F7A"/>
    <w:rsid w:val="00B37BD6"/>
    <w:rsid w:val="00B453EE"/>
    <w:rsid w:val="00B6195C"/>
    <w:rsid w:val="00B61A93"/>
    <w:rsid w:val="00B61EB9"/>
    <w:rsid w:val="00B636DE"/>
    <w:rsid w:val="00B64122"/>
    <w:rsid w:val="00B773CF"/>
    <w:rsid w:val="00B92437"/>
    <w:rsid w:val="00BA3BE3"/>
    <w:rsid w:val="00BA44E5"/>
    <w:rsid w:val="00BA600E"/>
    <w:rsid w:val="00BB1D1B"/>
    <w:rsid w:val="00BB24DC"/>
    <w:rsid w:val="00BB65BA"/>
    <w:rsid w:val="00BC3355"/>
    <w:rsid w:val="00BC5EBB"/>
    <w:rsid w:val="00BE25F4"/>
    <w:rsid w:val="00BE633C"/>
    <w:rsid w:val="00BF1C88"/>
    <w:rsid w:val="00BF3061"/>
    <w:rsid w:val="00BF3FBA"/>
    <w:rsid w:val="00BF6A37"/>
    <w:rsid w:val="00BF6D6C"/>
    <w:rsid w:val="00C104A1"/>
    <w:rsid w:val="00C149E7"/>
    <w:rsid w:val="00C20587"/>
    <w:rsid w:val="00C210AF"/>
    <w:rsid w:val="00C260AE"/>
    <w:rsid w:val="00C34288"/>
    <w:rsid w:val="00C347AB"/>
    <w:rsid w:val="00C34E97"/>
    <w:rsid w:val="00C36767"/>
    <w:rsid w:val="00C41974"/>
    <w:rsid w:val="00C448D4"/>
    <w:rsid w:val="00C63838"/>
    <w:rsid w:val="00C64664"/>
    <w:rsid w:val="00C65A52"/>
    <w:rsid w:val="00C66194"/>
    <w:rsid w:val="00C663EF"/>
    <w:rsid w:val="00C773D1"/>
    <w:rsid w:val="00C8080B"/>
    <w:rsid w:val="00C82DDA"/>
    <w:rsid w:val="00C82DE5"/>
    <w:rsid w:val="00C8309F"/>
    <w:rsid w:val="00C84DF1"/>
    <w:rsid w:val="00C874AC"/>
    <w:rsid w:val="00C90CC1"/>
    <w:rsid w:val="00CA0412"/>
    <w:rsid w:val="00CB0D71"/>
    <w:rsid w:val="00CB1B98"/>
    <w:rsid w:val="00CB1D00"/>
    <w:rsid w:val="00CB69D9"/>
    <w:rsid w:val="00CC0F35"/>
    <w:rsid w:val="00CC552A"/>
    <w:rsid w:val="00CD1665"/>
    <w:rsid w:val="00CD48C0"/>
    <w:rsid w:val="00CE58C2"/>
    <w:rsid w:val="00CF106B"/>
    <w:rsid w:val="00CF3143"/>
    <w:rsid w:val="00CF3A96"/>
    <w:rsid w:val="00CF6279"/>
    <w:rsid w:val="00D12F8B"/>
    <w:rsid w:val="00D1434C"/>
    <w:rsid w:val="00D20805"/>
    <w:rsid w:val="00D21C50"/>
    <w:rsid w:val="00D24ED2"/>
    <w:rsid w:val="00D2625C"/>
    <w:rsid w:val="00D26F91"/>
    <w:rsid w:val="00D3143A"/>
    <w:rsid w:val="00D3509E"/>
    <w:rsid w:val="00D35864"/>
    <w:rsid w:val="00D37968"/>
    <w:rsid w:val="00D409AF"/>
    <w:rsid w:val="00D40A47"/>
    <w:rsid w:val="00D43339"/>
    <w:rsid w:val="00D44ED3"/>
    <w:rsid w:val="00D47206"/>
    <w:rsid w:val="00D51414"/>
    <w:rsid w:val="00D518C5"/>
    <w:rsid w:val="00D54499"/>
    <w:rsid w:val="00D559FF"/>
    <w:rsid w:val="00D55DD3"/>
    <w:rsid w:val="00D60DED"/>
    <w:rsid w:val="00D611EB"/>
    <w:rsid w:val="00D67081"/>
    <w:rsid w:val="00D71A82"/>
    <w:rsid w:val="00D75BB6"/>
    <w:rsid w:val="00D7717B"/>
    <w:rsid w:val="00D828DE"/>
    <w:rsid w:val="00D87187"/>
    <w:rsid w:val="00D93732"/>
    <w:rsid w:val="00D942D1"/>
    <w:rsid w:val="00D96EF2"/>
    <w:rsid w:val="00D97910"/>
    <w:rsid w:val="00DA4E3D"/>
    <w:rsid w:val="00DB1CBD"/>
    <w:rsid w:val="00DB4B0A"/>
    <w:rsid w:val="00DB5BB1"/>
    <w:rsid w:val="00DC27FF"/>
    <w:rsid w:val="00DC2A46"/>
    <w:rsid w:val="00DC6B9A"/>
    <w:rsid w:val="00DC77DA"/>
    <w:rsid w:val="00DD718E"/>
    <w:rsid w:val="00DD77FF"/>
    <w:rsid w:val="00DE5C8D"/>
    <w:rsid w:val="00DE6A14"/>
    <w:rsid w:val="00DE793E"/>
    <w:rsid w:val="00DF7AE0"/>
    <w:rsid w:val="00E04C72"/>
    <w:rsid w:val="00E13D75"/>
    <w:rsid w:val="00E15273"/>
    <w:rsid w:val="00E16D07"/>
    <w:rsid w:val="00E2517A"/>
    <w:rsid w:val="00E30C8E"/>
    <w:rsid w:val="00E35E50"/>
    <w:rsid w:val="00E4032E"/>
    <w:rsid w:val="00E41939"/>
    <w:rsid w:val="00E44D15"/>
    <w:rsid w:val="00E45F2C"/>
    <w:rsid w:val="00E5163E"/>
    <w:rsid w:val="00E545C9"/>
    <w:rsid w:val="00E54F54"/>
    <w:rsid w:val="00E55A95"/>
    <w:rsid w:val="00E5797F"/>
    <w:rsid w:val="00E6012A"/>
    <w:rsid w:val="00E60D95"/>
    <w:rsid w:val="00E612A9"/>
    <w:rsid w:val="00E66010"/>
    <w:rsid w:val="00E73E53"/>
    <w:rsid w:val="00E74A57"/>
    <w:rsid w:val="00E762FE"/>
    <w:rsid w:val="00E807BD"/>
    <w:rsid w:val="00E81599"/>
    <w:rsid w:val="00E81695"/>
    <w:rsid w:val="00E84641"/>
    <w:rsid w:val="00E85705"/>
    <w:rsid w:val="00E8667E"/>
    <w:rsid w:val="00E90BDA"/>
    <w:rsid w:val="00E90CDA"/>
    <w:rsid w:val="00EA6510"/>
    <w:rsid w:val="00EB1BD4"/>
    <w:rsid w:val="00EB5837"/>
    <w:rsid w:val="00EB605A"/>
    <w:rsid w:val="00EC66CA"/>
    <w:rsid w:val="00ED03C9"/>
    <w:rsid w:val="00ED34E4"/>
    <w:rsid w:val="00ED4FAA"/>
    <w:rsid w:val="00ED5E2E"/>
    <w:rsid w:val="00ED76B0"/>
    <w:rsid w:val="00EE147D"/>
    <w:rsid w:val="00EE1B58"/>
    <w:rsid w:val="00EE22C4"/>
    <w:rsid w:val="00EE412F"/>
    <w:rsid w:val="00EE658C"/>
    <w:rsid w:val="00EE779E"/>
    <w:rsid w:val="00EF231A"/>
    <w:rsid w:val="00EF3939"/>
    <w:rsid w:val="00EF3A9B"/>
    <w:rsid w:val="00EF658B"/>
    <w:rsid w:val="00F00E80"/>
    <w:rsid w:val="00F04A56"/>
    <w:rsid w:val="00F07DCB"/>
    <w:rsid w:val="00F13658"/>
    <w:rsid w:val="00F2739C"/>
    <w:rsid w:val="00F31E66"/>
    <w:rsid w:val="00F31ED6"/>
    <w:rsid w:val="00F34C7F"/>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8EA"/>
    <w:rsid w:val="00F802A1"/>
    <w:rsid w:val="00F903E5"/>
    <w:rsid w:val="00F92802"/>
    <w:rsid w:val="00F97227"/>
    <w:rsid w:val="00FA0532"/>
    <w:rsid w:val="00FA5BAB"/>
    <w:rsid w:val="00FA6187"/>
    <w:rsid w:val="00FB1CD5"/>
    <w:rsid w:val="00FC146E"/>
    <w:rsid w:val="00FC336F"/>
    <w:rsid w:val="00FC5220"/>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0B718-D112-4959-AD96-13F16C2D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2021-05-06T12:29:00Z</cp:lastPrinted>
  <dcterms:created xsi:type="dcterms:W3CDTF">2021-05-14T08:23:00Z</dcterms:created>
  <dcterms:modified xsi:type="dcterms:W3CDTF">2021-05-14T08:23:00Z</dcterms:modified>
</cp:coreProperties>
</file>