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Default="00172B59" w:rsidP="00172B5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ALLAH M TUFAIL</w:t>
      </w:r>
    </w:p>
    <w:p w:rsidR="00172B59" w:rsidRDefault="00172B59" w:rsidP="0017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72B59" w:rsidRDefault="00172B59" w:rsidP="0017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ERNEST ITANYI</w:t>
      </w:r>
    </w:p>
    <w:p w:rsidR="00172B59" w:rsidRDefault="00172B59" w:rsidP="0017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72B59" w:rsidRDefault="00172B59" w:rsidP="0017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CVR</w:t>
      </w:r>
    </w:p>
    <w:p w:rsidR="00172B59" w:rsidRDefault="00172B59" w:rsidP="00172B59">
      <w:pPr>
        <w:spacing w:after="0" w:line="240" w:lineRule="auto"/>
        <w:jc w:val="both"/>
        <w:rPr>
          <w:rFonts w:ascii="Times New Roman" w:hAnsi="Times New Roman" w:cs="Times New Roman"/>
          <w:sz w:val="24"/>
          <w:szCs w:val="24"/>
        </w:rPr>
      </w:pPr>
    </w:p>
    <w:p w:rsidR="00172B59" w:rsidRDefault="00172B59" w:rsidP="00172B59">
      <w:pPr>
        <w:spacing w:after="0" w:line="240" w:lineRule="auto"/>
        <w:jc w:val="both"/>
        <w:rPr>
          <w:rFonts w:ascii="Times New Roman" w:hAnsi="Times New Roman" w:cs="Times New Roman"/>
          <w:sz w:val="24"/>
          <w:szCs w:val="24"/>
        </w:rPr>
      </w:pPr>
    </w:p>
    <w:p w:rsidR="00172B59" w:rsidRDefault="00172B59" w:rsidP="00172B59">
      <w:pPr>
        <w:spacing w:after="0" w:line="240" w:lineRule="auto"/>
        <w:jc w:val="both"/>
        <w:rPr>
          <w:rFonts w:ascii="Times New Roman" w:hAnsi="Times New Roman" w:cs="Times New Roman"/>
          <w:sz w:val="24"/>
          <w:szCs w:val="24"/>
        </w:rPr>
      </w:pPr>
    </w:p>
    <w:p w:rsidR="00172B59" w:rsidRDefault="00172B59" w:rsidP="0017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72B59" w:rsidRDefault="004B1CF6" w:rsidP="0017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CHITAKUNYE &amp; </w:t>
      </w:r>
      <w:r w:rsidR="00172B59">
        <w:rPr>
          <w:rFonts w:ascii="Times New Roman" w:hAnsi="Times New Roman" w:cs="Times New Roman"/>
          <w:sz w:val="24"/>
          <w:szCs w:val="24"/>
        </w:rPr>
        <w:t>NDEWERE J</w:t>
      </w:r>
      <w:r>
        <w:rPr>
          <w:rFonts w:ascii="Times New Roman" w:hAnsi="Times New Roman" w:cs="Times New Roman"/>
          <w:sz w:val="24"/>
          <w:szCs w:val="24"/>
        </w:rPr>
        <w:t>J</w:t>
      </w:r>
    </w:p>
    <w:p w:rsidR="00172B59" w:rsidRDefault="00172B59" w:rsidP="00172B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4B1CF6">
        <w:rPr>
          <w:rFonts w:ascii="Times New Roman" w:hAnsi="Times New Roman" w:cs="Times New Roman"/>
          <w:sz w:val="24"/>
          <w:szCs w:val="24"/>
        </w:rPr>
        <w:t xml:space="preserve"> 9 February 2</w:t>
      </w:r>
      <w:r w:rsidR="00B37C62">
        <w:rPr>
          <w:rFonts w:ascii="Times New Roman" w:hAnsi="Times New Roman" w:cs="Times New Roman"/>
          <w:sz w:val="24"/>
          <w:szCs w:val="24"/>
        </w:rPr>
        <w:t>016 and</w:t>
      </w:r>
      <w:r w:rsidR="004B1CF6">
        <w:rPr>
          <w:rFonts w:ascii="Times New Roman" w:hAnsi="Times New Roman" w:cs="Times New Roman"/>
          <w:sz w:val="24"/>
          <w:szCs w:val="24"/>
        </w:rPr>
        <w:t xml:space="preserve"> </w:t>
      </w:r>
      <w:r w:rsidR="00FD3FE0">
        <w:rPr>
          <w:rFonts w:ascii="Times New Roman" w:hAnsi="Times New Roman" w:cs="Times New Roman"/>
          <w:sz w:val="24"/>
          <w:szCs w:val="24"/>
        </w:rPr>
        <w:t>1 February 2017</w:t>
      </w:r>
    </w:p>
    <w:p w:rsidR="00172B59" w:rsidRDefault="00172B59" w:rsidP="00172B59">
      <w:pPr>
        <w:spacing w:after="0" w:line="240" w:lineRule="auto"/>
        <w:jc w:val="both"/>
        <w:rPr>
          <w:rFonts w:ascii="Times New Roman" w:hAnsi="Times New Roman" w:cs="Times New Roman"/>
          <w:sz w:val="24"/>
          <w:szCs w:val="24"/>
        </w:rPr>
      </w:pPr>
    </w:p>
    <w:p w:rsidR="00172B59" w:rsidRDefault="00172B59" w:rsidP="00172B59">
      <w:pPr>
        <w:spacing w:after="0" w:line="240" w:lineRule="auto"/>
        <w:jc w:val="both"/>
        <w:rPr>
          <w:rFonts w:ascii="Times New Roman" w:hAnsi="Times New Roman" w:cs="Times New Roman"/>
          <w:sz w:val="24"/>
          <w:szCs w:val="24"/>
        </w:rPr>
      </w:pPr>
    </w:p>
    <w:p w:rsidR="00172B59" w:rsidRDefault="00172B59" w:rsidP="00172B59">
      <w:pPr>
        <w:spacing w:after="0" w:line="240" w:lineRule="auto"/>
        <w:jc w:val="both"/>
        <w:rPr>
          <w:rFonts w:ascii="Times New Roman" w:hAnsi="Times New Roman" w:cs="Times New Roman"/>
          <w:sz w:val="24"/>
          <w:szCs w:val="24"/>
        </w:rPr>
      </w:pPr>
    </w:p>
    <w:p w:rsidR="00172B59" w:rsidRPr="000C3A27" w:rsidRDefault="00172B59" w:rsidP="00172B59">
      <w:pPr>
        <w:spacing w:after="0" w:line="240" w:lineRule="auto"/>
        <w:jc w:val="both"/>
        <w:rPr>
          <w:rFonts w:ascii="Times New Roman" w:hAnsi="Times New Roman" w:cs="Times New Roman"/>
          <w:b/>
          <w:sz w:val="24"/>
          <w:szCs w:val="24"/>
        </w:rPr>
      </w:pPr>
      <w:r w:rsidRPr="000C3A27">
        <w:rPr>
          <w:rFonts w:ascii="Times New Roman" w:hAnsi="Times New Roman" w:cs="Times New Roman"/>
          <w:b/>
          <w:sz w:val="24"/>
          <w:szCs w:val="24"/>
        </w:rPr>
        <w:t xml:space="preserve">Civil </w:t>
      </w:r>
      <w:r w:rsidR="004B1CF6">
        <w:rPr>
          <w:rFonts w:ascii="Times New Roman" w:hAnsi="Times New Roman" w:cs="Times New Roman"/>
          <w:b/>
          <w:sz w:val="24"/>
          <w:szCs w:val="24"/>
        </w:rPr>
        <w:t>Appeal</w:t>
      </w:r>
    </w:p>
    <w:p w:rsidR="00172B59" w:rsidRDefault="00172B59" w:rsidP="00172B59">
      <w:pPr>
        <w:spacing w:after="0" w:line="240" w:lineRule="auto"/>
        <w:jc w:val="both"/>
        <w:rPr>
          <w:rFonts w:ascii="Times New Roman" w:hAnsi="Times New Roman" w:cs="Times New Roman"/>
          <w:sz w:val="24"/>
          <w:szCs w:val="24"/>
        </w:rPr>
      </w:pPr>
    </w:p>
    <w:p w:rsidR="00172B59" w:rsidRDefault="00172B59" w:rsidP="00172B59">
      <w:pPr>
        <w:spacing w:after="0" w:line="240" w:lineRule="auto"/>
        <w:jc w:val="both"/>
        <w:rPr>
          <w:rFonts w:ascii="Times New Roman" w:hAnsi="Times New Roman" w:cs="Times New Roman"/>
          <w:sz w:val="24"/>
          <w:szCs w:val="24"/>
        </w:rPr>
      </w:pPr>
    </w:p>
    <w:p w:rsidR="00172B59" w:rsidRDefault="00172B59" w:rsidP="00172B59">
      <w:pPr>
        <w:spacing w:after="0" w:line="240" w:lineRule="auto"/>
        <w:jc w:val="both"/>
        <w:rPr>
          <w:rFonts w:ascii="Times New Roman" w:hAnsi="Times New Roman" w:cs="Times New Roman"/>
          <w:sz w:val="24"/>
          <w:szCs w:val="24"/>
        </w:rPr>
      </w:pPr>
    </w:p>
    <w:p w:rsidR="00172B59" w:rsidRDefault="004B1CF6" w:rsidP="00172B59">
      <w:pPr>
        <w:spacing w:after="0" w:line="240" w:lineRule="auto"/>
        <w:jc w:val="both"/>
        <w:rPr>
          <w:rFonts w:ascii="Times New Roman" w:hAnsi="Times New Roman" w:cs="Times New Roman"/>
          <w:sz w:val="24"/>
          <w:szCs w:val="24"/>
        </w:rPr>
      </w:pPr>
      <w:r w:rsidRPr="004B1CF6">
        <w:rPr>
          <w:rFonts w:ascii="Times New Roman" w:hAnsi="Times New Roman" w:cs="Times New Roman"/>
          <w:i/>
          <w:sz w:val="24"/>
          <w:szCs w:val="24"/>
        </w:rPr>
        <w:t>K Gama</w:t>
      </w:r>
      <w:r>
        <w:rPr>
          <w:rFonts w:ascii="Times New Roman" w:hAnsi="Times New Roman" w:cs="Times New Roman"/>
          <w:sz w:val="24"/>
          <w:szCs w:val="24"/>
        </w:rPr>
        <w:t>,</w:t>
      </w:r>
      <w:r w:rsidR="00172B59">
        <w:rPr>
          <w:rFonts w:ascii="Times New Roman" w:hAnsi="Times New Roman" w:cs="Times New Roman"/>
          <w:sz w:val="24"/>
          <w:szCs w:val="24"/>
        </w:rPr>
        <w:t xml:space="preserve"> for the applicant</w:t>
      </w:r>
    </w:p>
    <w:p w:rsidR="00172B59" w:rsidRDefault="004B1CF6" w:rsidP="00172B59">
      <w:pPr>
        <w:spacing w:after="0" w:line="240" w:lineRule="auto"/>
        <w:jc w:val="both"/>
        <w:rPr>
          <w:rFonts w:ascii="Times New Roman" w:hAnsi="Times New Roman" w:cs="Times New Roman"/>
          <w:sz w:val="24"/>
          <w:szCs w:val="24"/>
        </w:rPr>
      </w:pPr>
      <w:r w:rsidRPr="004B1CF6">
        <w:rPr>
          <w:rFonts w:ascii="Times New Roman" w:hAnsi="Times New Roman" w:cs="Times New Roman"/>
          <w:i/>
          <w:sz w:val="24"/>
          <w:szCs w:val="24"/>
        </w:rPr>
        <w:t>M Ndebele,</w:t>
      </w:r>
      <w:r w:rsidR="00172B59">
        <w:rPr>
          <w:rFonts w:ascii="Times New Roman" w:hAnsi="Times New Roman" w:cs="Times New Roman"/>
          <w:sz w:val="24"/>
          <w:szCs w:val="24"/>
        </w:rPr>
        <w:t xml:space="preserve"> for the respondents</w:t>
      </w:r>
    </w:p>
    <w:p w:rsidR="00172B59" w:rsidRDefault="00172B59" w:rsidP="00172B59">
      <w:pPr>
        <w:spacing w:after="0" w:line="240" w:lineRule="auto"/>
        <w:jc w:val="both"/>
        <w:rPr>
          <w:rFonts w:ascii="Times New Roman" w:hAnsi="Times New Roman" w:cs="Times New Roman"/>
          <w:sz w:val="24"/>
          <w:szCs w:val="24"/>
        </w:rPr>
      </w:pPr>
    </w:p>
    <w:p w:rsidR="00172B59" w:rsidRDefault="00172B59" w:rsidP="00172B59">
      <w:pPr>
        <w:spacing w:after="0" w:line="240" w:lineRule="auto"/>
        <w:jc w:val="both"/>
        <w:rPr>
          <w:rFonts w:ascii="Times New Roman" w:hAnsi="Times New Roman" w:cs="Times New Roman"/>
          <w:sz w:val="24"/>
          <w:szCs w:val="24"/>
        </w:rPr>
      </w:pPr>
    </w:p>
    <w:p w:rsidR="00172B59" w:rsidRDefault="00172B59" w:rsidP="00172B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NDEWERE J: The appellant was the applicant in the court </w:t>
      </w:r>
      <w:r w:rsidRPr="00172B59">
        <w:rPr>
          <w:rFonts w:ascii="Times New Roman" w:hAnsi="Times New Roman" w:cs="Times New Roman"/>
          <w:i/>
          <w:sz w:val="24"/>
          <w:szCs w:val="24"/>
        </w:rPr>
        <w:t>a quo.</w:t>
      </w:r>
      <w:r>
        <w:rPr>
          <w:rFonts w:ascii="Times New Roman" w:hAnsi="Times New Roman" w:cs="Times New Roman"/>
          <w:sz w:val="24"/>
          <w:szCs w:val="24"/>
        </w:rPr>
        <w:t xml:space="preserve"> In his founding affidavit, he stated that he lent US$10 000-00 to the first respondent on 4 September, 2014, payable on or before 4 October, 2014 in terms of a written agreement concluded on 4 September 2014. In terms of </w:t>
      </w:r>
      <w:r w:rsidR="004B1CF6">
        <w:rPr>
          <w:rFonts w:ascii="Times New Roman" w:hAnsi="Times New Roman" w:cs="Times New Roman"/>
          <w:sz w:val="24"/>
          <w:szCs w:val="24"/>
        </w:rPr>
        <w:t xml:space="preserve">the </w:t>
      </w:r>
      <w:r>
        <w:rPr>
          <w:rFonts w:ascii="Times New Roman" w:hAnsi="Times New Roman" w:cs="Times New Roman"/>
          <w:sz w:val="24"/>
          <w:szCs w:val="24"/>
        </w:rPr>
        <w:t>said agreement of sale, the first re</w:t>
      </w:r>
      <w:r w:rsidR="00B31AD3">
        <w:rPr>
          <w:rFonts w:ascii="Times New Roman" w:hAnsi="Times New Roman" w:cs="Times New Roman"/>
          <w:sz w:val="24"/>
          <w:szCs w:val="24"/>
        </w:rPr>
        <w:t>spondent surrendered a BMW 320i</w:t>
      </w:r>
      <w:r>
        <w:rPr>
          <w:rFonts w:ascii="Times New Roman" w:hAnsi="Times New Roman" w:cs="Times New Roman"/>
          <w:sz w:val="24"/>
          <w:szCs w:val="24"/>
        </w:rPr>
        <w:t xml:space="preserve">A, registration number ACU 3318, </w:t>
      </w:r>
      <w:r w:rsidR="004B1CF6">
        <w:rPr>
          <w:rFonts w:ascii="Times New Roman" w:hAnsi="Times New Roman" w:cs="Times New Roman"/>
          <w:sz w:val="24"/>
          <w:szCs w:val="24"/>
        </w:rPr>
        <w:t xml:space="preserve">its </w:t>
      </w:r>
      <w:r>
        <w:rPr>
          <w:rFonts w:ascii="Times New Roman" w:hAnsi="Times New Roman" w:cs="Times New Roman"/>
          <w:sz w:val="24"/>
          <w:szCs w:val="24"/>
        </w:rPr>
        <w:t xml:space="preserve">registration book and keys as security for the loan. The vehicle was to be returned to the first respondent after the loan repayment. If the </w:t>
      </w:r>
      <w:r w:rsidR="00F6556A">
        <w:rPr>
          <w:rFonts w:ascii="Times New Roman" w:hAnsi="Times New Roman" w:cs="Times New Roman"/>
          <w:sz w:val="24"/>
          <w:szCs w:val="24"/>
        </w:rPr>
        <w:t>f</w:t>
      </w:r>
      <w:r>
        <w:rPr>
          <w:rFonts w:ascii="Times New Roman" w:hAnsi="Times New Roman" w:cs="Times New Roman"/>
          <w:sz w:val="24"/>
          <w:szCs w:val="24"/>
        </w:rPr>
        <w:t>irst respondent breached</w:t>
      </w:r>
      <w:r w:rsidR="00F6556A">
        <w:rPr>
          <w:rFonts w:ascii="Times New Roman" w:hAnsi="Times New Roman" w:cs="Times New Roman"/>
          <w:sz w:val="24"/>
          <w:szCs w:val="24"/>
        </w:rPr>
        <w:t xml:space="preserve"> </w:t>
      </w:r>
      <w:r>
        <w:rPr>
          <w:rFonts w:ascii="Times New Roman" w:hAnsi="Times New Roman" w:cs="Times New Roman"/>
          <w:sz w:val="24"/>
          <w:szCs w:val="24"/>
        </w:rPr>
        <w:t>the agreement, the lender was entitled to appropriate or dispose of the vehicle. The agreement, which appears on pages 16 to 17 of the court record, was signed by both parties and witnessed.</w:t>
      </w:r>
    </w:p>
    <w:p w:rsidR="00172B59" w:rsidRDefault="00172B59" w:rsidP="00172B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January, 2015, the appellant gave notice that on 6 February, 2015, he would apply to the </w:t>
      </w:r>
      <w:r w:rsidR="00972612">
        <w:rPr>
          <w:rFonts w:ascii="Times New Roman" w:hAnsi="Times New Roman" w:cs="Times New Roman"/>
          <w:sz w:val="24"/>
          <w:szCs w:val="24"/>
        </w:rPr>
        <w:t>magistrates’</w:t>
      </w:r>
      <w:r>
        <w:rPr>
          <w:rFonts w:ascii="Times New Roman" w:hAnsi="Times New Roman" w:cs="Times New Roman"/>
          <w:sz w:val="24"/>
          <w:szCs w:val="24"/>
        </w:rPr>
        <w:t xml:space="preserve"> court seeking confirmation that h</w:t>
      </w:r>
      <w:r w:rsidR="00FD3FE0">
        <w:rPr>
          <w:rFonts w:ascii="Times New Roman" w:hAnsi="Times New Roman" w:cs="Times New Roman"/>
          <w:sz w:val="24"/>
          <w:szCs w:val="24"/>
        </w:rPr>
        <w:t>e was now owner of the BMW 320iA</w:t>
      </w:r>
      <w:r>
        <w:rPr>
          <w:rFonts w:ascii="Times New Roman" w:hAnsi="Times New Roman" w:cs="Times New Roman"/>
          <w:sz w:val="24"/>
          <w:szCs w:val="24"/>
        </w:rPr>
        <w:t xml:space="preserve"> because the first respondent had not paid back the loan on or before 4 October, 2014. On 5 February, 2015, the first respondent filed a notice of opposition and an opposing affidavit.</w:t>
      </w:r>
    </w:p>
    <w:p w:rsidR="00172B59" w:rsidRDefault="00172B59" w:rsidP="00172B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opposing affidavit, the first respondent said the appellant’s allegations were false. He said the correct position was that the appellant ran a company called Luze</w:t>
      </w:r>
      <w:r w:rsidR="004B1CF6">
        <w:rPr>
          <w:rFonts w:ascii="Times New Roman" w:hAnsi="Times New Roman" w:cs="Times New Roman"/>
          <w:sz w:val="24"/>
          <w:szCs w:val="24"/>
        </w:rPr>
        <w:t>rn</w:t>
      </w:r>
      <w:r>
        <w:rPr>
          <w:rFonts w:ascii="Times New Roman" w:hAnsi="Times New Roman" w:cs="Times New Roman"/>
          <w:sz w:val="24"/>
          <w:szCs w:val="24"/>
        </w:rPr>
        <w:t xml:space="preserve"> Enterprises (Pvt) Ltd and that the appellant received an audit from Zimra which indicated that Luze</w:t>
      </w:r>
      <w:r w:rsidR="004B1CF6">
        <w:rPr>
          <w:rFonts w:ascii="Times New Roman" w:hAnsi="Times New Roman" w:cs="Times New Roman"/>
          <w:sz w:val="24"/>
          <w:szCs w:val="24"/>
        </w:rPr>
        <w:t>rn</w:t>
      </w:r>
      <w:r>
        <w:rPr>
          <w:rFonts w:ascii="Times New Roman" w:hAnsi="Times New Roman" w:cs="Times New Roman"/>
          <w:sz w:val="24"/>
          <w:szCs w:val="24"/>
        </w:rPr>
        <w:t xml:space="preserve"> owed </w:t>
      </w:r>
      <w:r w:rsidR="00972612">
        <w:rPr>
          <w:rFonts w:ascii="Times New Roman" w:hAnsi="Times New Roman" w:cs="Times New Roman"/>
          <w:sz w:val="24"/>
          <w:szCs w:val="24"/>
        </w:rPr>
        <w:t xml:space="preserve">  </w:t>
      </w:r>
      <w:r>
        <w:rPr>
          <w:rFonts w:ascii="Times New Roman" w:hAnsi="Times New Roman" w:cs="Times New Roman"/>
          <w:sz w:val="24"/>
          <w:szCs w:val="24"/>
        </w:rPr>
        <w:lastRenderedPageBreak/>
        <w:t>US$1 098 893-63. He said the</w:t>
      </w:r>
      <w:r w:rsidR="00DD7FDB">
        <w:rPr>
          <w:rFonts w:ascii="Times New Roman" w:hAnsi="Times New Roman" w:cs="Times New Roman"/>
          <w:sz w:val="24"/>
          <w:szCs w:val="24"/>
        </w:rPr>
        <w:t xml:space="preserve"> appellant then approached him requesting that he finds a Tax Consultant on his behalf who would work with Zimra and make payment proposals. The first respondent said he looked for a consultant who said he wanted a down payment of </w:t>
      </w:r>
      <w:r w:rsidR="00972612">
        <w:rPr>
          <w:rFonts w:ascii="Times New Roman" w:hAnsi="Times New Roman" w:cs="Times New Roman"/>
          <w:sz w:val="24"/>
          <w:szCs w:val="24"/>
        </w:rPr>
        <w:t xml:space="preserve">            </w:t>
      </w:r>
      <w:r w:rsidR="00DD7FDB">
        <w:rPr>
          <w:rFonts w:ascii="Times New Roman" w:hAnsi="Times New Roman" w:cs="Times New Roman"/>
          <w:sz w:val="24"/>
          <w:szCs w:val="24"/>
        </w:rPr>
        <w:t>US$10 000-00. He said the applicant said he would pay the US$10 000-00 but he wanted security from the first respondent as the person who had introduced the Tax Consultant. The first respondent accept</w:t>
      </w:r>
      <w:r w:rsidR="004B1CF6">
        <w:rPr>
          <w:rFonts w:ascii="Times New Roman" w:hAnsi="Times New Roman" w:cs="Times New Roman"/>
          <w:sz w:val="24"/>
          <w:szCs w:val="24"/>
        </w:rPr>
        <w:t>ed that arran</w:t>
      </w:r>
      <w:r w:rsidR="00DD7FDB">
        <w:rPr>
          <w:rFonts w:ascii="Times New Roman" w:hAnsi="Times New Roman" w:cs="Times New Roman"/>
          <w:sz w:val="24"/>
          <w:szCs w:val="24"/>
        </w:rPr>
        <w:t>g</w:t>
      </w:r>
      <w:r w:rsidR="004B1CF6">
        <w:rPr>
          <w:rFonts w:ascii="Times New Roman" w:hAnsi="Times New Roman" w:cs="Times New Roman"/>
          <w:sz w:val="24"/>
          <w:szCs w:val="24"/>
        </w:rPr>
        <w:t>e</w:t>
      </w:r>
      <w:r w:rsidR="00DD7FDB">
        <w:rPr>
          <w:rFonts w:ascii="Times New Roman" w:hAnsi="Times New Roman" w:cs="Times New Roman"/>
          <w:sz w:val="24"/>
          <w:szCs w:val="24"/>
        </w:rPr>
        <w:t>ment since he had confidence in the Tax Consultant doing the job properly.</w:t>
      </w:r>
    </w:p>
    <w:p w:rsidR="00DD7FDB" w:rsidRDefault="00DD7FDB" w:rsidP="00172B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said the appellant later terminated the </w:t>
      </w:r>
      <w:r w:rsidR="004B1CF6">
        <w:rPr>
          <w:rFonts w:ascii="Times New Roman" w:hAnsi="Times New Roman" w:cs="Times New Roman"/>
          <w:sz w:val="24"/>
          <w:szCs w:val="24"/>
        </w:rPr>
        <w:t>arrangement</w:t>
      </w:r>
      <w:r>
        <w:rPr>
          <w:rFonts w:ascii="Times New Roman" w:hAnsi="Times New Roman" w:cs="Times New Roman"/>
          <w:sz w:val="24"/>
          <w:szCs w:val="24"/>
        </w:rPr>
        <w:t xml:space="preserve"> with the referred tax consultant, saying he had found someone who would do the job more quickly and for less money.</w:t>
      </w:r>
    </w:p>
    <w:p w:rsidR="00DD7FDB" w:rsidRDefault="00DD7FDB" w:rsidP="00172B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submitted that since the appellant was the one who cancelled the arrangement for which the $10 000-00 deposit had been paid, he should hand back his motor vehicle.</w:t>
      </w:r>
    </w:p>
    <w:p w:rsidR="00DD7FDB" w:rsidRDefault="00DD7FDB" w:rsidP="00172B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B1CF6">
        <w:rPr>
          <w:rFonts w:ascii="Times New Roman" w:hAnsi="Times New Roman" w:cs="Times New Roman"/>
          <w:sz w:val="24"/>
          <w:szCs w:val="24"/>
        </w:rPr>
        <w:t>The application was dealt with by</w:t>
      </w:r>
      <w:r>
        <w:rPr>
          <w:rFonts w:ascii="Times New Roman" w:hAnsi="Times New Roman" w:cs="Times New Roman"/>
          <w:sz w:val="24"/>
          <w:szCs w:val="24"/>
        </w:rPr>
        <w:t xml:space="preserve"> the court </w:t>
      </w:r>
      <w:r w:rsidRPr="00DD7FDB">
        <w:rPr>
          <w:rFonts w:ascii="Times New Roman" w:hAnsi="Times New Roman" w:cs="Times New Roman"/>
          <w:i/>
          <w:sz w:val="24"/>
          <w:szCs w:val="24"/>
        </w:rPr>
        <w:t>a quo</w:t>
      </w:r>
      <w:r>
        <w:rPr>
          <w:rFonts w:ascii="Times New Roman" w:hAnsi="Times New Roman" w:cs="Times New Roman"/>
          <w:sz w:val="24"/>
          <w:szCs w:val="24"/>
        </w:rPr>
        <w:t xml:space="preserve"> on 3 March, 2015</w:t>
      </w:r>
      <w:r w:rsidR="004B1CF6">
        <w:rPr>
          <w:rFonts w:ascii="Times New Roman" w:hAnsi="Times New Roman" w:cs="Times New Roman"/>
          <w:sz w:val="24"/>
          <w:szCs w:val="24"/>
        </w:rPr>
        <w:t>. A</w:t>
      </w:r>
      <w:r>
        <w:rPr>
          <w:rFonts w:ascii="Times New Roman" w:hAnsi="Times New Roman" w:cs="Times New Roman"/>
          <w:sz w:val="24"/>
          <w:szCs w:val="24"/>
        </w:rPr>
        <w:t>t the start of proceedings, the parties said they had agreed that the matter be determined on the papers filed of record. On p 7 of the record, the magistrate stated as follows:</w:t>
      </w:r>
    </w:p>
    <w:p w:rsidR="00DD7FDB" w:rsidRDefault="00DD7FDB" w:rsidP="00DD7FDB">
      <w:pPr>
        <w:spacing w:after="0" w:line="240" w:lineRule="auto"/>
        <w:jc w:val="both"/>
        <w:rPr>
          <w:rFonts w:ascii="Times New Roman" w:hAnsi="Times New Roman" w:cs="Times New Roman"/>
        </w:rPr>
      </w:pPr>
      <w:r>
        <w:rPr>
          <w:rFonts w:ascii="Times New Roman" w:hAnsi="Times New Roman" w:cs="Times New Roman"/>
          <w:sz w:val="24"/>
          <w:szCs w:val="24"/>
        </w:rPr>
        <w:tab/>
      </w:r>
      <w:r w:rsidRPr="00DD7FDB">
        <w:rPr>
          <w:rFonts w:ascii="Times New Roman" w:hAnsi="Times New Roman" w:cs="Times New Roman"/>
        </w:rPr>
        <w:t>“After going through the submissions by the parties this c</w:t>
      </w:r>
      <w:r w:rsidR="004B1CF6">
        <w:rPr>
          <w:rFonts w:ascii="Times New Roman" w:hAnsi="Times New Roman" w:cs="Times New Roman"/>
        </w:rPr>
        <w:t>ourt is of the view that ther</w:t>
      </w:r>
      <w:r w:rsidRPr="00DD7FDB">
        <w:rPr>
          <w:rFonts w:ascii="Times New Roman" w:hAnsi="Times New Roman" w:cs="Times New Roman"/>
        </w:rPr>
        <w:t xml:space="preserve">e are </w:t>
      </w:r>
      <w:r>
        <w:rPr>
          <w:rFonts w:ascii="Times New Roman" w:hAnsi="Times New Roman" w:cs="Times New Roman"/>
        </w:rPr>
        <w:tab/>
      </w:r>
      <w:r w:rsidRPr="00DD7FDB">
        <w:rPr>
          <w:rFonts w:ascii="Times New Roman" w:hAnsi="Times New Roman" w:cs="Times New Roman"/>
        </w:rPr>
        <w:t xml:space="preserve">disputes of fact and as such this matter cannot be decided on </w:t>
      </w:r>
      <w:r w:rsidR="004B1CF6">
        <w:rPr>
          <w:rFonts w:ascii="Times New Roman" w:hAnsi="Times New Roman" w:cs="Times New Roman"/>
        </w:rPr>
        <w:t xml:space="preserve">the </w:t>
      </w:r>
      <w:r w:rsidRPr="00DD7FDB">
        <w:rPr>
          <w:rFonts w:ascii="Times New Roman" w:hAnsi="Times New Roman" w:cs="Times New Roman"/>
        </w:rPr>
        <w:t>paper</w:t>
      </w:r>
      <w:r w:rsidR="004B1CF6">
        <w:rPr>
          <w:rFonts w:ascii="Times New Roman" w:hAnsi="Times New Roman" w:cs="Times New Roman"/>
        </w:rPr>
        <w:t>s</w:t>
      </w:r>
      <w:r w:rsidRPr="00DD7FDB">
        <w:rPr>
          <w:rFonts w:ascii="Times New Roman" w:hAnsi="Times New Roman" w:cs="Times New Roman"/>
        </w:rPr>
        <w:t xml:space="preserve">. The fact that there are </w:t>
      </w:r>
      <w:r w:rsidR="004B1CF6">
        <w:rPr>
          <w:rFonts w:ascii="Times New Roman" w:hAnsi="Times New Roman" w:cs="Times New Roman"/>
        </w:rPr>
        <w:tab/>
      </w:r>
      <w:r w:rsidRPr="00DD7FDB">
        <w:rPr>
          <w:rFonts w:ascii="Times New Roman" w:hAnsi="Times New Roman" w:cs="Times New Roman"/>
        </w:rPr>
        <w:t>two</w:t>
      </w:r>
      <w:r w:rsidR="004B1CF6">
        <w:rPr>
          <w:rFonts w:ascii="Times New Roman" w:hAnsi="Times New Roman" w:cs="Times New Roman"/>
        </w:rPr>
        <w:t xml:space="preserve"> </w:t>
      </w:r>
      <w:r w:rsidRPr="00DD7FDB">
        <w:rPr>
          <w:rFonts w:ascii="Times New Roman" w:hAnsi="Times New Roman" w:cs="Times New Roman"/>
        </w:rPr>
        <w:t xml:space="preserve">different versions leading to the drafting of the acknowledgment of debt requires that the </w:t>
      </w:r>
      <w:r w:rsidR="004B1CF6">
        <w:rPr>
          <w:rFonts w:ascii="Times New Roman" w:hAnsi="Times New Roman" w:cs="Times New Roman"/>
        </w:rPr>
        <w:tab/>
      </w:r>
      <w:r w:rsidRPr="00DD7FDB">
        <w:rPr>
          <w:rFonts w:ascii="Times New Roman" w:hAnsi="Times New Roman" w:cs="Times New Roman"/>
        </w:rPr>
        <w:t xml:space="preserve">matter </w:t>
      </w:r>
      <w:r>
        <w:rPr>
          <w:rFonts w:ascii="Times New Roman" w:hAnsi="Times New Roman" w:cs="Times New Roman"/>
        </w:rPr>
        <w:tab/>
      </w:r>
      <w:r w:rsidRPr="00DD7FDB">
        <w:rPr>
          <w:rFonts w:ascii="Times New Roman" w:hAnsi="Times New Roman" w:cs="Times New Roman"/>
        </w:rPr>
        <w:t>be referred to trial.</w:t>
      </w:r>
    </w:p>
    <w:p w:rsidR="00DD7FDB" w:rsidRPr="00DD7FDB" w:rsidRDefault="00DD7FDB" w:rsidP="00DD7FDB">
      <w:pPr>
        <w:spacing w:after="0" w:line="240" w:lineRule="auto"/>
        <w:jc w:val="both"/>
        <w:rPr>
          <w:rFonts w:ascii="Times New Roman" w:hAnsi="Times New Roman" w:cs="Times New Roman"/>
        </w:rPr>
      </w:pPr>
    </w:p>
    <w:p w:rsidR="00DD7FDB" w:rsidRDefault="00DD7FDB" w:rsidP="00DD7FDB">
      <w:pPr>
        <w:spacing w:after="0" w:line="240" w:lineRule="auto"/>
        <w:jc w:val="both"/>
        <w:rPr>
          <w:rFonts w:ascii="Times New Roman" w:hAnsi="Times New Roman" w:cs="Times New Roman"/>
        </w:rPr>
      </w:pPr>
      <w:r w:rsidRPr="00DD7FDB">
        <w:rPr>
          <w:rFonts w:ascii="Times New Roman" w:hAnsi="Times New Roman" w:cs="Times New Roman"/>
        </w:rPr>
        <w:tab/>
        <w:t xml:space="preserve">The papers filed of record will stand as the parties pleadings and matter should proceed to PTC </w:t>
      </w:r>
      <w:r>
        <w:rPr>
          <w:rFonts w:ascii="Times New Roman" w:hAnsi="Times New Roman" w:cs="Times New Roman"/>
        </w:rPr>
        <w:tab/>
      </w:r>
      <w:r w:rsidRPr="00DD7FDB">
        <w:rPr>
          <w:rFonts w:ascii="Times New Roman" w:hAnsi="Times New Roman" w:cs="Times New Roman"/>
        </w:rPr>
        <w:t>stage.</w:t>
      </w:r>
    </w:p>
    <w:p w:rsidR="00DD7FDB" w:rsidRPr="00DD7FDB" w:rsidRDefault="00DD7FDB" w:rsidP="00DD7FDB">
      <w:pPr>
        <w:spacing w:after="0" w:line="240" w:lineRule="auto"/>
        <w:jc w:val="both"/>
        <w:rPr>
          <w:rFonts w:ascii="Times New Roman" w:hAnsi="Times New Roman" w:cs="Times New Roman"/>
        </w:rPr>
      </w:pPr>
    </w:p>
    <w:p w:rsidR="00DD7FDB" w:rsidRDefault="00DD7FDB" w:rsidP="00DD7FDB">
      <w:pPr>
        <w:spacing w:after="0" w:line="240" w:lineRule="auto"/>
        <w:jc w:val="both"/>
        <w:rPr>
          <w:rFonts w:ascii="Times New Roman" w:hAnsi="Times New Roman" w:cs="Times New Roman"/>
        </w:rPr>
      </w:pPr>
      <w:r w:rsidRPr="00DD7FDB">
        <w:rPr>
          <w:rFonts w:ascii="Times New Roman" w:hAnsi="Times New Roman" w:cs="Times New Roman"/>
        </w:rPr>
        <w:tab/>
        <w:t>Accordingly, application be and is hereby dismissed.”</w:t>
      </w:r>
    </w:p>
    <w:p w:rsidR="00DD7FDB" w:rsidRDefault="00DD7FDB" w:rsidP="00DD7FDB">
      <w:pPr>
        <w:spacing w:after="0" w:line="240" w:lineRule="auto"/>
        <w:jc w:val="both"/>
        <w:rPr>
          <w:rFonts w:ascii="Times New Roman" w:hAnsi="Times New Roman" w:cs="Times New Roman"/>
        </w:rPr>
      </w:pPr>
    </w:p>
    <w:p w:rsidR="00DD7FDB" w:rsidRDefault="00DD7FDB" w:rsidP="00DD7FDB">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On 10 April 2015, the appellant </w:t>
      </w:r>
      <w:r w:rsidR="00972612">
        <w:rPr>
          <w:rFonts w:ascii="Times New Roman" w:hAnsi="Times New Roman" w:cs="Times New Roman"/>
          <w:sz w:val="24"/>
          <w:szCs w:val="24"/>
        </w:rPr>
        <w:t>filed</w:t>
      </w:r>
      <w:r>
        <w:rPr>
          <w:rFonts w:ascii="Times New Roman" w:hAnsi="Times New Roman" w:cs="Times New Roman"/>
          <w:sz w:val="24"/>
          <w:szCs w:val="24"/>
        </w:rPr>
        <w:t xml:space="preserve"> an appeal with the High Court. The following were the grounds of appeal:</w:t>
      </w:r>
    </w:p>
    <w:p w:rsidR="00DD7FDB" w:rsidRPr="004B1CF6" w:rsidRDefault="004B1CF6" w:rsidP="004B1CF6">
      <w:pPr>
        <w:spacing w:after="0" w:line="240" w:lineRule="auto"/>
        <w:jc w:val="both"/>
        <w:rPr>
          <w:rFonts w:ascii="Times New Roman" w:hAnsi="Times New Roman" w:cs="Times New Roman"/>
        </w:rPr>
      </w:pPr>
      <w:r>
        <w:rPr>
          <w:rFonts w:ascii="Times New Roman" w:hAnsi="Times New Roman" w:cs="Times New Roman"/>
        </w:rPr>
        <w:tab/>
        <w:t>“</w:t>
      </w:r>
      <w:r w:rsidR="00DD7FDB" w:rsidRPr="004B1CF6">
        <w:rPr>
          <w:rFonts w:ascii="Times New Roman" w:hAnsi="Times New Roman" w:cs="Times New Roman"/>
        </w:rPr>
        <w:t>(a)</w:t>
      </w:r>
      <w:r w:rsidR="00DD7FDB" w:rsidRPr="004B1CF6">
        <w:rPr>
          <w:rFonts w:ascii="Times New Roman" w:hAnsi="Times New Roman" w:cs="Times New Roman"/>
        </w:rPr>
        <w:tab/>
        <w:t xml:space="preserve">The court </w:t>
      </w:r>
      <w:r w:rsidR="00DD7FDB" w:rsidRPr="004B1CF6">
        <w:rPr>
          <w:rFonts w:ascii="Times New Roman" w:hAnsi="Times New Roman" w:cs="Times New Roman"/>
          <w:i/>
        </w:rPr>
        <w:t>a quo</w:t>
      </w:r>
      <w:r w:rsidR="002A3460" w:rsidRPr="004B1CF6">
        <w:rPr>
          <w:rFonts w:ascii="Times New Roman" w:hAnsi="Times New Roman" w:cs="Times New Roman"/>
        </w:rPr>
        <w:t xml:space="preserve">, with respect, erred by refusing to interpret and enforce the parties </w:t>
      </w:r>
      <w:r w:rsidR="002A3460" w:rsidRPr="004B1CF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A3460" w:rsidRPr="004B1CF6">
        <w:rPr>
          <w:rFonts w:ascii="Times New Roman" w:hAnsi="Times New Roman" w:cs="Times New Roman"/>
        </w:rPr>
        <w:t xml:space="preserve">written contract in accordance with the parole evidence and caveat </w:t>
      </w:r>
      <w:r w:rsidR="002A3460" w:rsidRPr="004B1CF6">
        <w:rPr>
          <w:rFonts w:ascii="Times New Roman" w:hAnsi="Times New Roman" w:cs="Times New Roman"/>
          <w:i/>
        </w:rPr>
        <w:t>subscripto</w:t>
      </w:r>
      <w:r w:rsidR="002A3460" w:rsidRPr="004B1CF6">
        <w:rPr>
          <w:rFonts w:ascii="Times New Roman" w:hAnsi="Times New Roman" w:cs="Times New Roman"/>
        </w:rPr>
        <w:t xml:space="preserve"> rules </w:t>
      </w:r>
      <w:r w:rsidR="002A3460" w:rsidRPr="004B1CF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A3460" w:rsidRPr="004B1CF6">
        <w:rPr>
          <w:rFonts w:ascii="Times New Roman" w:hAnsi="Times New Roman" w:cs="Times New Roman"/>
        </w:rPr>
        <w:t>without giving any reason for not applying the rules.</w:t>
      </w:r>
    </w:p>
    <w:p w:rsidR="002A3460" w:rsidRPr="004B1CF6" w:rsidRDefault="004B1CF6" w:rsidP="004B1CF6">
      <w:pPr>
        <w:spacing w:after="0" w:line="240" w:lineRule="auto"/>
        <w:jc w:val="both"/>
        <w:rPr>
          <w:rFonts w:ascii="Times New Roman" w:hAnsi="Times New Roman" w:cs="Times New Roman"/>
        </w:rPr>
      </w:pPr>
      <w:r>
        <w:rPr>
          <w:rFonts w:ascii="Times New Roman" w:hAnsi="Times New Roman" w:cs="Times New Roman"/>
        </w:rPr>
        <w:tab/>
      </w:r>
      <w:r w:rsidR="002A3460" w:rsidRPr="004B1CF6">
        <w:rPr>
          <w:rFonts w:ascii="Times New Roman" w:hAnsi="Times New Roman" w:cs="Times New Roman"/>
        </w:rPr>
        <w:t>(b)</w:t>
      </w:r>
      <w:r w:rsidR="002A3460" w:rsidRPr="004B1CF6">
        <w:rPr>
          <w:rFonts w:ascii="Times New Roman" w:hAnsi="Times New Roman" w:cs="Times New Roman"/>
        </w:rPr>
        <w:tab/>
        <w:t xml:space="preserve">With respect, the court </w:t>
      </w:r>
      <w:r w:rsidR="002A3460" w:rsidRPr="004B1CF6">
        <w:rPr>
          <w:rFonts w:ascii="Times New Roman" w:hAnsi="Times New Roman" w:cs="Times New Roman"/>
          <w:i/>
        </w:rPr>
        <w:t>a quo</w:t>
      </w:r>
      <w:r w:rsidR="002A3460" w:rsidRPr="004B1CF6">
        <w:rPr>
          <w:rFonts w:ascii="Times New Roman" w:hAnsi="Times New Roman" w:cs="Times New Roman"/>
        </w:rPr>
        <w:t xml:space="preserve"> erred by finding that there were material disputes of fact </w:t>
      </w:r>
      <w:r w:rsidR="002A3460" w:rsidRPr="004B1CF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A3460" w:rsidRPr="004B1CF6">
        <w:rPr>
          <w:rFonts w:ascii="Times New Roman" w:hAnsi="Times New Roman" w:cs="Times New Roman"/>
        </w:rPr>
        <w:t xml:space="preserve">and by dismissing the application in the absence of any allegation of misrepresentation, </w:t>
      </w:r>
      <w:r w:rsidR="002A3460" w:rsidRPr="004B1CF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A3460" w:rsidRPr="004B1CF6">
        <w:rPr>
          <w:rFonts w:ascii="Times New Roman" w:hAnsi="Times New Roman" w:cs="Times New Roman"/>
        </w:rPr>
        <w:t>fraud, duress, undue influence, illegality or mistake.</w:t>
      </w:r>
    </w:p>
    <w:p w:rsidR="002A3460" w:rsidRPr="004B1CF6" w:rsidRDefault="004B1CF6" w:rsidP="004B1CF6">
      <w:pPr>
        <w:spacing w:after="0" w:line="240" w:lineRule="auto"/>
        <w:jc w:val="both"/>
        <w:rPr>
          <w:rFonts w:ascii="Times New Roman" w:hAnsi="Times New Roman" w:cs="Times New Roman"/>
        </w:rPr>
      </w:pPr>
      <w:r>
        <w:rPr>
          <w:rFonts w:ascii="Times New Roman" w:hAnsi="Times New Roman" w:cs="Times New Roman"/>
        </w:rPr>
        <w:tab/>
      </w:r>
      <w:r w:rsidR="002A3460" w:rsidRPr="004B1CF6">
        <w:rPr>
          <w:rFonts w:ascii="Times New Roman" w:hAnsi="Times New Roman" w:cs="Times New Roman"/>
        </w:rPr>
        <w:t>(c)</w:t>
      </w:r>
      <w:r w:rsidR="002A3460" w:rsidRPr="004B1CF6">
        <w:rPr>
          <w:rFonts w:ascii="Times New Roman" w:hAnsi="Times New Roman" w:cs="Times New Roman"/>
        </w:rPr>
        <w:tab/>
        <w:t xml:space="preserve">With the greatest respect, the court </w:t>
      </w:r>
      <w:r w:rsidR="002A3460" w:rsidRPr="004B1CF6">
        <w:rPr>
          <w:rFonts w:ascii="Times New Roman" w:hAnsi="Times New Roman" w:cs="Times New Roman"/>
          <w:i/>
        </w:rPr>
        <w:t xml:space="preserve">a quo </w:t>
      </w:r>
      <w:r w:rsidR="002A3460" w:rsidRPr="004B1CF6">
        <w:rPr>
          <w:rFonts w:ascii="Times New Roman" w:hAnsi="Times New Roman" w:cs="Times New Roman"/>
        </w:rPr>
        <w:t>erred by purporting to refer a</w:t>
      </w:r>
      <w:r w:rsidR="00972612" w:rsidRPr="004B1CF6">
        <w:rPr>
          <w:rFonts w:ascii="Times New Roman" w:hAnsi="Times New Roman" w:cs="Times New Roman"/>
        </w:rPr>
        <w:t xml:space="preserve"> </w:t>
      </w:r>
      <w:r w:rsidR="002A3460" w:rsidRPr="004B1CF6">
        <w:rPr>
          <w:rFonts w:ascii="Times New Roman" w:hAnsi="Times New Roman" w:cs="Times New Roman"/>
        </w:rPr>
        <w:t xml:space="preserve">dismissed </w:t>
      </w:r>
      <w:r w:rsidR="00972612" w:rsidRPr="004B1CF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A3460" w:rsidRPr="004B1CF6">
        <w:rPr>
          <w:rFonts w:ascii="Times New Roman" w:hAnsi="Times New Roman" w:cs="Times New Roman"/>
        </w:rPr>
        <w:t xml:space="preserve">application to trial. Having dismissed the application, there was nothing to refer to trial. </w:t>
      </w:r>
      <w:r w:rsidR="00972612" w:rsidRPr="004B1CF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A3460" w:rsidRPr="004B1CF6">
        <w:rPr>
          <w:rFonts w:ascii="Times New Roman" w:hAnsi="Times New Roman" w:cs="Times New Roman"/>
        </w:rPr>
        <w:t xml:space="preserve">Conversely, having referred the matter to trial, the court could not dismiss the application </w:t>
      </w:r>
      <w:r w:rsidR="00972612" w:rsidRPr="004B1CF6">
        <w:rPr>
          <w:rFonts w:ascii="Times New Roman" w:hAnsi="Times New Roman" w:cs="Times New Roman"/>
        </w:rPr>
        <w:tab/>
      </w:r>
      <w:r>
        <w:rPr>
          <w:rFonts w:ascii="Times New Roman" w:hAnsi="Times New Roman" w:cs="Times New Roman"/>
        </w:rPr>
        <w:tab/>
      </w:r>
      <w:r w:rsidR="002A3460" w:rsidRPr="004B1CF6">
        <w:rPr>
          <w:rFonts w:ascii="Times New Roman" w:hAnsi="Times New Roman" w:cs="Times New Roman"/>
        </w:rPr>
        <w:t>before such trial.</w:t>
      </w:r>
      <w:r>
        <w:rPr>
          <w:rFonts w:ascii="Times New Roman" w:hAnsi="Times New Roman" w:cs="Times New Roman"/>
        </w:rPr>
        <w:t>”</w:t>
      </w:r>
    </w:p>
    <w:p w:rsidR="00972612" w:rsidRPr="004B1CF6" w:rsidRDefault="00972612" w:rsidP="004B1CF6">
      <w:pPr>
        <w:spacing w:after="0" w:line="240" w:lineRule="auto"/>
        <w:jc w:val="both"/>
        <w:rPr>
          <w:rFonts w:ascii="Times New Roman" w:hAnsi="Times New Roman" w:cs="Times New Roman"/>
        </w:rPr>
      </w:pPr>
    </w:p>
    <w:p w:rsidR="002A3460" w:rsidRDefault="002A3460" w:rsidP="00DD7F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her comments to the grounds of appeal, the magistrate conceded that she should not have dismissed the application. On p 3 of the appeal </w:t>
      </w:r>
      <w:r w:rsidR="00972612">
        <w:rPr>
          <w:rFonts w:ascii="Times New Roman" w:hAnsi="Times New Roman" w:cs="Times New Roman"/>
          <w:sz w:val="24"/>
          <w:szCs w:val="24"/>
        </w:rPr>
        <w:t>record she stated the following:</w:t>
      </w:r>
    </w:p>
    <w:p w:rsidR="002A3460" w:rsidRPr="00F23A5D" w:rsidRDefault="002A3460" w:rsidP="00F23A5D">
      <w:pPr>
        <w:spacing w:after="0" w:line="240" w:lineRule="auto"/>
        <w:jc w:val="both"/>
        <w:rPr>
          <w:rFonts w:ascii="Times New Roman" w:hAnsi="Times New Roman" w:cs="Times New Roman"/>
        </w:rPr>
      </w:pPr>
      <w:r>
        <w:rPr>
          <w:rFonts w:ascii="Times New Roman" w:hAnsi="Times New Roman" w:cs="Times New Roman"/>
          <w:sz w:val="24"/>
          <w:szCs w:val="24"/>
        </w:rPr>
        <w:tab/>
      </w:r>
      <w:r w:rsidRPr="00F23A5D">
        <w:rPr>
          <w:rFonts w:ascii="Times New Roman" w:hAnsi="Times New Roman" w:cs="Times New Roman"/>
        </w:rPr>
        <w:t xml:space="preserve">“I still maintain that there are material disputes of fact and that is the reason </w:t>
      </w:r>
      <w:r w:rsidR="009C7F79">
        <w:rPr>
          <w:rFonts w:ascii="Times New Roman" w:hAnsi="Times New Roman" w:cs="Times New Roman"/>
        </w:rPr>
        <w:t>the</w:t>
      </w:r>
      <w:r w:rsidRPr="00F23A5D">
        <w:rPr>
          <w:rFonts w:ascii="Times New Roman" w:hAnsi="Times New Roman" w:cs="Times New Roman"/>
        </w:rPr>
        <w:t xml:space="preserve"> matter was </w:t>
      </w:r>
      <w:r w:rsidR="009C7F79">
        <w:rPr>
          <w:rFonts w:ascii="Times New Roman" w:hAnsi="Times New Roman" w:cs="Times New Roman"/>
        </w:rPr>
        <w:tab/>
      </w:r>
      <w:r w:rsidRPr="00F23A5D">
        <w:rPr>
          <w:rFonts w:ascii="Times New Roman" w:hAnsi="Times New Roman" w:cs="Times New Roman"/>
        </w:rPr>
        <w:t>referred for trial.</w:t>
      </w:r>
    </w:p>
    <w:p w:rsidR="002A3460" w:rsidRPr="00F23A5D" w:rsidRDefault="002A3460" w:rsidP="00F23A5D">
      <w:pPr>
        <w:spacing w:after="0" w:line="240" w:lineRule="auto"/>
        <w:jc w:val="both"/>
        <w:rPr>
          <w:rFonts w:ascii="Times New Roman" w:hAnsi="Times New Roman" w:cs="Times New Roman"/>
        </w:rPr>
      </w:pPr>
    </w:p>
    <w:p w:rsidR="00F23A5D" w:rsidRDefault="002A3460" w:rsidP="00F23A5D">
      <w:pPr>
        <w:spacing w:after="0" w:line="240" w:lineRule="auto"/>
        <w:jc w:val="both"/>
        <w:rPr>
          <w:rFonts w:ascii="Times New Roman" w:hAnsi="Times New Roman" w:cs="Times New Roman"/>
        </w:rPr>
      </w:pPr>
      <w:r w:rsidRPr="00F23A5D">
        <w:rPr>
          <w:rFonts w:ascii="Times New Roman" w:hAnsi="Times New Roman" w:cs="Times New Roman"/>
        </w:rPr>
        <w:tab/>
        <w:t>I however do concede that it was an</w:t>
      </w:r>
      <w:r w:rsidR="00F23A5D" w:rsidRPr="00F23A5D">
        <w:rPr>
          <w:rFonts w:ascii="Times New Roman" w:hAnsi="Times New Roman" w:cs="Times New Roman"/>
        </w:rPr>
        <w:t xml:space="preserve"> error on my part to dismiss the application and then refer </w:t>
      </w:r>
      <w:r w:rsidR="00F23A5D">
        <w:rPr>
          <w:rFonts w:ascii="Times New Roman" w:hAnsi="Times New Roman" w:cs="Times New Roman"/>
        </w:rPr>
        <w:tab/>
      </w:r>
      <w:r w:rsidR="009C7F79">
        <w:rPr>
          <w:rFonts w:ascii="Times New Roman" w:hAnsi="Times New Roman" w:cs="Times New Roman"/>
        </w:rPr>
        <w:t xml:space="preserve">the </w:t>
      </w:r>
      <w:r w:rsidR="00F23A5D" w:rsidRPr="00F23A5D">
        <w:rPr>
          <w:rFonts w:ascii="Times New Roman" w:hAnsi="Times New Roman" w:cs="Times New Roman"/>
        </w:rPr>
        <w:t>matter for trial. The intention was to refer the matter for trial.”</w:t>
      </w:r>
    </w:p>
    <w:p w:rsidR="00F23A5D" w:rsidRPr="00F23A5D" w:rsidRDefault="00F23A5D" w:rsidP="00F23A5D">
      <w:pPr>
        <w:spacing w:after="0" w:line="240" w:lineRule="auto"/>
        <w:jc w:val="both"/>
        <w:rPr>
          <w:rFonts w:ascii="Times New Roman" w:hAnsi="Times New Roman" w:cs="Times New Roman"/>
        </w:rPr>
      </w:pPr>
    </w:p>
    <w:p w:rsidR="00F23A5D" w:rsidRDefault="00F23A5D" w:rsidP="00F23A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magistrate’s concession re</w:t>
      </w:r>
      <w:r w:rsidR="00972612">
        <w:rPr>
          <w:rFonts w:ascii="Times New Roman" w:hAnsi="Times New Roman" w:cs="Times New Roman"/>
          <w:sz w:val="24"/>
          <w:szCs w:val="24"/>
        </w:rPr>
        <w:t>fers mainly to ground of appeal</w:t>
      </w:r>
      <w:r>
        <w:rPr>
          <w:rFonts w:ascii="Times New Roman" w:hAnsi="Times New Roman" w:cs="Times New Roman"/>
          <w:sz w:val="24"/>
          <w:szCs w:val="24"/>
        </w:rPr>
        <w:t xml:space="preserve"> </w:t>
      </w:r>
      <w:r w:rsidR="009C7F79">
        <w:rPr>
          <w:rFonts w:ascii="Times New Roman" w:hAnsi="Times New Roman" w:cs="Times New Roman"/>
          <w:sz w:val="24"/>
          <w:szCs w:val="24"/>
        </w:rPr>
        <w:t>(c). I</w:t>
      </w:r>
      <w:r>
        <w:rPr>
          <w:rFonts w:ascii="Times New Roman" w:hAnsi="Times New Roman" w:cs="Times New Roman"/>
          <w:sz w:val="24"/>
          <w:szCs w:val="24"/>
        </w:rPr>
        <w:t xml:space="preserve">n relation to ground (a) and (b), she still maintained that there </w:t>
      </w:r>
      <w:r w:rsidR="009C7F79">
        <w:rPr>
          <w:rFonts w:ascii="Times New Roman" w:hAnsi="Times New Roman" w:cs="Times New Roman"/>
          <w:sz w:val="24"/>
          <w:szCs w:val="24"/>
        </w:rPr>
        <w:t>were</w:t>
      </w:r>
      <w:r>
        <w:rPr>
          <w:rFonts w:ascii="Times New Roman" w:hAnsi="Times New Roman" w:cs="Times New Roman"/>
          <w:sz w:val="24"/>
          <w:szCs w:val="24"/>
        </w:rPr>
        <w:t xml:space="preserve"> material disputes of facts and the matter </w:t>
      </w:r>
      <w:r w:rsidR="009C7F79">
        <w:rPr>
          <w:rFonts w:ascii="Times New Roman" w:hAnsi="Times New Roman" w:cs="Times New Roman"/>
          <w:sz w:val="24"/>
          <w:szCs w:val="24"/>
        </w:rPr>
        <w:tab/>
      </w:r>
      <w:r>
        <w:rPr>
          <w:rFonts w:ascii="Times New Roman" w:hAnsi="Times New Roman" w:cs="Times New Roman"/>
          <w:sz w:val="24"/>
          <w:szCs w:val="24"/>
        </w:rPr>
        <w:t xml:space="preserve">should be referred to trial. </w:t>
      </w:r>
    </w:p>
    <w:p w:rsidR="00F23A5D" w:rsidRDefault="00F23A5D" w:rsidP="00F23A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on the other hand, contend</w:t>
      </w:r>
      <w:r w:rsidR="009C7F79">
        <w:rPr>
          <w:rFonts w:ascii="Times New Roman" w:hAnsi="Times New Roman" w:cs="Times New Roman"/>
          <w:sz w:val="24"/>
          <w:szCs w:val="24"/>
        </w:rPr>
        <w:t>ed</w:t>
      </w:r>
      <w:r>
        <w:rPr>
          <w:rFonts w:ascii="Times New Roman" w:hAnsi="Times New Roman" w:cs="Times New Roman"/>
          <w:sz w:val="24"/>
          <w:szCs w:val="24"/>
        </w:rPr>
        <w:t xml:space="preserve"> that the appeal should be allowed and the following relief granted:</w:t>
      </w:r>
    </w:p>
    <w:p w:rsidR="00F23A5D" w:rsidRDefault="00F23A5D" w:rsidP="00F23A5D">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“(i) </w:t>
      </w:r>
      <w:r>
        <w:rPr>
          <w:rFonts w:ascii="Times New Roman" w:hAnsi="Times New Roman" w:cs="Times New Roman"/>
        </w:rPr>
        <w:tab/>
        <w:t>The application be and is hereby granted.</w:t>
      </w:r>
    </w:p>
    <w:p w:rsidR="00F23A5D" w:rsidRDefault="00F23A5D" w:rsidP="00F23A5D">
      <w:pPr>
        <w:spacing w:after="0" w:line="240" w:lineRule="auto"/>
        <w:ind w:left="1440" w:hanging="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the app</w:t>
      </w:r>
      <w:r w:rsidR="00FD3FE0">
        <w:rPr>
          <w:rFonts w:ascii="Times New Roman" w:hAnsi="Times New Roman" w:cs="Times New Roman"/>
        </w:rPr>
        <w:t>licant’s ownership of a BMW 320i</w:t>
      </w:r>
      <w:r>
        <w:rPr>
          <w:rFonts w:ascii="Times New Roman" w:hAnsi="Times New Roman" w:cs="Times New Roman"/>
        </w:rPr>
        <w:t>A motor vehicle, Registration Number ACU 3318, Chasis Number WBA VA 76040 NK 73977 and Engine Number B 471H885, be and is hereby confirmed.</w:t>
      </w:r>
    </w:p>
    <w:p w:rsidR="00F23A5D" w:rsidRDefault="00F23A5D" w:rsidP="00F23A5D">
      <w:pPr>
        <w:spacing w:after="0" w:line="240" w:lineRule="auto"/>
        <w:ind w:left="1440" w:hanging="720"/>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t>The second respondent is hereby ordered to register the vehicle in the name of the applicant.</w:t>
      </w:r>
    </w:p>
    <w:p w:rsidR="00F23A5D" w:rsidRDefault="00F23A5D" w:rsidP="00F23A5D">
      <w:pPr>
        <w:spacing w:after="0" w:line="240" w:lineRule="auto"/>
        <w:ind w:left="1440" w:hanging="720"/>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t>1</w:t>
      </w:r>
      <w:r w:rsidRPr="00F65D3B">
        <w:rPr>
          <w:rFonts w:ascii="Times New Roman" w:hAnsi="Times New Roman" w:cs="Times New Roman"/>
          <w:vertAlign w:val="superscript"/>
        </w:rPr>
        <w:t>st</w:t>
      </w:r>
      <w:r w:rsidR="00F6556A">
        <w:rPr>
          <w:rFonts w:ascii="Times New Roman" w:hAnsi="Times New Roman" w:cs="Times New Roman"/>
        </w:rPr>
        <w:t xml:space="preserve"> r</w:t>
      </w:r>
      <w:r>
        <w:rPr>
          <w:rFonts w:ascii="Times New Roman" w:hAnsi="Times New Roman" w:cs="Times New Roman"/>
        </w:rPr>
        <w:t xml:space="preserve">espondent shall pay the costs of this suit on an attorney and client scale.” </w:t>
      </w:r>
    </w:p>
    <w:p w:rsidR="00F23A5D" w:rsidRDefault="00F23A5D" w:rsidP="00F23A5D">
      <w:pPr>
        <w:spacing w:after="0" w:line="240" w:lineRule="auto"/>
        <w:jc w:val="both"/>
        <w:rPr>
          <w:rFonts w:ascii="Times New Roman" w:hAnsi="Times New Roman" w:cs="Times New Roman"/>
        </w:rPr>
      </w:pPr>
    </w:p>
    <w:p w:rsidR="00F23A5D" w:rsidRDefault="00F23A5D" w:rsidP="00F23A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Our view is that the </w:t>
      </w:r>
      <w:r w:rsidR="00972612">
        <w:rPr>
          <w:rFonts w:ascii="Times New Roman" w:hAnsi="Times New Roman" w:cs="Times New Roman"/>
          <w:sz w:val="24"/>
          <w:szCs w:val="24"/>
        </w:rPr>
        <w:t>m</w:t>
      </w:r>
      <w:r>
        <w:rPr>
          <w:rFonts w:ascii="Times New Roman" w:hAnsi="Times New Roman" w:cs="Times New Roman"/>
          <w:sz w:val="24"/>
          <w:szCs w:val="24"/>
        </w:rPr>
        <w:t xml:space="preserve">agistrate’s </w:t>
      </w:r>
      <w:r w:rsidR="00972612">
        <w:rPr>
          <w:rFonts w:ascii="Times New Roman" w:hAnsi="Times New Roman" w:cs="Times New Roman"/>
          <w:sz w:val="24"/>
          <w:szCs w:val="24"/>
        </w:rPr>
        <w:t>c</w:t>
      </w:r>
      <w:r>
        <w:rPr>
          <w:rFonts w:ascii="Times New Roman" w:hAnsi="Times New Roman" w:cs="Times New Roman"/>
          <w:sz w:val="24"/>
          <w:szCs w:val="24"/>
        </w:rPr>
        <w:t>ourt decision to refer the matter to trial cannot be faulted. The magistrate found herself with two different factual positions from the appellant and the first respondent. What the appellant stated in his founding affidavit was denied as being false and the first respondent gave what he termed the correct position.</w:t>
      </w:r>
      <w:r w:rsidR="00FD3FE0">
        <w:rPr>
          <w:rFonts w:ascii="Times New Roman" w:hAnsi="Times New Roman" w:cs="Times New Roman"/>
          <w:sz w:val="24"/>
          <w:szCs w:val="24"/>
        </w:rPr>
        <w:t xml:space="preserve"> In other words the first respondent was alleging factual misrepresentations by the appellant.</w:t>
      </w:r>
      <w:r>
        <w:rPr>
          <w:rFonts w:ascii="Times New Roman" w:hAnsi="Times New Roman" w:cs="Times New Roman"/>
          <w:sz w:val="24"/>
          <w:szCs w:val="24"/>
        </w:rPr>
        <w:t xml:space="preserve"> To make matters worse, no answering affidavit was filed timeously by the appellant to answer to the assertions</w:t>
      </w:r>
      <w:r w:rsidR="00FD3FE0">
        <w:rPr>
          <w:rFonts w:ascii="Times New Roman" w:hAnsi="Times New Roman" w:cs="Times New Roman"/>
          <w:sz w:val="24"/>
          <w:szCs w:val="24"/>
        </w:rPr>
        <w:t xml:space="preserve"> of factual misrepresentations </w:t>
      </w:r>
      <w:r>
        <w:rPr>
          <w:rFonts w:ascii="Times New Roman" w:hAnsi="Times New Roman" w:cs="Times New Roman"/>
          <w:sz w:val="24"/>
          <w:szCs w:val="24"/>
        </w:rPr>
        <w:t xml:space="preserve">by the first respondent in his opposing affidavit. So technically, the appellant’s founding facts were seriously disputed by the first respondent; and then the appellant omitted to file an answering affidavit to clarify issues </w:t>
      </w:r>
      <w:r w:rsidR="009C7F79">
        <w:rPr>
          <w:rFonts w:ascii="Times New Roman" w:hAnsi="Times New Roman" w:cs="Times New Roman"/>
          <w:sz w:val="24"/>
          <w:szCs w:val="24"/>
        </w:rPr>
        <w:t xml:space="preserve">further. </w:t>
      </w:r>
      <w:r>
        <w:rPr>
          <w:rFonts w:ascii="Times New Roman" w:hAnsi="Times New Roman" w:cs="Times New Roman"/>
          <w:sz w:val="24"/>
          <w:szCs w:val="24"/>
        </w:rPr>
        <w:t xml:space="preserve">The appellant is the one who approached the court on 15 January, 2015, giving notice of his application and filing his founding affidavit. The first respondent opposed on 5 February, 2015. There was ample time for the appellant to file an answering affidavit between 5 February, 2015, the date of opposition and 3 March, 2015, the date the application was heard. Why did the appellant fail to timeously answer to the first respondent’s assertions; if such assertions were incorrect? </w:t>
      </w:r>
    </w:p>
    <w:p w:rsidR="00FD3FE0" w:rsidRDefault="00F23A5D" w:rsidP="00F23A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Without the answering affidavit, the first respondent’s opposing affidavit remains uncontested by the appellant. Faced with such a scenario, the court </w:t>
      </w:r>
      <w:r>
        <w:rPr>
          <w:rFonts w:ascii="Times New Roman" w:hAnsi="Times New Roman" w:cs="Times New Roman"/>
          <w:i/>
          <w:sz w:val="24"/>
          <w:szCs w:val="24"/>
        </w:rPr>
        <w:t>a quo</w:t>
      </w:r>
      <w:r>
        <w:rPr>
          <w:rFonts w:ascii="Times New Roman" w:hAnsi="Times New Roman" w:cs="Times New Roman"/>
          <w:sz w:val="24"/>
          <w:szCs w:val="24"/>
        </w:rPr>
        <w:t xml:space="preserve"> cannot be blamed for concluding that the matter could not be decided on the papers but should be referred to trial. </w:t>
      </w:r>
    </w:p>
    <w:p w:rsidR="00F23A5D" w:rsidRDefault="00FD3FE0" w:rsidP="00F23A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3A5D">
        <w:rPr>
          <w:rFonts w:ascii="Times New Roman" w:hAnsi="Times New Roman" w:cs="Times New Roman"/>
          <w:sz w:val="24"/>
          <w:szCs w:val="24"/>
        </w:rPr>
        <w:t>We are of the same view that the interests of justice are best served by adopting the approach by the learned magistrate and no prejudice will be faced by the appellant from a trial of the issues</w:t>
      </w:r>
      <w:r w:rsidR="009C7F79">
        <w:rPr>
          <w:rFonts w:ascii="Times New Roman" w:hAnsi="Times New Roman" w:cs="Times New Roman"/>
          <w:sz w:val="24"/>
          <w:szCs w:val="24"/>
        </w:rPr>
        <w:t>. A</w:t>
      </w:r>
      <w:r w:rsidR="00F23A5D">
        <w:rPr>
          <w:rFonts w:ascii="Times New Roman" w:hAnsi="Times New Roman" w:cs="Times New Roman"/>
          <w:sz w:val="24"/>
          <w:szCs w:val="24"/>
        </w:rPr>
        <w:t>s a result</w:t>
      </w:r>
      <w:r>
        <w:rPr>
          <w:rFonts w:ascii="Times New Roman" w:hAnsi="Times New Roman" w:cs="Times New Roman"/>
          <w:sz w:val="24"/>
          <w:szCs w:val="24"/>
        </w:rPr>
        <w:t>,</w:t>
      </w:r>
      <w:r w:rsidR="00F23A5D">
        <w:rPr>
          <w:rFonts w:ascii="Times New Roman" w:hAnsi="Times New Roman" w:cs="Times New Roman"/>
          <w:sz w:val="24"/>
          <w:szCs w:val="24"/>
        </w:rPr>
        <w:t xml:space="preserve"> the appeal will be allowed to the extent conceded by the magistrate; that she ought not to have dismissed the application, but should have referred the matter to trial. Accordingly, it is ordered as follows: </w:t>
      </w:r>
    </w:p>
    <w:p w:rsidR="00F23A5D" w:rsidRDefault="00F23A5D" w:rsidP="00F23A5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appeal b</w:t>
      </w:r>
      <w:r w:rsidR="009C7F79">
        <w:rPr>
          <w:rFonts w:ascii="Times New Roman" w:hAnsi="Times New Roman" w:cs="Times New Roman"/>
          <w:sz w:val="24"/>
          <w:szCs w:val="24"/>
        </w:rPr>
        <w:t>e and is hereby allowed.</w:t>
      </w:r>
    </w:p>
    <w:p w:rsidR="00F23A5D" w:rsidRDefault="00F23A5D" w:rsidP="00F23A5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matter is referred to trial.</w:t>
      </w:r>
    </w:p>
    <w:p w:rsidR="00F23A5D" w:rsidRDefault="00F23A5D" w:rsidP="00F23A5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papers filed of record shall stand as the parties’ pleadings and the matter shall proceed to the pre-trial conference stage.</w:t>
      </w:r>
    </w:p>
    <w:p w:rsidR="00F23A5D" w:rsidRDefault="00F23A5D" w:rsidP="00F23A5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Costs will be in the cause. </w:t>
      </w:r>
    </w:p>
    <w:p w:rsidR="000C3A27" w:rsidRDefault="000C3A27" w:rsidP="000C3A27">
      <w:pPr>
        <w:spacing w:after="0" w:line="360" w:lineRule="auto"/>
        <w:jc w:val="both"/>
        <w:rPr>
          <w:rFonts w:ascii="Times New Roman" w:hAnsi="Times New Roman" w:cs="Times New Roman"/>
          <w:sz w:val="24"/>
          <w:szCs w:val="24"/>
        </w:rPr>
      </w:pPr>
    </w:p>
    <w:p w:rsidR="000C3A27" w:rsidRDefault="000C3A27" w:rsidP="000C3A27">
      <w:pPr>
        <w:spacing w:after="0" w:line="360" w:lineRule="auto"/>
        <w:jc w:val="both"/>
        <w:rPr>
          <w:rFonts w:ascii="Times New Roman" w:hAnsi="Times New Roman" w:cs="Times New Roman"/>
          <w:sz w:val="24"/>
          <w:szCs w:val="24"/>
        </w:rPr>
      </w:pPr>
    </w:p>
    <w:p w:rsidR="000C3A27" w:rsidRDefault="000C3A27" w:rsidP="000C3A27">
      <w:pPr>
        <w:spacing w:after="0" w:line="360" w:lineRule="auto"/>
        <w:jc w:val="both"/>
        <w:rPr>
          <w:rFonts w:ascii="Times New Roman" w:hAnsi="Times New Roman" w:cs="Times New Roman"/>
          <w:sz w:val="24"/>
          <w:szCs w:val="24"/>
        </w:rPr>
      </w:pPr>
    </w:p>
    <w:p w:rsidR="00FD3FE0" w:rsidRDefault="00FD3FE0" w:rsidP="000C3A27">
      <w:pPr>
        <w:spacing w:after="0" w:line="360" w:lineRule="auto"/>
        <w:jc w:val="both"/>
        <w:rPr>
          <w:rFonts w:ascii="Times New Roman" w:hAnsi="Times New Roman" w:cs="Times New Roman"/>
          <w:sz w:val="24"/>
          <w:szCs w:val="24"/>
        </w:rPr>
      </w:pPr>
    </w:p>
    <w:p w:rsidR="00FD3FE0" w:rsidRDefault="00FD3FE0" w:rsidP="000C3A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CHITAKUNYE J: agrees:……………………………</w:t>
      </w:r>
    </w:p>
    <w:p w:rsidR="00FD3FE0" w:rsidRDefault="00FD3FE0" w:rsidP="000C3A27">
      <w:pPr>
        <w:spacing w:after="0" w:line="360" w:lineRule="auto"/>
        <w:jc w:val="both"/>
        <w:rPr>
          <w:rFonts w:ascii="Times New Roman" w:hAnsi="Times New Roman" w:cs="Times New Roman"/>
          <w:sz w:val="24"/>
          <w:szCs w:val="24"/>
        </w:rPr>
      </w:pPr>
    </w:p>
    <w:p w:rsidR="008F1610" w:rsidRDefault="008F1610" w:rsidP="000C3A27">
      <w:pPr>
        <w:spacing w:after="0" w:line="360" w:lineRule="auto"/>
        <w:jc w:val="both"/>
        <w:rPr>
          <w:rFonts w:ascii="Times New Roman" w:hAnsi="Times New Roman" w:cs="Times New Roman"/>
          <w:sz w:val="24"/>
          <w:szCs w:val="24"/>
        </w:rPr>
      </w:pPr>
    </w:p>
    <w:p w:rsidR="000C3A27" w:rsidRDefault="000C3A27" w:rsidP="004F0C02">
      <w:pPr>
        <w:spacing w:after="0" w:line="240" w:lineRule="auto"/>
        <w:jc w:val="both"/>
        <w:rPr>
          <w:rFonts w:ascii="Times New Roman" w:hAnsi="Times New Roman" w:cs="Times New Roman"/>
          <w:sz w:val="24"/>
          <w:szCs w:val="24"/>
        </w:rPr>
      </w:pPr>
    </w:p>
    <w:p w:rsidR="000C3A27" w:rsidRDefault="000C3A27" w:rsidP="004F0C02">
      <w:pPr>
        <w:spacing w:after="0" w:line="240" w:lineRule="auto"/>
        <w:jc w:val="both"/>
        <w:rPr>
          <w:rFonts w:ascii="Times New Roman" w:hAnsi="Times New Roman" w:cs="Times New Roman"/>
          <w:sz w:val="24"/>
          <w:szCs w:val="24"/>
        </w:rPr>
      </w:pPr>
      <w:r w:rsidRPr="004F0C02">
        <w:rPr>
          <w:rFonts w:ascii="Times New Roman" w:hAnsi="Times New Roman" w:cs="Times New Roman"/>
          <w:i/>
          <w:sz w:val="24"/>
          <w:szCs w:val="24"/>
        </w:rPr>
        <w:t>Gama &amp; Partners,</w:t>
      </w:r>
      <w:r>
        <w:rPr>
          <w:rFonts w:ascii="Times New Roman" w:hAnsi="Times New Roman" w:cs="Times New Roman"/>
          <w:sz w:val="24"/>
          <w:szCs w:val="24"/>
        </w:rPr>
        <w:t xml:space="preserve"> applicant’s legal practitioners</w:t>
      </w:r>
    </w:p>
    <w:p w:rsidR="000C3A27" w:rsidRPr="000C3A27" w:rsidRDefault="000C3A27" w:rsidP="004F0C02">
      <w:pPr>
        <w:spacing w:after="0" w:line="240" w:lineRule="auto"/>
        <w:jc w:val="both"/>
        <w:rPr>
          <w:rFonts w:ascii="Times New Roman" w:hAnsi="Times New Roman" w:cs="Times New Roman"/>
          <w:sz w:val="24"/>
          <w:szCs w:val="24"/>
        </w:rPr>
      </w:pPr>
      <w:r w:rsidRPr="004F0C02">
        <w:rPr>
          <w:rFonts w:ascii="Times New Roman" w:hAnsi="Times New Roman" w:cs="Times New Roman"/>
          <w:i/>
          <w:sz w:val="24"/>
          <w:szCs w:val="24"/>
        </w:rPr>
        <w:t>Chadyiwa &amp; Associates,</w:t>
      </w:r>
      <w:r>
        <w:rPr>
          <w:rFonts w:ascii="Times New Roman" w:hAnsi="Times New Roman" w:cs="Times New Roman"/>
          <w:sz w:val="24"/>
          <w:szCs w:val="24"/>
        </w:rPr>
        <w:t xml:space="preserve"> 1</w:t>
      </w:r>
      <w:r w:rsidRPr="000C3A2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2A3460" w:rsidRPr="002A3460" w:rsidRDefault="002A3460" w:rsidP="002A3460">
      <w:pPr>
        <w:spacing w:after="0" w:line="240" w:lineRule="auto"/>
        <w:jc w:val="both"/>
        <w:rPr>
          <w:rFonts w:ascii="Times New Roman" w:hAnsi="Times New Roman" w:cs="Times New Roman"/>
        </w:rPr>
      </w:pPr>
    </w:p>
    <w:sectPr w:rsidR="002A3460" w:rsidRPr="002A3460"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7B1" w:rsidRDefault="00A037B1" w:rsidP="00172B59">
      <w:pPr>
        <w:spacing w:after="0" w:line="240" w:lineRule="auto"/>
      </w:pPr>
      <w:r>
        <w:separator/>
      </w:r>
    </w:p>
  </w:endnote>
  <w:endnote w:type="continuationSeparator" w:id="0">
    <w:p w:rsidR="00A037B1" w:rsidRDefault="00A037B1" w:rsidP="00172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7B1" w:rsidRDefault="00A037B1" w:rsidP="00172B59">
      <w:pPr>
        <w:spacing w:after="0" w:line="240" w:lineRule="auto"/>
      </w:pPr>
      <w:r>
        <w:separator/>
      </w:r>
    </w:p>
  </w:footnote>
  <w:footnote w:type="continuationSeparator" w:id="0">
    <w:p w:rsidR="00A037B1" w:rsidRDefault="00A037B1" w:rsidP="00172B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184314"/>
      <w:docPartObj>
        <w:docPartGallery w:val="Page Numbers (Top of Page)"/>
        <w:docPartUnique/>
      </w:docPartObj>
    </w:sdtPr>
    <w:sdtEndPr>
      <w:rPr>
        <w:noProof/>
      </w:rPr>
    </w:sdtEndPr>
    <w:sdtContent>
      <w:p w:rsidR="00172B59" w:rsidRDefault="00172B59">
        <w:pPr>
          <w:pStyle w:val="Header"/>
          <w:jc w:val="right"/>
          <w:rPr>
            <w:noProof/>
          </w:rPr>
        </w:pPr>
        <w:r>
          <w:fldChar w:fldCharType="begin"/>
        </w:r>
        <w:r>
          <w:instrText xml:space="preserve"> PAGE   \* MERGEFORMAT </w:instrText>
        </w:r>
        <w:r>
          <w:fldChar w:fldCharType="separate"/>
        </w:r>
        <w:r w:rsidR="0068601D">
          <w:rPr>
            <w:noProof/>
          </w:rPr>
          <w:t>1</w:t>
        </w:r>
        <w:r>
          <w:rPr>
            <w:noProof/>
          </w:rPr>
          <w:fldChar w:fldCharType="end"/>
        </w:r>
      </w:p>
      <w:p w:rsidR="00172B59" w:rsidRDefault="00172B59">
        <w:pPr>
          <w:pStyle w:val="Header"/>
          <w:jc w:val="right"/>
          <w:rPr>
            <w:noProof/>
          </w:rPr>
        </w:pPr>
        <w:r>
          <w:rPr>
            <w:noProof/>
          </w:rPr>
          <w:t>HH</w:t>
        </w:r>
        <w:r w:rsidR="00B5098C">
          <w:rPr>
            <w:noProof/>
          </w:rPr>
          <w:t xml:space="preserve"> 60 - 17</w:t>
        </w:r>
      </w:p>
      <w:p w:rsidR="00172B59" w:rsidRDefault="00172B59">
        <w:pPr>
          <w:pStyle w:val="Header"/>
          <w:jc w:val="right"/>
        </w:pPr>
        <w:r>
          <w:rPr>
            <w:noProof/>
          </w:rPr>
          <w:t>CIV ‘A’ 155/15</w:t>
        </w:r>
      </w:p>
    </w:sdtContent>
  </w:sdt>
  <w:p w:rsidR="00172B59" w:rsidRDefault="00172B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326F5"/>
    <w:multiLevelType w:val="hybridMultilevel"/>
    <w:tmpl w:val="AF0AA6D6"/>
    <w:lvl w:ilvl="0" w:tplc="EAA083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B59"/>
    <w:rsid w:val="000652A4"/>
    <w:rsid w:val="000B25CC"/>
    <w:rsid w:val="000C3A27"/>
    <w:rsid w:val="00172B59"/>
    <w:rsid w:val="00242560"/>
    <w:rsid w:val="002A3460"/>
    <w:rsid w:val="0036797B"/>
    <w:rsid w:val="003C4862"/>
    <w:rsid w:val="00451815"/>
    <w:rsid w:val="004B1CF6"/>
    <w:rsid w:val="004F0C02"/>
    <w:rsid w:val="0068601D"/>
    <w:rsid w:val="007E08E5"/>
    <w:rsid w:val="008F1610"/>
    <w:rsid w:val="00972612"/>
    <w:rsid w:val="009C7F79"/>
    <w:rsid w:val="00A037B1"/>
    <w:rsid w:val="00AF5CFF"/>
    <w:rsid w:val="00B31AD3"/>
    <w:rsid w:val="00B36C81"/>
    <w:rsid w:val="00B37C62"/>
    <w:rsid w:val="00B5098C"/>
    <w:rsid w:val="00DD7FDB"/>
    <w:rsid w:val="00DF7719"/>
    <w:rsid w:val="00EB389A"/>
    <w:rsid w:val="00F23A5D"/>
    <w:rsid w:val="00F2531D"/>
    <w:rsid w:val="00F6556A"/>
    <w:rsid w:val="00FA4EF9"/>
    <w:rsid w:val="00FD3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B59"/>
  </w:style>
  <w:style w:type="paragraph" w:styleId="Footer">
    <w:name w:val="footer"/>
    <w:basedOn w:val="Normal"/>
    <w:link w:val="FooterChar"/>
    <w:uiPriority w:val="99"/>
    <w:unhideWhenUsed/>
    <w:rsid w:val="00172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B59"/>
  </w:style>
  <w:style w:type="paragraph" w:styleId="BalloonText">
    <w:name w:val="Balloon Text"/>
    <w:basedOn w:val="Normal"/>
    <w:link w:val="BalloonTextChar"/>
    <w:uiPriority w:val="99"/>
    <w:semiHidden/>
    <w:unhideWhenUsed/>
    <w:rsid w:val="00172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B59"/>
    <w:rPr>
      <w:rFonts w:ascii="Tahoma" w:hAnsi="Tahoma" w:cs="Tahoma"/>
      <w:sz w:val="16"/>
      <w:szCs w:val="16"/>
    </w:rPr>
  </w:style>
  <w:style w:type="paragraph" w:styleId="ListParagraph">
    <w:name w:val="List Paragraph"/>
    <w:basedOn w:val="Normal"/>
    <w:uiPriority w:val="34"/>
    <w:qFormat/>
    <w:rsid w:val="00F23A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B59"/>
  </w:style>
  <w:style w:type="paragraph" w:styleId="Footer">
    <w:name w:val="footer"/>
    <w:basedOn w:val="Normal"/>
    <w:link w:val="FooterChar"/>
    <w:uiPriority w:val="99"/>
    <w:unhideWhenUsed/>
    <w:rsid w:val="00172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B59"/>
  </w:style>
  <w:style w:type="paragraph" w:styleId="BalloonText">
    <w:name w:val="Balloon Text"/>
    <w:basedOn w:val="Normal"/>
    <w:link w:val="BalloonTextChar"/>
    <w:uiPriority w:val="99"/>
    <w:semiHidden/>
    <w:unhideWhenUsed/>
    <w:rsid w:val="00172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B59"/>
    <w:rPr>
      <w:rFonts w:ascii="Tahoma" w:hAnsi="Tahoma" w:cs="Tahoma"/>
      <w:sz w:val="16"/>
      <w:szCs w:val="16"/>
    </w:rPr>
  </w:style>
  <w:style w:type="paragraph" w:styleId="ListParagraph">
    <w:name w:val="List Paragraph"/>
    <w:basedOn w:val="Normal"/>
    <w:uiPriority w:val="34"/>
    <w:qFormat/>
    <w:rsid w:val="00F23A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2017-01-30T23:00:00Z</cp:lastPrinted>
  <dcterms:created xsi:type="dcterms:W3CDTF">2017-01-30T14:06:00Z</dcterms:created>
  <dcterms:modified xsi:type="dcterms:W3CDTF">2017-01-30T14:06:00Z</dcterms:modified>
</cp:coreProperties>
</file>