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E85" w:rsidRPr="00E17D6B" w:rsidRDefault="00954E85" w:rsidP="00317934">
      <w:pPr>
        <w:spacing w:after="0" w:line="240" w:lineRule="auto"/>
        <w:jc w:val="both"/>
        <w:rPr>
          <w:rFonts w:ascii="Times New Roman" w:hAnsi="Times New Roman" w:cs="Times New Roman"/>
          <w:sz w:val="24"/>
          <w:szCs w:val="24"/>
        </w:rPr>
      </w:pPr>
    </w:p>
    <w:p w:rsidR="00954E85" w:rsidRPr="00E17D6B" w:rsidRDefault="001E4205" w:rsidP="00317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ALGEM INVESTMENTS (PVT) LIMITED</w:t>
      </w:r>
    </w:p>
    <w:p w:rsidR="00954E85" w:rsidRPr="00E17D6B" w:rsidRDefault="001E4205" w:rsidP="00317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54E85" w:rsidRPr="00E17D6B" w:rsidRDefault="001E4205" w:rsidP="00317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NYANGA RESOURCES (PVT) LIMITED</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and</w:t>
      </w:r>
      <w:bookmarkStart w:id="0" w:name="_GoBack"/>
      <w:bookmarkEnd w:id="0"/>
    </w:p>
    <w:p w:rsidR="00954E85" w:rsidRPr="00E17D6B" w:rsidRDefault="001E4205" w:rsidP="00317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EVANS KAMOMBO</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and</w:t>
      </w:r>
    </w:p>
    <w:p w:rsidR="00954E85" w:rsidRPr="00E17D6B" w:rsidRDefault="001E4205" w:rsidP="00317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IN CHARGE RUWANGWE (ZRP)</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and</w:t>
      </w:r>
    </w:p>
    <w:p w:rsidR="00954E85" w:rsidRPr="00E17D6B" w:rsidRDefault="001E4205" w:rsidP="00317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AND MINERALS N.O</w:t>
      </w:r>
    </w:p>
    <w:p w:rsidR="00954E85" w:rsidRPr="00E17D6B" w:rsidRDefault="00954E85" w:rsidP="00E17D6B">
      <w:pPr>
        <w:spacing w:after="0" w:line="360" w:lineRule="auto"/>
        <w:jc w:val="both"/>
        <w:rPr>
          <w:rFonts w:ascii="Times New Roman" w:hAnsi="Times New Roman" w:cs="Times New Roman"/>
          <w:sz w:val="24"/>
          <w:szCs w:val="24"/>
        </w:rPr>
      </w:pP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 xml:space="preserve">HIGH COURT OF ZIMBABWE </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MUZENDA J</w:t>
      </w:r>
    </w:p>
    <w:p w:rsidR="00954E85" w:rsidRPr="00E17D6B" w:rsidRDefault="001E4205" w:rsidP="00317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23 September 2020 and </w:t>
      </w:r>
      <w:r w:rsidR="00FB1BAE">
        <w:rPr>
          <w:rFonts w:ascii="Times New Roman" w:hAnsi="Times New Roman" w:cs="Times New Roman"/>
          <w:sz w:val="24"/>
          <w:szCs w:val="24"/>
        </w:rPr>
        <w:t>01 October</w:t>
      </w:r>
      <w:r w:rsidR="00954E85" w:rsidRPr="00E17D6B">
        <w:rPr>
          <w:rFonts w:ascii="Times New Roman" w:hAnsi="Times New Roman" w:cs="Times New Roman"/>
          <w:sz w:val="24"/>
          <w:szCs w:val="24"/>
        </w:rPr>
        <w:t xml:space="preserve"> 2020</w:t>
      </w:r>
    </w:p>
    <w:p w:rsidR="00954E85" w:rsidRPr="00E17D6B" w:rsidRDefault="00954E85" w:rsidP="00E17D6B">
      <w:pPr>
        <w:spacing w:after="0" w:line="360" w:lineRule="auto"/>
        <w:jc w:val="both"/>
        <w:rPr>
          <w:rFonts w:ascii="Times New Roman" w:hAnsi="Times New Roman" w:cs="Times New Roman"/>
          <w:sz w:val="24"/>
          <w:szCs w:val="24"/>
        </w:rPr>
      </w:pPr>
    </w:p>
    <w:p w:rsidR="00954E85" w:rsidRPr="00E17D6B" w:rsidRDefault="00954E85" w:rsidP="00E17D6B">
      <w:pPr>
        <w:spacing w:after="0" w:line="360" w:lineRule="auto"/>
        <w:jc w:val="both"/>
        <w:rPr>
          <w:rFonts w:ascii="Times New Roman" w:hAnsi="Times New Roman" w:cs="Times New Roman"/>
          <w:b/>
          <w:sz w:val="24"/>
          <w:szCs w:val="24"/>
        </w:rPr>
      </w:pPr>
      <w:r w:rsidRPr="00E17D6B">
        <w:rPr>
          <w:rFonts w:ascii="Times New Roman" w:hAnsi="Times New Roman" w:cs="Times New Roman"/>
          <w:b/>
          <w:sz w:val="24"/>
          <w:szCs w:val="24"/>
        </w:rPr>
        <w:t xml:space="preserve">Opposed Application </w:t>
      </w:r>
      <w:r w:rsidR="001E4205">
        <w:rPr>
          <w:rFonts w:ascii="Times New Roman" w:hAnsi="Times New Roman" w:cs="Times New Roman"/>
          <w:b/>
          <w:sz w:val="24"/>
          <w:szCs w:val="24"/>
        </w:rPr>
        <w:t xml:space="preserve">for an Interdict </w:t>
      </w:r>
    </w:p>
    <w:p w:rsidR="00317934" w:rsidRDefault="00317934" w:rsidP="004F1D66">
      <w:pPr>
        <w:spacing w:after="0" w:line="240" w:lineRule="auto"/>
        <w:jc w:val="both"/>
        <w:rPr>
          <w:rFonts w:ascii="Times New Roman" w:hAnsi="Times New Roman" w:cs="Times New Roman"/>
          <w:b/>
          <w:sz w:val="24"/>
          <w:szCs w:val="24"/>
        </w:rPr>
      </w:pPr>
    </w:p>
    <w:p w:rsidR="004F1D66" w:rsidRDefault="001E4205" w:rsidP="004F1D6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r w:rsidR="00954E85" w:rsidRPr="00E17D6B">
        <w:rPr>
          <w:rFonts w:ascii="Times New Roman" w:hAnsi="Times New Roman" w:cs="Times New Roman"/>
          <w:i/>
          <w:sz w:val="24"/>
          <w:szCs w:val="24"/>
        </w:rPr>
        <w:t xml:space="preserve"> </w:t>
      </w:r>
      <w:r>
        <w:rPr>
          <w:rFonts w:ascii="Times New Roman" w:hAnsi="Times New Roman" w:cs="Times New Roman"/>
          <w:i/>
          <w:sz w:val="24"/>
          <w:szCs w:val="24"/>
        </w:rPr>
        <w:t>Mateza,</w:t>
      </w:r>
      <w:r w:rsidR="00954E85" w:rsidRPr="00E17D6B">
        <w:rPr>
          <w:rFonts w:ascii="Times New Roman" w:hAnsi="Times New Roman" w:cs="Times New Roman"/>
          <w:sz w:val="24"/>
          <w:szCs w:val="24"/>
        </w:rPr>
        <w:t xml:space="preserve"> for the Applicant</w:t>
      </w:r>
    </w:p>
    <w:p w:rsidR="00954E85" w:rsidRPr="00E17D6B" w:rsidRDefault="001E4205" w:rsidP="004F1D6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Mrs R Nyamutawa with F Nyakatsapa</w:t>
      </w:r>
      <w:r w:rsidR="00954E85" w:rsidRPr="00E17D6B">
        <w:rPr>
          <w:rFonts w:ascii="Times New Roman" w:hAnsi="Times New Roman" w:cs="Times New Roman"/>
          <w:sz w:val="24"/>
          <w:szCs w:val="24"/>
        </w:rPr>
        <w:t xml:space="preserve">, for the </w:t>
      </w:r>
      <w:r>
        <w:rPr>
          <w:rFonts w:ascii="Times New Roman" w:hAnsi="Times New Roman" w:cs="Times New Roman"/>
          <w:sz w:val="24"/>
          <w:szCs w:val="24"/>
        </w:rPr>
        <w:t>1</w:t>
      </w:r>
      <w:r w:rsidRPr="001E420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E420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954E85" w:rsidRPr="00E17D6B">
        <w:rPr>
          <w:rFonts w:ascii="Times New Roman" w:hAnsi="Times New Roman" w:cs="Times New Roman"/>
          <w:sz w:val="24"/>
          <w:szCs w:val="24"/>
        </w:rPr>
        <w:t>Respondents</w:t>
      </w:r>
    </w:p>
    <w:p w:rsidR="004F1D66" w:rsidRDefault="001E4205" w:rsidP="00E17D6B">
      <w:pPr>
        <w:spacing w:after="0" w:line="360" w:lineRule="auto"/>
        <w:jc w:val="both"/>
        <w:rPr>
          <w:rFonts w:ascii="Times New Roman" w:hAnsi="Times New Roman" w:cs="Times New Roman"/>
          <w:sz w:val="24"/>
          <w:szCs w:val="24"/>
        </w:rPr>
      </w:pPr>
      <w:r w:rsidRPr="001E4205">
        <w:rPr>
          <w:rFonts w:ascii="Times New Roman" w:hAnsi="Times New Roman" w:cs="Times New Roman"/>
          <w:i/>
          <w:sz w:val="24"/>
          <w:szCs w:val="24"/>
        </w:rPr>
        <w:t>P Garwe</w:t>
      </w:r>
      <w:r>
        <w:rPr>
          <w:rFonts w:ascii="Times New Roman" w:hAnsi="Times New Roman" w:cs="Times New Roman"/>
          <w:sz w:val="24"/>
          <w:szCs w:val="24"/>
        </w:rPr>
        <w:t>, for the 3</w:t>
      </w:r>
      <w:r w:rsidRPr="001E4205">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1E420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864A2F" w:rsidRDefault="00864A2F" w:rsidP="004F1D66">
      <w:pPr>
        <w:spacing w:after="0" w:line="360" w:lineRule="auto"/>
        <w:ind w:firstLine="720"/>
        <w:jc w:val="both"/>
        <w:rPr>
          <w:rFonts w:ascii="Times New Roman" w:hAnsi="Times New Roman" w:cs="Times New Roman"/>
          <w:sz w:val="24"/>
          <w:szCs w:val="24"/>
        </w:rPr>
      </w:pPr>
    </w:p>
    <w:p w:rsidR="00954E85" w:rsidRPr="00E17D6B" w:rsidRDefault="00954E85" w:rsidP="004F1D66">
      <w:pPr>
        <w:spacing w:after="0" w:line="360" w:lineRule="auto"/>
        <w:ind w:firstLine="720"/>
        <w:jc w:val="both"/>
        <w:rPr>
          <w:rFonts w:ascii="Times New Roman" w:hAnsi="Times New Roman" w:cs="Times New Roman"/>
          <w:sz w:val="24"/>
          <w:szCs w:val="24"/>
        </w:rPr>
      </w:pPr>
      <w:r w:rsidRPr="00E17D6B">
        <w:rPr>
          <w:rFonts w:ascii="Times New Roman" w:hAnsi="Times New Roman" w:cs="Times New Roman"/>
          <w:sz w:val="24"/>
          <w:szCs w:val="24"/>
        </w:rPr>
        <w:t xml:space="preserve">MUZENDA J: </w:t>
      </w:r>
      <w:r w:rsidR="005825C4">
        <w:rPr>
          <w:rFonts w:ascii="Times New Roman" w:hAnsi="Times New Roman" w:cs="Times New Roman"/>
          <w:sz w:val="24"/>
          <w:szCs w:val="24"/>
        </w:rPr>
        <w:t>O</w:t>
      </w:r>
      <w:r w:rsidR="001E4205">
        <w:rPr>
          <w:rFonts w:ascii="Times New Roman" w:hAnsi="Times New Roman" w:cs="Times New Roman"/>
          <w:sz w:val="24"/>
          <w:szCs w:val="24"/>
        </w:rPr>
        <w:t>n 29 January 2020 the applicant company brought an application to this court seeking the following order or relief</w:t>
      </w:r>
      <w:r w:rsidR="00485850" w:rsidRPr="00E17D6B">
        <w:rPr>
          <w:rFonts w:ascii="Times New Roman" w:hAnsi="Times New Roman" w:cs="Times New Roman"/>
          <w:sz w:val="24"/>
          <w:szCs w:val="24"/>
        </w:rPr>
        <w:t>:</w:t>
      </w:r>
    </w:p>
    <w:p w:rsidR="00485850" w:rsidRPr="00FF0D75" w:rsidRDefault="00485850" w:rsidP="00E17D6B">
      <w:pPr>
        <w:spacing w:after="0" w:line="240" w:lineRule="auto"/>
        <w:jc w:val="both"/>
        <w:rPr>
          <w:rFonts w:ascii="Times New Roman" w:hAnsi="Times New Roman" w:cs="Times New Roman"/>
        </w:rPr>
      </w:pPr>
      <w:r w:rsidRPr="00E17D6B">
        <w:rPr>
          <w:rFonts w:ascii="Times New Roman" w:hAnsi="Times New Roman" w:cs="Times New Roman"/>
          <w:sz w:val="24"/>
          <w:szCs w:val="24"/>
        </w:rPr>
        <w:tab/>
      </w:r>
      <w:r w:rsidR="005F3728" w:rsidRPr="00E17D6B">
        <w:rPr>
          <w:rFonts w:ascii="Times New Roman" w:hAnsi="Times New Roman" w:cs="Times New Roman"/>
          <w:sz w:val="24"/>
          <w:szCs w:val="24"/>
        </w:rPr>
        <w:t>“</w:t>
      </w:r>
      <w:r w:rsidRPr="00FF0D75">
        <w:rPr>
          <w:rFonts w:ascii="Times New Roman" w:hAnsi="Times New Roman" w:cs="Times New Roman"/>
        </w:rPr>
        <w:t>IT IS ORDERED THAT</w:t>
      </w:r>
    </w:p>
    <w:p w:rsidR="00485850" w:rsidRDefault="00485850" w:rsidP="004F1D66">
      <w:pPr>
        <w:pStyle w:val="ListParagraph"/>
        <w:numPr>
          <w:ilvl w:val="0"/>
          <w:numId w:val="1"/>
        </w:numPr>
        <w:spacing w:after="0" w:line="240" w:lineRule="auto"/>
        <w:ind w:left="1080"/>
        <w:jc w:val="both"/>
        <w:rPr>
          <w:rFonts w:ascii="Times New Roman" w:hAnsi="Times New Roman" w:cs="Times New Roman"/>
        </w:rPr>
      </w:pPr>
      <w:r w:rsidRPr="00FF0D75">
        <w:rPr>
          <w:rFonts w:ascii="Times New Roman" w:hAnsi="Times New Roman" w:cs="Times New Roman"/>
        </w:rPr>
        <w:t xml:space="preserve">The application for </w:t>
      </w:r>
      <w:r w:rsidR="005825C4">
        <w:rPr>
          <w:rFonts w:ascii="Times New Roman" w:hAnsi="Times New Roman" w:cs="Times New Roman"/>
        </w:rPr>
        <w:t>an Interdict is hereby granted.</w:t>
      </w:r>
    </w:p>
    <w:p w:rsidR="005825C4" w:rsidRDefault="005825C4" w:rsidP="004F1D66">
      <w:pPr>
        <w:pStyle w:val="ListParagraph"/>
        <w:numPr>
          <w:ilvl w:val="0"/>
          <w:numId w:val="1"/>
        </w:numPr>
        <w:spacing w:after="0" w:line="240" w:lineRule="auto"/>
        <w:ind w:left="1080"/>
        <w:jc w:val="both"/>
        <w:rPr>
          <w:rFonts w:ascii="Times New Roman" w:hAnsi="Times New Roman" w:cs="Times New Roman"/>
        </w:rPr>
      </w:pPr>
      <w:r>
        <w:rPr>
          <w:rFonts w:ascii="Times New Roman" w:hAnsi="Times New Roman" w:cs="Times New Roman"/>
        </w:rPr>
        <w:t>The first to third Respondents or any persons acting in th</w:t>
      </w:r>
      <w:r w:rsidR="00427AD3">
        <w:rPr>
          <w:rFonts w:ascii="Times New Roman" w:hAnsi="Times New Roman" w:cs="Times New Roman"/>
        </w:rPr>
        <w:t>eir authority or instructions st</w:t>
      </w:r>
      <w:r>
        <w:rPr>
          <w:rFonts w:ascii="Times New Roman" w:hAnsi="Times New Roman" w:cs="Times New Roman"/>
        </w:rPr>
        <w:t>op or desist from interfering with mining activities taking away gold ores and entering the applicants’ mining claims G 2121, G 1222 and G 1223, G1224, G 2125 and M 1333 MB pending the determination of disputes between the parties by the fourth Respondent.</w:t>
      </w:r>
    </w:p>
    <w:p w:rsidR="005825C4" w:rsidRPr="00FF0D75" w:rsidRDefault="005825C4" w:rsidP="004F1D66">
      <w:pPr>
        <w:pStyle w:val="ListParagraph"/>
        <w:numPr>
          <w:ilvl w:val="0"/>
          <w:numId w:val="1"/>
        </w:numPr>
        <w:spacing w:after="0" w:line="240" w:lineRule="auto"/>
        <w:ind w:left="1080"/>
        <w:jc w:val="both"/>
        <w:rPr>
          <w:rFonts w:ascii="Times New Roman" w:hAnsi="Times New Roman" w:cs="Times New Roman"/>
        </w:rPr>
      </w:pPr>
      <w:r>
        <w:rPr>
          <w:rFonts w:ascii="Times New Roman" w:hAnsi="Times New Roman" w:cs="Times New Roman"/>
        </w:rPr>
        <w:t>The first Respondent to pay the costs of this application on a legal practitioner and client scale.”</w:t>
      </w:r>
    </w:p>
    <w:p w:rsidR="003D4773" w:rsidRDefault="003D4773" w:rsidP="003D4773">
      <w:pPr>
        <w:pStyle w:val="ListParagraph"/>
        <w:spacing w:after="0" w:line="240" w:lineRule="auto"/>
        <w:ind w:left="1080"/>
        <w:jc w:val="both"/>
        <w:rPr>
          <w:rFonts w:ascii="Times New Roman" w:hAnsi="Times New Roman" w:cs="Times New Roman"/>
        </w:rPr>
      </w:pPr>
    </w:p>
    <w:p w:rsidR="005F3728" w:rsidRPr="00E17D6B" w:rsidRDefault="005825C4" w:rsidP="00FC3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by all the four respondents.</w:t>
      </w:r>
    </w:p>
    <w:p w:rsidR="005F3728" w:rsidRPr="005825C4" w:rsidRDefault="005825C4" w:rsidP="003D4773">
      <w:pPr>
        <w:spacing w:after="0" w:line="360" w:lineRule="auto"/>
        <w:jc w:val="both"/>
        <w:rPr>
          <w:rFonts w:ascii="Times New Roman" w:hAnsi="Times New Roman" w:cs="Times New Roman"/>
          <w:sz w:val="24"/>
          <w:szCs w:val="24"/>
          <w:u w:val="single"/>
        </w:rPr>
      </w:pPr>
      <w:r w:rsidRPr="005825C4">
        <w:rPr>
          <w:rFonts w:ascii="Times New Roman" w:hAnsi="Times New Roman" w:cs="Times New Roman"/>
          <w:sz w:val="24"/>
          <w:szCs w:val="24"/>
          <w:u w:val="single"/>
        </w:rPr>
        <w:t xml:space="preserve">Facts </w:t>
      </w:r>
    </w:p>
    <w:p w:rsidR="005F3728" w:rsidRDefault="005825C4" w:rsidP="00FC3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a duly registered company under the company laws of Zimbabwe. It is the registered owner of mining blocks in Nyazingwe area, Nyanga North under registration numbers G 2121, G 2122, G 2123, G 2124, G 2125 and M 1333 BM and the applicant </w:t>
      </w:r>
      <w:r w:rsidR="005A1263">
        <w:rPr>
          <w:rFonts w:ascii="Times New Roman" w:hAnsi="Times New Roman" w:cs="Times New Roman"/>
          <w:sz w:val="24"/>
          <w:szCs w:val="24"/>
        </w:rPr>
        <w:t>states it has owned these mining blocks since 2008.</w:t>
      </w:r>
    </w:p>
    <w:p w:rsidR="005A1263" w:rsidRDefault="005A1263" w:rsidP="00387D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754586">
        <w:rPr>
          <w:rFonts w:ascii="Times New Roman" w:hAnsi="Times New Roman" w:cs="Times New Roman"/>
          <w:sz w:val="24"/>
          <w:szCs w:val="24"/>
        </w:rPr>
        <w:t xml:space="preserve"> first r</w:t>
      </w:r>
      <w:r>
        <w:rPr>
          <w:rFonts w:ascii="Times New Roman" w:hAnsi="Times New Roman" w:cs="Times New Roman"/>
          <w:sz w:val="24"/>
          <w:szCs w:val="24"/>
        </w:rPr>
        <w:t>espondent was granted a special Grant SG 7222 and that special grant covers a space of 400 hectares.</w:t>
      </w:r>
    </w:p>
    <w:p w:rsidR="005A1263" w:rsidRDefault="00387D0B" w:rsidP="00387D0B">
      <w:pPr>
        <w:tabs>
          <w:tab w:val="left" w:pos="142"/>
          <w:tab w:val="left" w:pos="284"/>
          <w:tab w:val="left" w:pos="709"/>
          <w:tab w:val="left" w:pos="851"/>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5A1263">
        <w:rPr>
          <w:rFonts w:ascii="Times New Roman" w:hAnsi="Times New Roman" w:cs="Times New Roman"/>
          <w:sz w:val="24"/>
          <w:szCs w:val="24"/>
        </w:rPr>
        <w:t xml:space="preserve">The applicant contends that the first respondent’s special grant encroaches into its mining blocks G 2121 to G 2124. In addition applicant avers that first respondent’s Director, </w:t>
      </w:r>
      <w:r w:rsidR="005A1263">
        <w:rPr>
          <w:rFonts w:ascii="Times New Roman" w:hAnsi="Times New Roman" w:cs="Times New Roman"/>
          <w:sz w:val="24"/>
          <w:szCs w:val="24"/>
        </w:rPr>
        <w:lastRenderedPageBreak/>
        <w:t>second respondent has repeated</w:t>
      </w:r>
      <w:r w:rsidR="00754586">
        <w:rPr>
          <w:rFonts w:ascii="Times New Roman" w:hAnsi="Times New Roman" w:cs="Times New Roman"/>
          <w:sz w:val="24"/>
          <w:szCs w:val="24"/>
        </w:rPr>
        <w:t>ly laid claim on block M 1333 BM</w:t>
      </w:r>
      <w:r w:rsidR="005A1263">
        <w:rPr>
          <w:rFonts w:ascii="Times New Roman" w:hAnsi="Times New Roman" w:cs="Times New Roman"/>
          <w:sz w:val="24"/>
          <w:szCs w:val="24"/>
        </w:rPr>
        <w:t xml:space="preserve"> which blocks belong to the applicant.</w:t>
      </w:r>
    </w:p>
    <w:p w:rsidR="005A1263" w:rsidRDefault="005A1263" w:rsidP="00FC3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claims that the second respondent in concert with third respondent had disrupted applicant’s operations at the claims. The third respondent has impounded </w:t>
      </w:r>
      <w:r w:rsidR="00385234">
        <w:rPr>
          <w:rFonts w:ascii="Times New Roman" w:hAnsi="Times New Roman" w:cs="Times New Roman"/>
          <w:sz w:val="24"/>
          <w:szCs w:val="24"/>
        </w:rPr>
        <w:t>gold ore extracted by the applicant’s employees. Applicant has suffered prejudice.</w:t>
      </w:r>
    </w:p>
    <w:p w:rsidR="00385234" w:rsidRDefault="00385234" w:rsidP="00FC3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since engaged the provincial Mining Director, Manicaland seeking a resolution of the dispute and it is waiting for the outcome. </w:t>
      </w:r>
    </w:p>
    <w:p w:rsidR="00A54424" w:rsidRDefault="00385234" w:rsidP="00FC352D">
      <w:pPr>
        <w:tabs>
          <w:tab w:val="left" w:pos="85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applicant is waiting for the Provincial Mining Director’s resolution of the matter, applicant perceives that first to third respondents are venturing into the areas of encroachment, impounding the extracted ore and disrupting the applic</w:t>
      </w:r>
      <w:r w:rsidR="00F61064">
        <w:rPr>
          <w:rFonts w:ascii="Times New Roman" w:hAnsi="Times New Roman" w:cs="Times New Roman"/>
          <w:sz w:val="24"/>
          <w:szCs w:val="24"/>
        </w:rPr>
        <w:t>ant’s lawful operations at the s</w:t>
      </w:r>
      <w:r>
        <w:rPr>
          <w:rFonts w:ascii="Times New Roman" w:hAnsi="Times New Roman" w:cs="Times New Roman"/>
          <w:sz w:val="24"/>
          <w:szCs w:val="24"/>
        </w:rPr>
        <w:t>ites, such operations, applicant contends in its papers, have unjustly prejudiced the applicant’s lawful activities at the claims in question. On that basis the applicant is seeking an order of an Interdict barring first and second respondents from removing extracted gold ore from the claims in dispute and meddling with operations until the Provincial Mining Director had adjudicated upon the matter and passed a binding resolution.</w:t>
      </w:r>
    </w:p>
    <w:p w:rsidR="00897201" w:rsidRPr="00754586" w:rsidRDefault="00754586" w:rsidP="00A54424">
      <w:pPr>
        <w:spacing w:after="0" w:line="360" w:lineRule="auto"/>
        <w:jc w:val="both"/>
        <w:rPr>
          <w:rFonts w:ascii="Times New Roman" w:hAnsi="Times New Roman" w:cs="Times New Roman"/>
          <w:sz w:val="24"/>
          <w:szCs w:val="24"/>
          <w:u w:val="single"/>
        </w:rPr>
      </w:pPr>
      <w:r w:rsidRPr="00754586">
        <w:rPr>
          <w:rFonts w:ascii="Times New Roman" w:hAnsi="Times New Roman" w:cs="Times New Roman"/>
          <w:sz w:val="24"/>
          <w:szCs w:val="24"/>
          <w:u w:val="single"/>
        </w:rPr>
        <w:t xml:space="preserve">POINTS </w:t>
      </w:r>
      <w:r w:rsidRPr="00754586">
        <w:rPr>
          <w:rFonts w:ascii="Times New Roman" w:hAnsi="Times New Roman" w:cs="Times New Roman"/>
          <w:i/>
          <w:sz w:val="24"/>
          <w:szCs w:val="24"/>
          <w:u w:val="single"/>
        </w:rPr>
        <w:t>IN LIMINE</w:t>
      </w:r>
      <w:r w:rsidRPr="00754586">
        <w:rPr>
          <w:rFonts w:ascii="Times New Roman" w:hAnsi="Times New Roman" w:cs="Times New Roman"/>
          <w:sz w:val="24"/>
          <w:szCs w:val="24"/>
          <w:u w:val="single"/>
        </w:rPr>
        <w:t xml:space="preserve"> </w:t>
      </w:r>
    </w:p>
    <w:p w:rsidR="00481740" w:rsidRDefault="00BA0D06" w:rsidP="00B217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and second respondents have raised preliminary points which need to be decided on. It has been agreed by the parties that if points </w:t>
      </w:r>
      <w:r w:rsidRPr="00BA0D06">
        <w:rPr>
          <w:rFonts w:ascii="Times New Roman" w:hAnsi="Times New Roman" w:cs="Times New Roman"/>
          <w:i/>
          <w:sz w:val="24"/>
          <w:szCs w:val="24"/>
        </w:rPr>
        <w:t>in limine</w:t>
      </w:r>
      <w:r>
        <w:rPr>
          <w:rFonts w:ascii="Times New Roman" w:hAnsi="Times New Roman" w:cs="Times New Roman"/>
          <w:sz w:val="24"/>
          <w:szCs w:val="24"/>
        </w:rPr>
        <w:t xml:space="preserve"> succeed the application will be disposed of but if they are dismissed the matter will be determined on the merits.</w:t>
      </w:r>
    </w:p>
    <w:p w:rsidR="00BA0D06" w:rsidRDefault="00BA0D06" w:rsidP="00B21709">
      <w:pPr>
        <w:spacing w:after="0" w:line="360" w:lineRule="auto"/>
        <w:ind w:firstLine="720"/>
        <w:jc w:val="both"/>
        <w:rPr>
          <w:rFonts w:ascii="Times New Roman" w:hAnsi="Times New Roman" w:cs="Times New Roman"/>
          <w:sz w:val="24"/>
          <w:szCs w:val="24"/>
        </w:rPr>
      </w:pPr>
    </w:p>
    <w:p w:rsidR="00BA0D06" w:rsidRDefault="00BA0D06" w:rsidP="007545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and second </w:t>
      </w:r>
      <w:r w:rsidR="00387D0B">
        <w:rPr>
          <w:rFonts w:ascii="Times New Roman" w:hAnsi="Times New Roman" w:cs="Times New Roman"/>
          <w:sz w:val="24"/>
          <w:szCs w:val="24"/>
        </w:rPr>
        <w:t>respondent’s</w:t>
      </w:r>
      <w:r>
        <w:rPr>
          <w:rFonts w:ascii="Times New Roman" w:hAnsi="Times New Roman" w:cs="Times New Roman"/>
          <w:sz w:val="24"/>
          <w:szCs w:val="24"/>
        </w:rPr>
        <w:t xml:space="preserve"> points </w:t>
      </w:r>
      <w:r w:rsidRPr="00BA0D06">
        <w:rPr>
          <w:rFonts w:ascii="Times New Roman" w:hAnsi="Times New Roman" w:cs="Times New Roman"/>
          <w:i/>
          <w:sz w:val="24"/>
          <w:szCs w:val="24"/>
        </w:rPr>
        <w:t>in limine</w:t>
      </w:r>
      <w:r>
        <w:rPr>
          <w:rFonts w:ascii="Times New Roman" w:hAnsi="Times New Roman" w:cs="Times New Roman"/>
          <w:sz w:val="24"/>
          <w:szCs w:val="24"/>
        </w:rPr>
        <w:t xml:space="preserve"> are that:</w:t>
      </w:r>
    </w:p>
    <w:p w:rsidR="006A27FF" w:rsidRPr="00BA0D06" w:rsidRDefault="00AA282E" w:rsidP="00BA0D06">
      <w:pPr>
        <w:spacing w:after="0" w:line="360" w:lineRule="auto"/>
        <w:ind w:left="1440" w:hanging="720"/>
        <w:jc w:val="both"/>
        <w:rPr>
          <w:rFonts w:ascii="Times New Roman" w:hAnsi="Times New Roman" w:cs="Times New Roman"/>
          <w:sz w:val="24"/>
          <w:szCs w:val="24"/>
        </w:rPr>
      </w:pPr>
      <w:r>
        <w:rPr>
          <w:rFonts w:ascii="Times New Roman" w:hAnsi="Times New Roman" w:cs="Times New Roman"/>
        </w:rPr>
        <w:t xml:space="preserve">1.   </w:t>
      </w:r>
      <w:r w:rsidR="006A27FF">
        <w:rPr>
          <w:rFonts w:ascii="Times New Roman" w:hAnsi="Times New Roman" w:cs="Times New Roman"/>
        </w:rPr>
        <w:tab/>
      </w:r>
      <w:r w:rsidR="00BA0D06" w:rsidRPr="00BA0D06">
        <w:rPr>
          <w:rFonts w:ascii="Times New Roman" w:hAnsi="Times New Roman" w:cs="Times New Roman"/>
          <w:sz w:val="24"/>
          <w:szCs w:val="24"/>
        </w:rPr>
        <w:t xml:space="preserve">the applicant used the wrong procedure in approaching the court by way of a court application </w:t>
      </w:r>
      <w:r w:rsidR="00BA0D06">
        <w:rPr>
          <w:rFonts w:ascii="Times New Roman" w:hAnsi="Times New Roman" w:cs="Times New Roman"/>
          <w:sz w:val="24"/>
          <w:szCs w:val="24"/>
        </w:rPr>
        <w:t>where there are material disputes of facts.</w:t>
      </w:r>
    </w:p>
    <w:p w:rsidR="009053BF" w:rsidRPr="00BA0D06" w:rsidRDefault="00AA282E" w:rsidP="00BA0D06">
      <w:pPr>
        <w:spacing w:after="0" w:line="360" w:lineRule="auto"/>
        <w:ind w:left="1440" w:hanging="720"/>
        <w:jc w:val="both"/>
        <w:rPr>
          <w:rFonts w:ascii="Times New Roman" w:hAnsi="Times New Roman" w:cs="Times New Roman"/>
          <w:sz w:val="24"/>
          <w:szCs w:val="24"/>
        </w:rPr>
      </w:pPr>
      <w:r w:rsidRPr="006A27FF">
        <w:rPr>
          <w:rFonts w:ascii="Times New Roman" w:hAnsi="Times New Roman" w:cs="Times New Roman"/>
        </w:rPr>
        <w:t xml:space="preserve">2.  </w:t>
      </w:r>
      <w:r w:rsidR="006A27FF">
        <w:rPr>
          <w:rFonts w:ascii="Times New Roman" w:hAnsi="Times New Roman" w:cs="Times New Roman"/>
        </w:rPr>
        <w:tab/>
      </w:r>
      <w:r w:rsidR="00BA0D06" w:rsidRPr="00BA0D06">
        <w:rPr>
          <w:rFonts w:ascii="Times New Roman" w:hAnsi="Times New Roman" w:cs="Times New Roman"/>
          <w:sz w:val="24"/>
          <w:szCs w:val="24"/>
        </w:rPr>
        <w:t xml:space="preserve">the applicant filed illegible annexures to the </w:t>
      </w:r>
      <w:r w:rsidR="00BA0D06">
        <w:rPr>
          <w:rFonts w:ascii="Times New Roman" w:hAnsi="Times New Roman" w:cs="Times New Roman"/>
          <w:sz w:val="24"/>
          <w:szCs w:val="24"/>
        </w:rPr>
        <w:t xml:space="preserve">founding affidavit and produced new facts in the answering affidavit hence the illegible annexures and the new facts in the answering affidavit ought to be ignored </w:t>
      </w:r>
      <w:r w:rsidR="00B15662">
        <w:rPr>
          <w:rFonts w:ascii="Times New Roman" w:hAnsi="Times New Roman" w:cs="Times New Roman"/>
          <w:sz w:val="24"/>
          <w:szCs w:val="24"/>
        </w:rPr>
        <w:t>and expunged from the record.</w:t>
      </w:r>
      <w:r w:rsidR="00BA0D06">
        <w:rPr>
          <w:rFonts w:ascii="Times New Roman" w:hAnsi="Times New Roman" w:cs="Times New Roman"/>
          <w:sz w:val="24"/>
          <w:szCs w:val="24"/>
        </w:rPr>
        <w:t xml:space="preserve"> </w:t>
      </w:r>
    </w:p>
    <w:p w:rsidR="006A27FF" w:rsidRPr="006A27FF" w:rsidRDefault="006A27FF" w:rsidP="006A27FF">
      <w:pPr>
        <w:spacing w:after="0" w:line="240" w:lineRule="auto"/>
        <w:jc w:val="both"/>
        <w:rPr>
          <w:rFonts w:ascii="Times New Roman" w:hAnsi="Times New Roman" w:cs="Times New Roman"/>
        </w:rPr>
      </w:pPr>
    </w:p>
    <w:p w:rsidR="009053BF" w:rsidRPr="00754586" w:rsidRDefault="00B15662" w:rsidP="00B15662">
      <w:pPr>
        <w:spacing w:after="0" w:line="240" w:lineRule="auto"/>
        <w:jc w:val="both"/>
        <w:rPr>
          <w:rFonts w:ascii="Times New Roman" w:hAnsi="Times New Roman" w:cs="Times New Roman"/>
          <w:sz w:val="24"/>
          <w:szCs w:val="24"/>
          <w:u w:val="single"/>
        </w:rPr>
      </w:pPr>
      <w:r w:rsidRPr="00754586">
        <w:rPr>
          <w:rFonts w:ascii="Times New Roman" w:hAnsi="Times New Roman" w:cs="Times New Roman"/>
          <w:sz w:val="24"/>
          <w:szCs w:val="24"/>
          <w:u w:val="single"/>
        </w:rPr>
        <w:t xml:space="preserve">Submissions by counsel </w:t>
      </w:r>
    </w:p>
    <w:p w:rsidR="00B15662" w:rsidRPr="00B15662" w:rsidRDefault="00B15662" w:rsidP="00FC352D">
      <w:pPr>
        <w:tabs>
          <w:tab w:val="left" w:pos="851"/>
        </w:tabs>
        <w:spacing w:after="0" w:line="240" w:lineRule="auto"/>
        <w:jc w:val="both"/>
        <w:rPr>
          <w:rFonts w:ascii="Times New Roman" w:hAnsi="Times New Roman" w:cs="Times New Roman"/>
          <w:sz w:val="24"/>
          <w:szCs w:val="24"/>
        </w:rPr>
      </w:pPr>
    </w:p>
    <w:p w:rsidR="006833F6" w:rsidRDefault="00B15662"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15662">
        <w:rPr>
          <w:rFonts w:ascii="Times New Roman" w:hAnsi="Times New Roman" w:cs="Times New Roman"/>
          <w:i/>
          <w:sz w:val="24"/>
          <w:szCs w:val="24"/>
        </w:rPr>
        <w:t>Nyakatsapa</w:t>
      </w:r>
      <w:r>
        <w:rPr>
          <w:rFonts w:ascii="Times New Roman" w:hAnsi="Times New Roman" w:cs="Times New Roman"/>
          <w:sz w:val="24"/>
          <w:szCs w:val="24"/>
        </w:rPr>
        <w:t xml:space="preserve"> for first and second respondents submitted that there are material disputes of facts regarding the interference alleged by the applicant, </w:t>
      </w:r>
      <w:r w:rsidR="00B969BB">
        <w:rPr>
          <w:rFonts w:ascii="Times New Roman" w:hAnsi="Times New Roman" w:cs="Times New Roman"/>
          <w:sz w:val="24"/>
          <w:szCs w:val="24"/>
        </w:rPr>
        <w:t>which disputes can</w:t>
      </w:r>
      <w:r>
        <w:rPr>
          <w:rFonts w:ascii="Times New Roman" w:hAnsi="Times New Roman" w:cs="Times New Roman"/>
          <w:sz w:val="24"/>
          <w:szCs w:val="24"/>
        </w:rPr>
        <w:t xml:space="preserve">not be </w:t>
      </w:r>
      <w:r>
        <w:rPr>
          <w:rFonts w:ascii="Times New Roman" w:hAnsi="Times New Roman" w:cs="Times New Roman"/>
          <w:sz w:val="24"/>
          <w:szCs w:val="24"/>
        </w:rPr>
        <w:lastRenderedPageBreak/>
        <w:t xml:space="preserve">resolved on papers without the aid of oral evidence. He referred the court to the matter of </w:t>
      </w:r>
      <w:r w:rsidRPr="00B15662">
        <w:rPr>
          <w:rFonts w:ascii="Times New Roman" w:hAnsi="Times New Roman" w:cs="Times New Roman"/>
          <w:i/>
          <w:sz w:val="24"/>
          <w:szCs w:val="24"/>
        </w:rPr>
        <w:t>Supa</w:t>
      </w:r>
      <w:r>
        <w:rPr>
          <w:rFonts w:ascii="Times New Roman" w:hAnsi="Times New Roman" w:cs="Times New Roman"/>
          <w:sz w:val="24"/>
          <w:szCs w:val="24"/>
        </w:rPr>
        <w:t xml:space="preserve"> </w:t>
      </w:r>
      <w:r w:rsidRPr="00B15662">
        <w:rPr>
          <w:rFonts w:ascii="Times New Roman" w:hAnsi="Times New Roman" w:cs="Times New Roman"/>
          <w:i/>
          <w:sz w:val="24"/>
          <w:szCs w:val="24"/>
        </w:rPr>
        <w:t>Plant Investments (Private) Limited</w:t>
      </w:r>
      <w:r>
        <w:rPr>
          <w:rFonts w:ascii="Times New Roman" w:hAnsi="Times New Roman" w:cs="Times New Roman"/>
          <w:sz w:val="24"/>
          <w:szCs w:val="24"/>
        </w:rPr>
        <w:t xml:space="preserve"> v </w:t>
      </w:r>
      <w:r w:rsidRPr="00B15662">
        <w:rPr>
          <w:rFonts w:ascii="Times New Roman" w:hAnsi="Times New Roman" w:cs="Times New Roman"/>
          <w:i/>
          <w:sz w:val="24"/>
          <w:szCs w:val="24"/>
        </w:rPr>
        <w:t>Edgar Chidavaenzi</w:t>
      </w:r>
      <w:r w:rsidR="007E69BD">
        <w:rPr>
          <w:rFonts w:ascii="Times New Roman" w:hAnsi="Times New Roman" w:cs="Times New Roman"/>
          <w:sz w:val="24"/>
          <w:szCs w:val="24"/>
        </w:rPr>
        <w:t>.</w:t>
      </w:r>
      <w:r w:rsidR="0055010C">
        <w:rPr>
          <w:rStyle w:val="FootnoteReference"/>
          <w:rFonts w:ascii="Times New Roman" w:hAnsi="Times New Roman" w:cs="Times New Roman"/>
          <w:sz w:val="24"/>
          <w:szCs w:val="24"/>
        </w:rPr>
        <w:footnoteReference w:id="1"/>
      </w:r>
    </w:p>
    <w:p w:rsidR="00B15662" w:rsidRDefault="00B15662"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went on further to highlight the material disputes of fact in this application. The fact that first respondent’s special grant encroaches into applicant’s alleged mining claims is the first dispute which is already </w:t>
      </w:r>
      <w:r w:rsidR="00D878A8">
        <w:rPr>
          <w:rFonts w:ascii="Times New Roman" w:hAnsi="Times New Roman" w:cs="Times New Roman"/>
          <w:sz w:val="24"/>
          <w:szCs w:val="24"/>
        </w:rPr>
        <w:t>pending before the Provincial Mining Director of Manicaland. First and second respondent aver that their special grant was issued by the responsible authority after physical verification and due diligence by officials of fourth respondent who satisfied themselves that there are no pre-existing claims on the land covered by the special grant.</w:t>
      </w:r>
    </w:p>
    <w:p w:rsidR="00D878A8" w:rsidRDefault="00D878A8"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first and second respondents invaded and removed ore from applicant’s claims is also disputed. First and second respondents contend that they are lawfully carrying out mining operations in accordance </w:t>
      </w:r>
      <w:r w:rsidR="0055010C">
        <w:rPr>
          <w:rFonts w:ascii="Times New Roman" w:hAnsi="Times New Roman" w:cs="Times New Roman"/>
          <w:sz w:val="24"/>
          <w:szCs w:val="24"/>
        </w:rPr>
        <w:t xml:space="preserve">with the beacons defined in the special grant. The alleged boundaries perceived by the applicant have not clarified and confirmed as such by the fourth respondent. The diagram attached by the applicant in its answering affidavit does not assist the applicant, it was argued by the first and second respondent. The diagram does not bear helpful coordinates of the mining area and the author of the diagram is unidentified. </w:t>
      </w:r>
    </w:p>
    <w:p w:rsidR="0055010C" w:rsidRDefault="0055010C"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dispute of facts was the averment by applicant that first and second respondents invaded its mining claims in collusion with the police, third respondent. First to third respondents deny interfering with the mining activities of the applicant. First and second respondents contend that they only engaged police when they were executing court orders and reporting illegal gold miners who were stealing ore from their claim covered by the special grant.</w:t>
      </w:r>
    </w:p>
    <w:p w:rsidR="00F578C8" w:rsidRDefault="00F578C8"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 submission by the first and second respondents that the disputed facts were grave and cannot be resolved on paper. The conflicting positions of the parties herein are irreconcilable and applicant’s affidavit does not clearly establish the truth of all the issues to the extent that there is a ready answer to the disputed facts in the absence of further evidence, it was argued. The dispute on boundaries is not established by the applicant, the point of entry by first and second respondent into the applicant’s claims is not clarified by the applicant on the map or diagram. The first and second respondents further argued that the point of looting was not pointed out by the applicant. Counsel for the first and second respondents referred the court to the matter of </w:t>
      </w:r>
      <w:r w:rsidRPr="00F578C8">
        <w:rPr>
          <w:rFonts w:ascii="Times New Roman" w:hAnsi="Times New Roman" w:cs="Times New Roman"/>
          <w:i/>
          <w:sz w:val="24"/>
          <w:szCs w:val="24"/>
        </w:rPr>
        <w:t>Mukurira</w:t>
      </w:r>
      <w:r>
        <w:rPr>
          <w:rFonts w:ascii="Times New Roman" w:hAnsi="Times New Roman" w:cs="Times New Roman"/>
          <w:sz w:val="24"/>
          <w:szCs w:val="24"/>
        </w:rPr>
        <w:t xml:space="preserve"> v </w:t>
      </w:r>
      <w:r w:rsidRPr="00F578C8">
        <w:rPr>
          <w:rFonts w:ascii="Times New Roman" w:hAnsi="Times New Roman" w:cs="Times New Roman"/>
          <w:i/>
          <w:sz w:val="24"/>
          <w:szCs w:val="24"/>
        </w:rPr>
        <w:t>Jin Yang Africa Mining (Pvt) Ltd</w:t>
      </w:r>
      <w:r w:rsidR="005B0461">
        <w:rPr>
          <w:rFonts w:ascii="Times New Roman" w:hAnsi="Times New Roman" w:cs="Times New Roman"/>
          <w:i/>
          <w:sz w:val="24"/>
          <w:szCs w:val="24"/>
        </w:rPr>
        <w:t>.</w:t>
      </w:r>
      <w:r>
        <w:rPr>
          <w:rFonts w:ascii="Times New Roman" w:hAnsi="Times New Roman" w:cs="Times New Roman"/>
          <w:i/>
          <w:sz w:val="24"/>
          <w:szCs w:val="24"/>
        </w:rPr>
        <w:t xml:space="preserve"> </w:t>
      </w:r>
      <w:r>
        <w:rPr>
          <w:rStyle w:val="FootnoteReference"/>
          <w:rFonts w:ascii="Times New Roman" w:hAnsi="Times New Roman" w:cs="Times New Roman"/>
          <w:i/>
          <w:sz w:val="24"/>
          <w:szCs w:val="24"/>
        </w:rPr>
        <w:footnoteReference w:id="2"/>
      </w:r>
      <w:r>
        <w:rPr>
          <w:rFonts w:ascii="Times New Roman" w:hAnsi="Times New Roman" w:cs="Times New Roman"/>
          <w:i/>
          <w:sz w:val="24"/>
          <w:szCs w:val="24"/>
        </w:rPr>
        <w:t xml:space="preserve"> </w:t>
      </w:r>
      <w:r w:rsidR="007E69BD">
        <w:rPr>
          <w:rFonts w:ascii="Times New Roman" w:hAnsi="Times New Roman" w:cs="Times New Roman"/>
          <w:sz w:val="24"/>
          <w:szCs w:val="24"/>
        </w:rPr>
        <w:t>T</w:t>
      </w:r>
      <w:r>
        <w:rPr>
          <w:rFonts w:ascii="Times New Roman" w:hAnsi="Times New Roman" w:cs="Times New Roman"/>
          <w:sz w:val="24"/>
          <w:szCs w:val="24"/>
        </w:rPr>
        <w:t xml:space="preserve">he first and second respondent added that the Provincial Mining Director </w:t>
      </w:r>
      <w:r w:rsidR="003F1C02">
        <w:rPr>
          <w:rFonts w:ascii="Times New Roman" w:hAnsi="Times New Roman" w:cs="Times New Roman"/>
          <w:sz w:val="24"/>
          <w:szCs w:val="24"/>
        </w:rPr>
        <w:t xml:space="preserve">is required to establish full facts, prepare </w:t>
      </w:r>
      <w:r w:rsidR="003F1C02">
        <w:rPr>
          <w:rFonts w:ascii="Times New Roman" w:hAnsi="Times New Roman" w:cs="Times New Roman"/>
          <w:sz w:val="24"/>
          <w:szCs w:val="24"/>
        </w:rPr>
        <w:lastRenderedPageBreak/>
        <w:t xml:space="preserve">a report and adduce oral evidence before the court can make conclusions. Counsel for first and second respondent went on to cite the matter of </w:t>
      </w:r>
      <w:r w:rsidR="003F1C02" w:rsidRPr="003F1C02">
        <w:rPr>
          <w:rFonts w:ascii="Times New Roman" w:hAnsi="Times New Roman" w:cs="Times New Roman"/>
          <w:i/>
          <w:sz w:val="24"/>
          <w:szCs w:val="24"/>
        </w:rPr>
        <w:t>Muzanenhamo</w:t>
      </w:r>
      <w:r w:rsidR="003F1C02">
        <w:rPr>
          <w:rFonts w:ascii="Times New Roman" w:hAnsi="Times New Roman" w:cs="Times New Roman"/>
          <w:sz w:val="24"/>
          <w:szCs w:val="24"/>
        </w:rPr>
        <w:t xml:space="preserve"> v </w:t>
      </w:r>
      <w:r w:rsidR="003F1C02" w:rsidRPr="003F1C02">
        <w:rPr>
          <w:rFonts w:ascii="Times New Roman" w:hAnsi="Times New Roman" w:cs="Times New Roman"/>
          <w:i/>
          <w:sz w:val="24"/>
          <w:szCs w:val="24"/>
        </w:rPr>
        <w:t>Officer in Charge CID Law</w:t>
      </w:r>
      <w:r w:rsidR="003F1C02">
        <w:rPr>
          <w:rFonts w:ascii="Times New Roman" w:hAnsi="Times New Roman" w:cs="Times New Roman"/>
          <w:sz w:val="24"/>
          <w:szCs w:val="24"/>
        </w:rPr>
        <w:t xml:space="preserve"> </w:t>
      </w:r>
      <w:r w:rsidR="003F1C02" w:rsidRPr="003F1C02">
        <w:rPr>
          <w:rFonts w:ascii="Times New Roman" w:hAnsi="Times New Roman" w:cs="Times New Roman"/>
          <w:i/>
          <w:sz w:val="24"/>
          <w:szCs w:val="24"/>
        </w:rPr>
        <w:t>and Order and Others</w:t>
      </w:r>
      <w:r w:rsidR="003F1C02">
        <w:rPr>
          <w:rStyle w:val="FootnoteReference"/>
          <w:rFonts w:ascii="Times New Roman" w:hAnsi="Times New Roman" w:cs="Times New Roman"/>
          <w:sz w:val="24"/>
          <w:szCs w:val="24"/>
        </w:rPr>
        <w:footnoteReference w:id="3"/>
      </w:r>
      <w:r w:rsidR="003F1C02">
        <w:rPr>
          <w:rFonts w:ascii="Times New Roman" w:hAnsi="Times New Roman" w:cs="Times New Roman"/>
          <w:sz w:val="24"/>
          <w:szCs w:val="24"/>
        </w:rPr>
        <w:t xml:space="preserve"> which urges this court to find that there are material disputes of fact </w:t>
      </w:r>
      <w:r w:rsidR="00B80EB2">
        <w:rPr>
          <w:rFonts w:ascii="Times New Roman" w:hAnsi="Times New Roman" w:cs="Times New Roman"/>
          <w:sz w:val="24"/>
          <w:szCs w:val="24"/>
        </w:rPr>
        <w:t xml:space="preserve">and </w:t>
      </w:r>
      <w:r w:rsidR="00754586">
        <w:rPr>
          <w:rFonts w:ascii="Times New Roman" w:hAnsi="Times New Roman" w:cs="Times New Roman"/>
          <w:sz w:val="24"/>
          <w:szCs w:val="24"/>
        </w:rPr>
        <w:t>call for o</w:t>
      </w:r>
      <w:r w:rsidR="00B80EB2">
        <w:rPr>
          <w:rFonts w:ascii="Times New Roman" w:hAnsi="Times New Roman" w:cs="Times New Roman"/>
          <w:sz w:val="24"/>
          <w:szCs w:val="24"/>
        </w:rPr>
        <w:t>ral evidence in trial proceedings. First and second respondent submitted that applicant adopted a wrong proc</w:t>
      </w:r>
      <w:r w:rsidR="00C913AD">
        <w:rPr>
          <w:rFonts w:ascii="Times New Roman" w:hAnsi="Times New Roman" w:cs="Times New Roman"/>
          <w:sz w:val="24"/>
          <w:szCs w:val="24"/>
        </w:rPr>
        <w:t>edure by bringing this case as a</w:t>
      </w:r>
      <w:r w:rsidR="00B80EB2">
        <w:rPr>
          <w:rFonts w:ascii="Times New Roman" w:hAnsi="Times New Roman" w:cs="Times New Roman"/>
          <w:sz w:val="24"/>
          <w:szCs w:val="24"/>
        </w:rPr>
        <w:t xml:space="preserve">n application well knowing that there existed patent material disputes of fact which could not be resolved without the need of oral evidence. They went on to cite the matter of </w:t>
      </w:r>
      <w:r w:rsidR="00876FE7">
        <w:rPr>
          <w:rFonts w:ascii="Times New Roman" w:hAnsi="Times New Roman" w:cs="Times New Roman"/>
          <w:i/>
          <w:sz w:val="24"/>
          <w:szCs w:val="24"/>
        </w:rPr>
        <w:t>Masukusa</w:t>
      </w:r>
      <w:r w:rsidR="00B80EB2">
        <w:rPr>
          <w:rFonts w:ascii="Times New Roman" w:hAnsi="Times New Roman" w:cs="Times New Roman"/>
          <w:sz w:val="24"/>
          <w:szCs w:val="24"/>
        </w:rPr>
        <w:t xml:space="preserve"> v </w:t>
      </w:r>
      <w:r w:rsidR="00B80EB2" w:rsidRPr="00B80EB2">
        <w:rPr>
          <w:rFonts w:ascii="Times New Roman" w:hAnsi="Times New Roman" w:cs="Times New Roman"/>
          <w:i/>
          <w:sz w:val="24"/>
          <w:szCs w:val="24"/>
        </w:rPr>
        <w:t>National Foods Ltd and Others</w:t>
      </w:r>
      <w:r w:rsidR="00B80EB2">
        <w:rPr>
          <w:rFonts w:ascii="Times New Roman" w:hAnsi="Times New Roman" w:cs="Times New Roman"/>
          <w:sz w:val="24"/>
          <w:szCs w:val="24"/>
        </w:rPr>
        <w:t xml:space="preserve"> </w:t>
      </w:r>
      <w:r w:rsidR="00B80EB2">
        <w:rPr>
          <w:rStyle w:val="FootnoteReference"/>
          <w:rFonts w:ascii="Times New Roman" w:hAnsi="Times New Roman" w:cs="Times New Roman"/>
          <w:sz w:val="24"/>
          <w:szCs w:val="24"/>
        </w:rPr>
        <w:footnoteReference w:id="4"/>
      </w:r>
      <w:r w:rsidR="00B80EB2">
        <w:rPr>
          <w:rFonts w:ascii="Times New Roman" w:hAnsi="Times New Roman" w:cs="Times New Roman"/>
          <w:sz w:val="24"/>
          <w:szCs w:val="24"/>
        </w:rPr>
        <w:t xml:space="preserve"> which matter dealt with the law on a party who used a wrong procedure in view of apparent disputes of facts. First and second respondent further cited the matter of </w:t>
      </w:r>
      <w:r w:rsidR="00B80EB2" w:rsidRPr="00BC0B52">
        <w:rPr>
          <w:rFonts w:ascii="Times New Roman" w:hAnsi="Times New Roman" w:cs="Times New Roman"/>
          <w:i/>
          <w:sz w:val="24"/>
          <w:szCs w:val="24"/>
        </w:rPr>
        <w:t>Riozim Limited</w:t>
      </w:r>
      <w:r w:rsidR="00B80EB2">
        <w:rPr>
          <w:rFonts w:ascii="Times New Roman" w:hAnsi="Times New Roman" w:cs="Times New Roman"/>
          <w:sz w:val="24"/>
          <w:szCs w:val="24"/>
        </w:rPr>
        <w:t xml:space="preserve"> v </w:t>
      </w:r>
      <w:r w:rsidR="00B80EB2" w:rsidRPr="00BC0B52">
        <w:rPr>
          <w:rFonts w:ascii="Times New Roman" w:hAnsi="Times New Roman" w:cs="Times New Roman"/>
          <w:i/>
          <w:sz w:val="24"/>
          <w:szCs w:val="24"/>
        </w:rPr>
        <w:t>Falcon Resources (Pvt) Ltd</w:t>
      </w:r>
      <w:r w:rsidR="00B80EB2">
        <w:rPr>
          <w:rFonts w:ascii="Times New Roman" w:hAnsi="Times New Roman" w:cs="Times New Roman"/>
          <w:sz w:val="24"/>
          <w:szCs w:val="24"/>
        </w:rPr>
        <w:t xml:space="preserve"> </w:t>
      </w:r>
      <w:r w:rsidR="00B80EB2">
        <w:rPr>
          <w:rStyle w:val="FootnoteReference"/>
          <w:rFonts w:ascii="Times New Roman" w:hAnsi="Times New Roman" w:cs="Times New Roman"/>
          <w:sz w:val="24"/>
          <w:szCs w:val="24"/>
        </w:rPr>
        <w:footnoteReference w:id="5"/>
      </w:r>
      <w:r w:rsidR="00BC0B52">
        <w:rPr>
          <w:rFonts w:ascii="Times New Roman" w:hAnsi="Times New Roman" w:cs="Times New Roman"/>
          <w:sz w:val="24"/>
          <w:szCs w:val="24"/>
        </w:rPr>
        <w:t xml:space="preserve"> </w:t>
      </w:r>
      <w:r w:rsidR="00B80EB2">
        <w:rPr>
          <w:rFonts w:ascii="Times New Roman" w:hAnsi="Times New Roman" w:cs="Times New Roman"/>
          <w:sz w:val="24"/>
          <w:szCs w:val="24"/>
        </w:rPr>
        <w:t xml:space="preserve">where the court dismissed an application </w:t>
      </w:r>
      <w:r w:rsidR="00BC0B52">
        <w:rPr>
          <w:rFonts w:ascii="Times New Roman" w:hAnsi="Times New Roman" w:cs="Times New Roman"/>
          <w:sz w:val="24"/>
          <w:szCs w:val="24"/>
        </w:rPr>
        <w:t xml:space="preserve">where there were material disputes of fact. The other point </w:t>
      </w:r>
      <w:r w:rsidR="00BC0B52" w:rsidRPr="00BC0B52">
        <w:rPr>
          <w:rFonts w:ascii="Times New Roman" w:hAnsi="Times New Roman" w:cs="Times New Roman"/>
          <w:i/>
          <w:sz w:val="24"/>
          <w:szCs w:val="24"/>
        </w:rPr>
        <w:t>in limine</w:t>
      </w:r>
      <w:r w:rsidR="00BC0B52">
        <w:rPr>
          <w:rFonts w:ascii="Times New Roman" w:hAnsi="Times New Roman" w:cs="Times New Roman"/>
          <w:sz w:val="24"/>
          <w:szCs w:val="24"/>
        </w:rPr>
        <w:t xml:space="preserve"> raised by the first and second respondent was the aspect of illegible annexures to the founding affidavit. First and second respondent submitted that the court should expunge the annexures from the record. The illegible documents prejudices the respondents in that the first and second respondents would not adequately respond to the applicant’s allegations. Consequently the illegible documents annexed to the founding affidavit did not help applicant to make its case. </w:t>
      </w:r>
      <w:r w:rsidR="000036CB">
        <w:rPr>
          <w:rFonts w:ascii="Times New Roman" w:hAnsi="Times New Roman" w:cs="Times New Roman"/>
          <w:sz w:val="24"/>
          <w:szCs w:val="24"/>
        </w:rPr>
        <w:t xml:space="preserve">There is no proof to support the applicant’s ownership of the alleged mining claims. First and second respondent cited the matter of </w:t>
      </w:r>
      <w:r w:rsidR="000036CB" w:rsidRPr="000036CB">
        <w:rPr>
          <w:rFonts w:ascii="Times New Roman" w:hAnsi="Times New Roman" w:cs="Times New Roman"/>
          <w:i/>
          <w:sz w:val="24"/>
          <w:szCs w:val="24"/>
        </w:rPr>
        <w:t>Nashe Family Trust</w:t>
      </w:r>
      <w:r w:rsidR="000036CB">
        <w:rPr>
          <w:rFonts w:ascii="Times New Roman" w:hAnsi="Times New Roman" w:cs="Times New Roman"/>
          <w:sz w:val="24"/>
          <w:szCs w:val="24"/>
        </w:rPr>
        <w:t xml:space="preserve"> v </w:t>
      </w:r>
      <w:r w:rsidR="000036CB" w:rsidRPr="000036CB">
        <w:rPr>
          <w:rFonts w:ascii="Times New Roman" w:hAnsi="Times New Roman" w:cs="Times New Roman"/>
          <w:i/>
          <w:sz w:val="24"/>
          <w:szCs w:val="24"/>
        </w:rPr>
        <w:t>Chiwara</w:t>
      </w:r>
      <w:r w:rsidR="000036CB">
        <w:rPr>
          <w:rFonts w:ascii="Times New Roman" w:hAnsi="Times New Roman" w:cs="Times New Roman"/>
          <w:sz w:val="24"/>
          <w:szCs w:val="24"/>
        </w:rPr>
        <w:t xml:space="preserve"> </w:t>
      </w:r>
      <w:r w:rsidR="000036CB">
        <w:rPr>
          <w:rStyle w:val="FootnoteReference"/>
          <w:rFonts w:ascii="Times New Roman" w:hAnsi="Times New Roman" w:cs="Times New Roman"/>
          <w:sz w:val="24"/>
          <w:szCs w:val="24"/>
        </w:rPr>
        <w:footnoteReference w:id="6"/>
      </w:r>
      <w:r w:rsidR="000036CB">
        <w:rPr>
          <w:rFonts w:ascii="Times New Roman" w:hAnsi="Times New Roman" w:cs="Times New Roman"/>
          <w:sz w:val="24"/>
          <w:szCs w:val="24"/>
        </w:rPr>
        <w:t xml:space="preserve">where the court held that applicant stands or falls by his or her founding affidavit. </w:t>
      </w:r>
    </w:p>
    <w:p w:rsidR="000036CB" w:rsidRDefault="000036CB"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 also attacked the answering affidavit as containing new facts </w:t>
      </w:r>
      <w:r w:rsidR="00DE319D">
        <w:rPr>
          <w:rFonts w:ascii="Times New Roman" w:hAnsi="Times New Roman" w:cs="Times New Roman"/>
          <w:sz w:val="24"/>
          <w:szCs w:val="24"/>
        </w:rPr>
        <w:t xml:space="preserve">and documentary evidence </w:t>
      </w:r>
      <w:r w:rsidR="00DE319D">
        <w:rPr>
          <w:rStyle w:val="FootnoteReference"/>
          <w:rFonts w:ascii="Times New Roman" w:hAnsi="Times New Roman" w:cs="Times New Roman"/>
          <w:sz w:val="24"/>
          <w:szCs w:val="24"/>
        </w:rPr>
        <w:footnoteReference w:id="7"/>
      </w:r>
      <w:r w:rsidR="00DE319D">
        <w:rPr>
          <w:rFonts w:ascii="Times New Roman" w:hAnsi="Times New Roman" w:cs="Times New Roman"/>
          <w:sz w:val="24"/>
          <w:szCs w:val="24"/>
        </w:rPr>
        <w:t xml:space="preserve"> and the introduction of new evidence in an answering affidavit infringes on the first and second </w:t>
      </w:r>
      <w:r w:rsidR="00387D0B">
        <w:rPr>
          <w:rFonts w:ascii="Times New Roman" w:hAnsi="Times New Roman" w:cs="Times New Roman"/>
          <w:sz w:val="24"/>
          <w:szCs w:val="24"/>
        </w:rPr>
        <w:t>respondent’s</w:t>
      </w:r>
      <w:r w:rsidR="00DE319D">
        <w:rPr>
          <w:rFonts w:ascii="Times New Roman" w:hAnsi="Times New Roman" w:cs="Times New Roman"/>
          <w:sz w:val="24"/>
          <w:szCs w:val="24"/>
        </w:rPr>
        <w:t xml:space="preserve"> right to be heard since they will not have an opportunity to file another opposing affidavit. First and second respondent gave an example of paragraph 2.2 of the answering affidavit, paragraph 4.4, annexures </w:t>
      </w:r>
      <w:r w:rsidR="00CC4371">
        <w:rPr>
          <w:rFonts w:ascii="Times New Roman" w:hAnsi="Times New Roman" w:cs="Times New Roman"/>
          <w:sz w:val="24"/>
          <w:szCs w:val="24"/>
        </w:rPr>
        <w:t>A1 and D to the answering affidavit, they urged the court to ignore the new evidence.</w:t>
      </w:r>
      <w:r w:rsidR="00CC4371">
        <w:rPr>
          <w:rStyle w:val="FootnoteReference"/>
          <w:rFonts w:ascii="Times New Roman" w:hAnsi="Times New Roman" w:cs="Times New Roman"/>
          <w:sz w:val="24"/>
          <w:szCs w:val="24"/>
        </w:rPr>
        <w:footnoteReference w:id="8"/>
      </w:r>
      <w:r w:rsidR="00CC4371">
        <w:rPr>
          <w:rFonts w:ascii="Times New Roman" w:hAnsi="Times New Roman" w:cs="Times New Roman"/>
          <w:sz w:val="24"/>
          <w:szCs w:val="24"/>
        </w:rPr>
        <w:t xml:space="preserve"> In any case the first and second respondents submitted that even that new evidence smuggled by the applicant</w:t>
      </w:r>
      <w:r w:rsidR="00001CD9">
        <w:rPr>
          <w:rFonts w:ascii="Times New Roman" w:hAnsi="Times New Roman" w:cs="Times New Roman"/>
          <w:sz w:val="24"/>
          <w:szCs w:val="24"/>
        </w:rPr>
        <w:t xml:space="preserve"> does not prove ownership, inva</w:t>
      </w:r>
      <w:r w:rsidR="00CC4371">
        <w:rPr>
          <w:rFonts w:ascii="Times New Roman" w:hAnsi="Times New Roman" w:cs="Times New Roman"/>
          <w:sz w:val="24"/>
          <w:szCs w:val="24"/>
        </w:rPr>
        <w:t xml:space="preserve">sion, interference and looting of ore alleged by the applicant. They urged the court to dismiss the application with costs. </w:t>
      </w:r>
    </w:p>
    <w:p w:rsidR="00CC4371" w:rsidRDefault="00CC4371"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the applicant urged the court to take a robust and common sense approach to a dispute of fact and resolve issues at hand despite the apparent conflict. Mr </w:t>
      </w:r>
      <w:r w:rsidR="00000EDD">
        <w:rPr>
          <w:rFonts w:ascii="Times New Roman" w:hAnsi="Times New Roman" w:cs="Times New Roman"/>
          <w:i/>
          <w:sz w:val="24"/>
          <w:szCs w:val="24"/>
        </w:rPr>
        <w:t>Mate</w:t>
      </w:r>
      <w:r w:rsidRPr="00CC4371">
        <w:rPr>
          <w:rFonts w:ascii="Times New Roman" w:hAnsi="Times New Roman" w:cs="Times New Roman"/>
          <w:i/>
          <w:sz w:val="24"/>
          <w:szCs w:val="24"/>
        </w:rPr>
        <w:t>za</w:t>
      </w:r>
      <w:r>
        <w:rPr>
          <w:rFonts w:ascii="Times New Roman" w:hAnsi="Times New Roman" w:cs="Times New Roman"/>
          <w:sz w:val="24"/>
          <w:szCs w:val="24"/>
        </w:rPr>
        <w:t xml:space="preserve"> contended further </w:t>
      </w:r>
      <w:r w:rsidR="00130776">
        <w:rPr>
          <w:rFonts w:ascii="Times New Roman" w:hAnsi="Times New Roman" w:cs="Times New Roman"/>
          <w:sz w:val="24"/>
          <w:szCs w:val="24"/>
        </w:rPr>
        <w:t>that in reality there are no disputes of fact because the first and second respondents failed to challenge applicant’s supporting affidavits. To applicant the court must not hesitate to decide an issue of facts on affidavit merely because it may be difficult to do so. Justice can be defeated or seriously impeded and delayed by an over fastidious approach to a dispute raised in an affidavit.</w:t>
      </w:r>
      <w:r w:rsidR="00130776">
        <w:rPr>
          <w:rStyle w:val="FootnoteReference"/>
          <w:rFonts w:ascii="Times New Roman" w:hAnsi="Times New Roman" w:cs="Times New Roman"/>
          <w:sz w:val="24"/>
          <w:szCs w:val="24"/>
        </w:rPr>
        <w:footnoteReference w:id="9"/>
      </w:r>
    </w:p>
    <w:p w:rsidR="00FF5C5F" w:rsidRDefault="00FF5C5F"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further submitted that first and second respondent are but just making a bare denial or are merely alleging a dispute. To Mr </w:t>
      </w:r>
      <w:r w:rsidR="00A83D19">
        <w:rPr>
          <w:rFonts w:ascii="Times New Roman" w:hAnsi="Times New Roman" w:cs="Times New Roman"/>
          <w:i/>
          <w:sz w:val="24"/>
          <w:szCs w:val="24"/>
        </w:rPr>
        <w:t>Mateza</w:t>
      </w:r>
      <w:r>
        <w:rPr>
          <w:rFonts w:ascii="Times New Roman" w:hAnsi="Times New Roman" w:cs="Times New Roman"/>
          <w:sz w:val="24"/>
          <w:szCs w:val="24"/>
        </w:rPr>
        <w:t>, first to third respondents failed to disclose material disputes that would make the application procedure adopted by the applicant inappropriate.</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A real genuine and bonafide dispute of fact can exist only where the court is satisfied that the party who states that there is a dispute has in his affidavit seriously and ambiguously addressed </w:t>
      </w:r>
      <w:r w:rsidR="00DA198C">
        <w:rPr>
          <w:rFonts w:ascii="Times New Roman" w:hAnsi="Times New Roman" w:cs="Times New Roman"/>
          <w:sz w:val="24"/>
          <w:szCs w:val="24"/>
        </w:rPr>
        <w:t xml:space="preserve">the facts said to be disputed, it was argued on behalf of the applicant. In this case the applicant averred that first to third respondents failed to raise pertinent material disputes of facts that should prevent the court to deal with this dispute on papers. </w:t>
      </w:r>
    </w:p>
    <w:p w:rsidR="00DA198C" w:rsidRDefault="00DA198C"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urged the court to dismiss the points </w:t>
      </w:r>
      <w:r w:rsidRPr="00DA198C">
        <w:rPr>
          <w:rFonts w:ascii="Times New Roman" w:hAnsi="Times New Roman" w:cs="Times New Roman"/>
          <w:i/>
          <w:sz w:val="24"/>
          <w:szCs w:val="24"/>
        </w:rPr>
        <w:t>in limine</w:t>
      </w:r>
      <w:r>
        <w:rPr>
          <w:rFonts w:ascii="Times New Roman" w:hAnsi="Times New Roman" w:cs="Times New Roman"/>
          <w:sz w:val="24"/>
          <w:szCs w:val="24"/>
        </w:rPr>
        <w:t xml:space="preserve"> and </w:t>
      </w:r>
      <w:r w:rsidR="00754586">
        <w:rPr>
          <w:rFonts w:ascii="Times New Roman" w:hAnsi="Times New Roman" w:cs="Times New Roman"/>
          <w:sz w:val="24"/>
          <w:szCs w:val="24"/>
        </w:rPr>
        <w:t>alternatively</w:t>
      </w:r>
      <w:r>
        <w:rPr>
          <w:rFonts w:ascii="Times New Roman" w:hAnsi="Times New Roman" w:cs="Times New Roman"/>
          <w:sz w:val="24"/>
          <w:szCs w:val="24"/>
        </w:rPr>
        <w:t xml:space="preserve"> utilise r 229 B of the High Court Rules to allow oral evidence. Such a course would be in the interests of justice. He referred the court to the matter of </w:t>
      </w:r>
      <w:r w:rsidRPr="00DA198C">
        <w:rPr>
          <w:rFonts w:ascii="Times New Roman" w:hAnsi="Times New Roman" w:cs="Times New Roman"/>
          <w:i/>
          <w:sz w:val="24"/>
          <w:szCs w:val="24"/>
        </w:rPr>
        <w:t>Musevenzo</w:t>
      </w:r>
      <w:r>
        <w:rPr>
          <w:rFonts w:ascii="Times New Roman" w:hAnsi="Times New Roman" w:cs="Times New Roman"/>
          <w:sz w:val="24"/>
          <w:szCs w:val="24"/>
        </w:rPr>
        <w:t xml:space="preserve"> v </w:t>
      </w:r>
      <w:r w:rsidRPr="00DA198C">
        <w:rPr>
          <w:rFonts w:ascii="Times New Roman" w:hAnsi="Times New Roman" w:cs="Times New Roman"/>
          <w:i/>
          <w:sz w:val="24"/>
          <w:szCs w:val="24"/>
        </w:rPr>
        <w:t>Beji and Another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rsidR="00DA198C" w:rsidRDefault="00DA198C"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A83D19">
        <w:rPr>
          <w:rFonts w:ascii="Times New Roman" w:hAnsi="Times New Roman" w:cs="Times New Roman"/>
          <w:i/>
          <w:sz w:val="24"/>
          <w:szCs w:val="24"/>
        </w:rPr>
        <w:t>Mateza</w:t>
      </w:r>
      <w:r>
        <w:rPr>
          <w:rFonts w:ascii="Times New Roman" w:hAnsi="Times New Roman" w:cs="Times New Roman"/>
          <w:sz w:val="24"/>
          <w:szCs w:val="24"/>
        </w:rPr>
        <w:t xml:space="preserve"> also cited the matter of </w:t>
      </w:r>
      <w:r w:rsidRPr="00DA198C">
        <w:rPr>
          <w:rFonts w:ascii="Times New Roman" w:hAnsi="Times New Roman" w:cs="Times New Roman"/>
          <w:i/>
          <w:sz w:val="24"/>
          <w:szCs w:val="24"/>
        </w:rPr>
        <w:t xml:space="preserve">Muza </w:t>
      </w:r>
      <w:r>
        <w:rPr>
          <w:rFonts w:ascii="Times New Roman" w:hAnsi="Times New Roman" w:cs="Times New Roman"/>
          <w:sz w:val="24"/>
          <w:szCs w:val="24"/>
        </w:rPr>
        <w:t xml:space="preserve">v </w:t>
      </w:r>
      <w:r w:rsidRPr="00DA198C">
        <w:rPr>
          <w:rFonts w:ascii="Times New Roman" w:hAnsi="Times New Roman" w:cs="Times New Roman"/>
          <w:i/>
          <w:sz w:val="24"/>
          <w:szCs w:val="24"/>
        </w:rPr>
        <w:t>Saruchera</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and argued that what applicant is asking for is a temporary interdict until the Provincial Mining Director had resolved the dispute. He added in his submission that this court cannot usurp the Provincial </w:t>
      </w:r>
      <w:r w:rsidR="00CC56F7">
        <w:rPr>
          <w:rFonts w:ascii="Times New Roman" w:hAnsi="Times New Roman" w:cs="Times New Roman"/>
          <w:sz w:val="24"/>
          <w:szCs w:val="24"/>
        </w:rPr>
        <w:t xml:space="preserve">Mining Director’s powers and averred that there is no basis why this court dismiss applicant’s application. </w:t>
      </w:r>
    </w:p>
    <w:p w:rsidR="00CC56F7" w:rsidRDefault="00CC56F7"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applicant is concerned, the disputes of fact alleged by the first and second respondents are just illusory. </w:t>
      </w:r>
    </w:p>
    <w:p w:rsidR="00CC56F7" w:rsidRDefault="00CC56F7"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new evidence being introduced through the answering affidavit, Mr </w:t>
      </w:r>
      <w:r w:rsidR="00A83D19">
        <w:rPr>
          <w:rFonts w:ascii="Times New Roman" w:hAnsi="Times New Roman" w:cs="Times New Roman"/>
          <w:i/>
          <w:sz w:val="24"/>
          <w:szCs w:val="24"/>
        </w:rPr>
        <w:t>Mateza</w:t>
      </w:r>
      <w:r>
        <w:rPr>
          <w:rFonts w:ascii="Times New Roman" w:hAnsi="Times New Roman" w:cs="Times New Roman"/>
          <w:sz w:val="24"/>
          <w:szCs w:val="24"/>
        </w:rPr>
        <w:t xml:space="preserve"> submitted vehemently that no new information nor documents was added or introduced. The documents were attached to the founding affidavit, and the annexed </w:t>
      </w:r>
      <w:r w:rsidR="00A83D19">
        <w:rPr>
          <w:rFonts w:ascii="Times New Roman" w:hAnsi="Times New Roman" w:cs="Times New Roman"/>
          <w:sz w:val="24"/>
          <w:szCs w:val="24"/>
        </w:rPr>
        <w:t xml:space="preserve">documents </w:t>
      </w:r>
      <w:r>
        <w:rPr>
          <w:rFonts w:ascii="Times New Roman" w:hAnsi="Times New Roman" w:cs="Times New Roman"/>
          <w:sz w:val="24"/>
          <w:szCs w:val="24"/>
        </w:rPr>
        <w:t xml:space="preserve">were but clearer than those initially attached. There was no prejudice to the first and second </w:t>
      </w:r>
      <w:r>
        <w:rPr>
          <w:rFonts w:ascii="Times New Roman" w:hAnsi="Times New Roman" w:cs="Times New Roman"/>
          <w:sz w:val="24"/>
          <w:szCs w:val="24"/>
        </w:rPr>
        <w:lastRenderedPageBreak/>
        <w:t xml:space="preserve">respondent, he said. However he conceded that annexures on pages 87 and 89 should be expunged from the record. Otherwise the rest of the documents form part of the record for those documents on page 91 and 92, he also conceded that they be disregarded. </w:t>
      </w:r>
    </w:p>
    <w:p w:rsidR="00CC56F7" w:rsidRDefault="00CC56F7" w:rsidP="00CC5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legibility of the certificate of registration, Mr </w:t>
      </w:r>
      <w:r w:rsidR="00A83D19">
        <w:rPr>
          <w:rFonts w:ascii="Times New Roman" w:hAnsi="Times New Roman" w:cs="Times New Roman"/>
          <w:i/>
          <w:sz w:val="24"/>
          <w:szCs w:val="24"/>
        </w:rPr>
        <w:t>Mateza</w:t>
      </w:r>
      <w:r>
        <w:rPr>
          <w:rFonts w:ascii="Times New Roman" w:hAnsi="Times New Roman" w:cs="Times New Roman"/>
          <w:sz w:val="24"/>
          <w:szCs w:val="24"/>
        </w:rPr>
        <w:t xml:space="preserve"> tried to produce the documents from the bar on the date of hearing. First and second respondents as well as third and fourth </w:t>
      </w:r>
      <w:r w:rsidR="00B21C43">
        <w:rPr>
          <w:rFonts w:ascii="Times New Roman" w:hAnsi="Times New Roman" w:cs="Times New Roman"/>
          <w:sz w:val="24"/>
          <w:szCs w:val="24"/>
        </w:rPr>
        <w:t>respondent</w:t>
      </w:r>
      <w:r w:rsidR="00387D0B">
        <w:rPr>
          <w:rFonts w:ascii="Times New Roman" w:hAnsi="Times New Roman" w:cs="Times New Roman"/>
          <w:sz w:val="24"/>
          <w:szCs w:val="24"/>
        </w:rPr>
        <w:t>s</w:t>
      </w:r>
      <w:r w:rsidR="00B21C43">
        <w:rPr>
          <w:rFonts w:ascii="Times New Roman" w:hAnsi="Times New Roman" w:cs="Times New Roman"/>
          <w:sz w:val="24"/>
          <w:szCs w:val="24"/>
        </w:rPr>
        <w:t>’</w:t>
      </w:r>
      <w:r>
        <w:rPr>
          <w:rFonts w:ascii="Times New Roman" w:hAnsi="Times New Roman" w:cs="Times New Roman"/>
          <w:sz w:val="24"/>
          <w:szCs w:val="24"/>
        </w:rPr>
        <w:t xml:space="preserve"> counsel </w:t>
      </w:r>
      <w:r w:rsidR="00774303">
        <w:rPr>
          <w:rFonts w:ascii="Times New Roman" w:hAnsi="Times New Roman" w:cs="Times New Roman"/>
          <w:sz w:val="24"/>
          <w:szCs w:val="24"/>
        </w:rPr>
        <w:t xml:space="preserve">objected to their production on the basis that it was not fair to them  since they would not be afforded to comment on the documents. I upheld the </w:t>
      </w:r>
      <w:r w:rsidR="00387D0B">
        <w:rPr>
          <w:rFonts w:ascii="Times New Roman" w:hAnsi="Times New Roman" w:cs="Times New Roman"/>
          <w:sz w:val="24"/>
          <w:szCs w:val="24"/>
        </w:rPr>
        <w:t>respondent’s</w:t>
      </w:r>
      <w:r w:rsidR="00774303">
        <w:rPr>
          <w:rFonts w:ascii="Times New Roman" w:hAnsi="Times New Roman" w:cs="Times New Roman"/>
          <w:sz w:val="24"/>
          <w:szCs w:val="24"/>
        </w:rPr>
        <w:t xml:space="preserve"> objection. The documents were thus not produced before the court. Applicants went on to argue that the original certificates of registration of the applicant’s claim</w:t>
      </w:r>
      <w:r w:rsidR="00F4196D">
        <w:rPr>
          <w:rFonts w:ascii="Times New Roman" w:hAnsi="Times New Roman" w:cs="Times New Roman"/>
          <w:sz w:val="24"/>
          <w:szCs w:val="24"/>
        </w:rPr>
        <w:t>s</w:t>
      </w:r>
      <w:r w:rsidR="00774303">
        <w:rPr>
          <w:rFonts w:ascii="Times New Roman" w:hAnsi="Times New Roman" w:cs="Times New Roman"/>
          <w:sz w:val="24"/>
          <w:szCs w:val="24"/>
        </w:rPr>
        <w:t xml:space="preserve"> were public documents and first and second respondent should have visited the Ministry of Mines and Mining Development and inspected them. He denied that applicant acted in bad faith when it produced legible documents in an answering affidavit. The submissions by the applicant in totality sublimed to the effect that the points </w:t>
      </w:r>
      <w:r w:rsidR="00774303" w:rsidRPr="00774303">
        <w:rPr>
          <w:rFonts w:ascii="Times New Roman" w:hAnsi="Times New Roman" w:cs="Times New Roman"/>
          <w:i/>
          <w:sz w:val="24"/>
          <w:szCs w:val="24"/>
        </w:rPr>
        <w:t>in limine</w:t>
      </w:r>
      <w:r w:rsidR="00774303">
        <w:rPr>
          <w:rFonts w:ascii="Times New Roman" w:hAnsi="Times New Roman" w:cs="Times New Roman"/>
          <w:sz w:val="24"/>
          <w:szCs w:val="24"/>
        </w:rPr>
        <w:t xml:space="preserve"> </w:t>
      </w:r>
      <w:r w:rsidR="00073693">
        <w:rPr>
          <w:rFonts w:ascii="Times New Roman" w:hAnsi="Times New Roman" w:cs="Times New Roman"/>
          <w:sz w:val="24"/>
          <w:szCs w:val="24"/>
        </w:rPr>
        <w:t>had no</w:t>
      </w:r>
      <w:r w:rsidR="00774303">
        <w:rPr>
          <w:rFonts w:ascii="Times New Roman" w:hAnsi="Times New Roman" w:cs="Times New Roman"/>
          <w:sz w:val="24"/>
          <w:szCs w:val="24"/>
        </w:rPr>
        <w:t xml:space="preserve"> merit and that they should be dismissed and that the matter be heard on merit.</w:t>
      </w:r>
    </w:p>
    <w:p w:rsidR="00774303" w:rsidRPr="00073693" w:rsidRDefault="00774303" w:rsidP="00754586">
      <w:pPr>
        <w:spacing w:after="0" w:line="360" w:lineRule="auto"/>
        <w:jc w:val="both"/>
        <w:rPr>
          <w:rFonts w:ascii="Times New Roman" w:hAnsi="Times New Roman" w:cs="Times New Roman"/>
          <w:sz w:val="24"/>
          <w:szCs w:val="24"/>
          <w:u w:val="single"/>
        </w:rPr>
      </w:pPr>
      <w:r w:rsidRPr="00073693">
        <w:rPr>
          <w:rFonts w:ascii="Times New Roman" w:hAnsi="Times New Roman" w:cs="Times New Roman"/>
          <w:sz w:val="24"/>
          <w:szCs w:val="24"/>
          <w:u w:val="single"/>
        </w:rPr>
        <w:t xml:space="preserve">The Law </w:t>
      </w:r>
    </w:p>
    <w:p w:rsidR="00774303" w:rsidRDefault="00774303" w:rsidP="00CC5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two forms of proceedings in this court instituted by </w:t>
      </w:r>
      <w:r w:rsidR="00373C5D">
        <w:rPr>
          <w:rFonts w:ascii="Times New Roman" w:hAnsi="Times New Roman" w:cs="Times New Roman"/>
          <w:sz w:val="24"/>
          <w:szCs w:val="24"/>
        </w:rPr>
        <w:t>either the issue of summons, or</w:t>
      </w:r>
      <w:r>
        <w:rPr>
          <w:rFonts w:ascii="Times New Roman" w:hAnsi="Times New Roman" w:cs="Times New Roman"/>
          <w:sz w:val="24"/>
          <w:szCs w:val="24"/>
        </w:rPr>
        <w:t xml:space="preserve"> application. An action is necessary in all cases where there is a dispute of fact. Where there are disputes of fact it is inappropriate for a court to ascertain the true facts on affidavit. The court will be availed with the opportunity to consider </w:t>
      </w:r>
      <w:r w:rsidR="00073693">
        <w:rPr>
          <w:rFonts w:ascii="Times New Roman" w:hAnsi="Times New Roman" w:cs="Times New Roman"/>
          <w:sz w:val="24"/>
          <w:szCs w:val="24"/>
        </w:rPr>
        <w:t>the credibility of the witnesses.</w:t>
      </w:r>
    </w:p>
    <w:p w:rsidR="00073693" w:rsidRDefault="00073693" w:rsidP="00CC5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dispute of fact arises where one party denies material allegations made by the other and produces or outlines positive evidence to the contrary. Where a party does not proceed by way of application, the court will consider whether there is a dispute of fact but will generally adopt a fairly robust approach to denials made by the respondent.</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Where there is a dispute of fact the court may dismiss the application, order oral evidence, or order the matter to stand over to trial with such orders as to pleadings as it sees fit.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In Horizon Investments (Pvt) Ltd case </w:t>
      </w:r>
      <w:r w:rsidRPr="005A54FB">
        <w:rPr>
          <w:rFonts w:ascii="Times New Roman" w:hAnsi="Times New Roman" w:cs="Times New Roman"/>
          <w:i/>
          <w:sz w:val="24"/>
          <w:szCs w:val="24"/>
        </w:rPr>
        <w:t>supra</w:t>
      </w:r>
      <w:r>
        <w:rPr>
          <w:rFonts w:ascii="Times New Roman" w:hAnsi="Times New Roman" w:cs="Times New Roman"/>
          <w:sz w:val="24"/>
          <w:szCs w:val="24"/>
        </w:rPr>
        <w:t xml:space="preserve">. </w:t>
      </w:r>
      <w:r w:rsidRPr="005A54FB">
        <w:rPr>
          <w:rFonts w:ascii="Times New Roman" w:hAnsi="Times New Roman" w:cs="Times New Roman"/>
          <w:smallCaps/>
          <w:sz w:val="24"/>
          <w:szCs w:val="24"/>
        </w:rPr>
        <w:t>Bartlett j</w:t>
      </w:r>
      <w:r>
        <w:rPr>
          <w:rFonts w:ascii="Times New Roman" w:hAnsi="Times New Roman" w:cs="Times New Roman"/>
          <w:sz w:val="24"/>
          <w:szCs w:val="24"/>
        </w:rPr>
        <w:t xml:space="preserve"> deplored </w:t>
      </w:r>
      <w:r w:rsidR="005A54FB">
        <w:rPr>
          <w:rFonts w:ascii="Times New Roman" w:hAnsi="Times New Roman" w:cs="Times New Roman"/>
          <w:sz w:val="24"/>
          <w:szCs w:val="24"/>
        </w:rPr>
        <w:t>voluminous opposing affidavits where it is clear that there was a dispute of fact. The respondent should simply have ind</w:t>
      </w:r>
      <w:r w:rsidR="00901EB9">
        <w:rPr>
          <w:rFonts w:ascii="Times New Roman" w:hAnsi="Times New Roman" w:cs="Times New Roman"/>
          <w:sz w:val="24"/>
          <w:szCs w:val="24"/>
        </w:rPr>
        <w:t>icated the disputes and not gone</w:t>
      </w:r>
      <w:r w:rsidR="005A54FB">
        <w:rPr>
          <w:rFonts w:ascii="Times New Roman" w:hAnsi="Times New Roman" w:cs="Times New Roman"/>
          <w:sz w:val="24"/>
          <w:szCs w:val="24"/>
        </w:rPr>
        <w:t xml:space="preserve"> into detail. </w:t>
      </w:r>
    </w:p>
    <w:p w:rsidR="005A54FB" w:rsidRDefault="005A54FB" w:rsidP="00CC5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real dispute of fact arises most obviously when the respondent denies material allegations made by the deponents on the applicant’s behalf and produces cogent and positive evidence to the contrary. </w:t>
      </w:r>
    </w:p>
    <w:p w:rsidR="005A54FB" w:rsidRPr="005A54FB" w:rsidRDefault="007C49BA" w:rsidP="0016082B">
      <w:pPr>
        <w:spacing w:after="0" w:line="240" w:lineRule="auto"/>
        <w:ind w:left="1440"/>
        <w:jc w:val="both"/>
        <w:rPr>
          <w:rFonts w:ascii="Times New Roman" w:hAnsi="Times New Roman" w:cs="Times New Roman"/>
        </w:rPr>
      </w:pPr>
      <w:r>
        <w:rPr>
          <w:rFonts w:ascii="Times New Roman" w:hAnsi="Times New Roman" w:cs="Times New Roman"/>
        </w:rPr>
        <w:t>“A</w:t>
      </w:r>
      <w:r w:rsidR="005A54FB" w:rsidRPr="005A54FB">
        <w:rPr>
          <w:rFonts w:ascii="Times New Roman" w:hAnsi="Times New Roman" w:cs="Times New Roman"/>
        </w:rPr>
        <w:t xml:space="preserve"> material dispute of fact arises when such material facts put by the applicant are disputed and traversed by the respondent in such a manner as to leave the court with no ready answer to the dispute between the parties in the absence of further evidence.”</w:t>
      </w:r>
      <w:r w:rsidR="005A54FB" w:rsidRPr="005A54FB">
        <w:rPr>
          <w:rStyle w:val="FootnoteReference"/>
          <w:rFonts w:ascii="Times New Roman" w:hAnsi="Times New Roman" w:cs="Times New Roman"/>
        </w:rPr>
        <w:footnoteReference w:id="15"/>
      </w:r>
    </w:p>
    <w:p w:rsidR="0016082B" w:rsidRDefault="0016082B" w:rsidP="00CC56F7">
      <w:pPr>
        <w:spacing w:after="0" w:line="360" w:lineRule="auto"/>
        <w:ind w:firstLine="720"/>
        <w:jc w:val="both"/>
        <w:rPr>
          <w:rFonts w:ascii="Times New Roman" w:hAnsi="Times New Roman" w:cs="Times New Roman"/>
          <w:sz w:val="24"/>
          <w:szCs w:val="24"/>
        </w:rPr>
      </w:pPr>
    </w:p>
    <w:p w:rsidR="000C5BD9" w:rsidRDefault="005A54FB" w:rsidP="00CC5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it is established by the respondent that applicant approached the court using the wrong procedure and where it is apparent </w:t>
      </w:r>
      <w:r w:rsidR="0016082B">
        <w:rPr>
          <w:rFonts w:ascii="Times New Roman" w:hAnsi="Times New Roman" w:cs="Times New Roman"/>
          <w:sz w:val="24"/>
          <w:szCs w:val="24"/>
        </w:rPr>
        <w:t>that there are material disputes of fact whi</w:t>
      </w:r>
      <w:r w:rsidR="00D41523">
        <w:rPr>
          <w:rFonts w:ascii="Times New Roman" w:hAnsi="Times New Roman" w:cs="Times New Roman"/>
          <w:sz w:val="24"/>
          <w:szCs w:val="24"/>
        </w:rPr>
        <w:t>ch would warrant the court censur</w:t>
      </w:r>
      <w:r w:rsidR="0016082B">
        <w:rPr>
          <w:rFonts w:ascii="Times New Roman" w:hAnsi="Times New Roman" w:cs="Times New Roman"/>
          <w:sz w:val="24"/>
          <w:szCs w:val="24"/>
        </w:rPr>
        <w:t>e the litigant the option would be to dismiss the application.</w:t>
      </w:r>
      <w:r w:rsidR="0016082B">
        <w:rPr>
          <w:rStyle w:val="FootnoteReference"/>
          <w:rFonts w:ascii="Times New Roman" w:hAnsi="Times New Roman" w:cs="Times New Roman"/>
          <w:sz w:val="24"/>
          <w:szCs w:val="24"/>
        </w:rPr>
        <w:footnoteReference w:id="16"/>
      </w:r>
      <w:r w:rsidR="0016082B">
        <w:rPr>
          <w:rFonts w:ascii="Times New Roman" w:hAnsi="Times New Roman" w:cs="Times New Roman"/>
          <w:sz w:val="24"/>
          <w:szCs w:val="24"/>
        </w:rPr>
        <w:t xml:space="preserve"> This is more so where the conflicts of fact are glaring and obvious.</w:t>
      </w:r>
      <w:r w:rsidR="0016082B">
        <w:rPr>
          <w:rStyle w:val="FootnoteReference"/>
          <w:rFonts w:ascii="Times New Roman" w:hAnsi="Times New Roman" w:cs="Times New Roman"/>
          <w:sz w:val="24"/>
          <w:szCs w:val="24"/>
        </w:rPr>
        <w:footnoteReference w:id="17"/>
      </w:r>
      <w:r w:rsidR="0016082B">
        <w:rPr>
          <w:rFonts w:ascii="Times New Roman" w:hAnsi="Times New Roman" w:cs="Times New Roman"/>
          <w:sz w:val="24"/>
          <w:szCs w:val="24"/>
        </w:rPr>
        <w:t xml:space="preserve"> In the Riozim Limited case, </w:t>
      </w:r>
      <w:r w:rsidR="0016082B" w:rsidRPr="0016082B">
        <w:rPr>
          <w:rFonts w:ascii="Times New Roman" w:hAnsi="Times New Roman" w:cs="Times New Roman"/>
          <w:i/>
          <w:sz w:val="24"/>
          <w:szCs w:val="24"/>
        </w:rPr>
        <w:t>supra,</w:t>
      </w:r>
      <w:r w:rsidR="0016082B">
        <w:rPr>
          <w:rFonts w:ascii="Times New Roman" w:hAnsi="Times New Roman" w:cs="Times New Roman"/>
          <w:sz w:val="24"/>
          <w:szCs w:val="24"/>
        </w:rPr>
        <w:t xml:space="preserve"> the application was dismissed and applicant had to institute fresh proceedings by way of summons. This is so where it is shown that applicant should have realised when launching the application that a serious dispute of fact was bound to develop, the court may dismiss the application with costs. </w:t>
      </w:r>
      <w:r w:rsidR="0016082B">
        <w:rPr>
          <w:rStyle w:val="FootnoteReference"/>
          <w:rFonts w:ascii="Times New Roman" w:hAnsi="Times New Roman" w:cs="Times New Roman"/>
          <w:sz w:val="24"/>
          <w:szCs w:val="24"/>
        </w:rPr>
        <w:footnoteReference w:id="18"/>
      </w:r>
      <w:r w:rsidR="007A27D8">
        <w:rPr>
          <w:rFonts w:ascii="Times New Roman" w:hAnsi="Times New Roman" w:cs="Times New Roman"/>
          <w:sz w:val="24"/>
          <w:szCs w:val="24"/>
        </w:rPr>
        <w:t xml:space="preserve"> </w:t>
      </w:r>
    </w:p>
    <w:p w:rsidR="005A54FB" w:rsidRDefault="000C5BD9" w:rsidP="00CC5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7A27D8">
        <w:rPr>
          <w:rFonts w:ascii="Times New Roman" w:hAnsi="Times New Roman" w:cs="Times New Roman"/>
          <w:sz w:val="24"/>
          <w:szCs w:val="24"/>
        </w:rPr>
        <w:t xml:space="preserve">n the aspect of illegible documents the position of this court is that r 227 (1) (a) of the High Court Rules specifically provides for the filing of legible affidavits. It is further added that this rule may be extended to mean that wherever possible original documents ought to be attached to the founding affidavit for the court’s copy so that all parties </w:t>
      </w:r>
      <w:r>
        <w:rPr>
          <w:rFonts w:ascii="Times New Roman" w:hAnsi="Times New Roman" w:cs="Times New Roman"/>
          <w:sz w:val="24"/>
          <w:szCs w:val="24"/>
        </w:rPr>
        <w:t>can safely access them as and when necessary. The applicant must avail complete information, else it will be guilty of “material non-disclosure, malafide and dishonesty”</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in any case the applicant is required to make his or her case in the founding affidavit. </w:t>
      </w:r>
    </w:p>
    <w:p w:rsidR="000C5BD9" w:rsidRDefault="000C5BD9" w:rsidP="00CC5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a litigant to bring new evidence in an answering affidavit the position of this court is that such practice i</w:t>
      </w:r>
      <w:r w:rsidR="00FD2BB7">
        <w:rPr>
          <w:rFonts w:ascii="Times New Roman" w:hAnsi="Times New Roman" w:cs="Times New Roman"/>
          <w:sz w:val="24"/>
          <w:szCs w:val="24"/>
        </w:rPr>
        <w:t>s frowned against by this court.</w:t>
      </w:r>
      <w:r w:rsidR="00FD2BB7">
        <w:rPr>
          <w:rStyle w:val="FootnoteReference"/>
          <w:rFonts w:ascii="Times New Roman" w:hAnsi="Times New Roman" w:cs="Times New Roman"/>
          <w:sz w:val="24"/>
          <w:szCs w:val="24"/>
        </w:rPr>
        <w:footnoteReference w:id="20"/>
      </w:r>
      <w:r w:rsidR="00FD2BB7">
        <w:rPr>
          <w:rFonts w:ascii="Times New Roman" w:hAnsi="Times New Roman" w:cs="Times New Roman"/>
          <w:sz w:val="24"/>
          <w:szCs w:val="24"/>
        </w:rPr>
        <w:t xml:space="preserve"> The applicant’s counsel conce</w:t>
      </w:r>
      <w:r w:rsidR="00580946">
        <w:rPr>
          <w:rFonts w:ascii="Times New Roman" w:hAnsi="Times New Roman" w:cs="Times New Roman"/>
          <w:sz w:val="24"/>
          <w:szCs w:val="24"/>
        </w:rPr>
        <w:t>ded on this aspect and consented</w:t>
      </w:r>
      <w:r w:rsidR="00FD2BB7">
        <w:rPr>
          <w:rFonts w:ascii="Times New Roman" w:hAnsi="Times New Roman" w:cs="Times New Roman"/>
          <w:sz w:val="24"/>
          <w:szCs w:val="24"/>
        </w:rPr>
        <w:t xml:space="preserve"> to have every new document annexed to the answering affidavit disregarded. </w:t>
      </w:r>
    </w:p>
    <w:p w:rsidR="00CB68BB" w:rsidRDefault="00CB68BB" w:rsidP="00CC56F7">
      <w:pPr>
        <w:spacing w:after="0" w:line="360" w:lineRule="auto"/>
        <w:ind w:firstLine="720"/>
        <w:jc w:val="both"/>
        <w:rPr>
          <w:rFonts w:ascii="Times New Roman" w:hAnsi="Times New Roman" w:cs="Times New Roman"/>
          <w:sz w:val="24"/>
          <w:szCs w:val="24"/>
        </w:rPr>
      </w:pPr>
    </w:p>
    <w:p w:rsidR="00CB68BB" w:rsidRDefault="00CB68BB" w:rsidP="00CC56F7">
      <w:pPr>
        <w:spacing w:after="0" w:line="360" w:lineRule="auto"/>
        <w:ind w:firstLine="720"/>
        <w:jc w:val="both"/>
        <w:rPr>
          <w:rFonts w:ascii="Times New Roman" w:hAnsi="Times New Roman" w:cs="Times New Roman"/>
          <w:sz w:val="24"/>
          <w:szCs w:val="24"/>
        </w:rPr>
      </w:pPr>
    </w:p>
    <w:p w:rsidR="00CB68BB" w:rsidRDefault="00CB68BB" w:rsidP="00CC56F7">
      <w:pPr>
        <w:spacing w:after="0" w:line="360" w:lineRule="auto"/>
        <w:ind w:firstLine="720"/>
        <w:jc w:val="both"/>
        <w:rPr>
          <w:rFonts w:ascii="Times New Roman" w:hAnsi="Times New Roman" w:cs="Times New Roman"/>
          <w:sz w:val="24"/>
          <w:szCs w:val="24"/>
        </w:rPr>
      </w:pPr>
    </w:p>
    <w:p w:rsidR="00FD2BB7" w:rsidRPr="00754586" w:rsidRDefault="00FD2BB7" w:rsidP="00754586">
      <w:pPr>
        <w:spacing w:after="0" w:line="360" w:lineRule="auto"/>
        <w:jc w:val="both"/>
        <w:rPr>
          <w:rFonts w:ascii="Times New Roman" w:hAnsi="Times New Roman" w:cs="Times New Roman"/>
          <w:sz w:val="24"/>
          <w:szCs w:val="24"/>
          <w:u w:val="single"/>
        </w:rPr>
      </w:pPr>
      <w:r w:rsidRPr="00754586">
        <w:rPr>
          <w:rFonts w:ascii="Times New Roman" w:hAnsi="Times New Roman" w:cs="Times New Roman"/>
          <w:sz w:val="24"/>
          <w:szCs w:val="24"/>
          <w:u w:val="single"/>
        </w:rPr>
        <w:lastRenderedPageBreak/>
        <w:t xml:space="preserve">Application of law to the facts </w:t>
      </w:r>
    </w:p>
    <w:p w:rsidR="00FD2BB7" w:rsidRDefault="00FD2BB7" w:rsidP="00CC5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dealt with facts almost similar, if not identical to the facts herein, in the matter of </w:t>
      </w:r>
      <w:r w:rsidR="00F10362" w:rsidRPr="00FC6E09">
        <w:rPr>
          <w:rFonts w:ascii="Times New Roman" w:hAnsi="Times New Roman" w:cs="Times New Roman"/>
          <w:i/>
          <w:sz w:val="24"/>
          <w:szCs w:val="24"/>
        </w:rPr>
        <w:t>Mukurira</w:t>
      </w:r>
      <w:r w:rsidR="00F10362">
        <w:rPr>
          <w:rFonts w:ascii="Times New Roman" w:hAnsi="Times New Roman" w:cs="Times New Roman"/>
          <w:sz w:val="24"/>
          <w:szCs w:val="24"/>
        </w:rPr>
        <w:t xml:space="preserve"> v </w:t>
      </w:r>
      <w:r w:rsidR="00F10362" w:rsidRPr="00FC6E09">
        <w:rPr>
          <w:rFonts w:ascii="Times New Roman" w:hAnsi="Times New Roman" w:cs="Times New Roman"/>
          <w:i/>
          <w:sz w:val="24"/>
          <w:szCs w:val="24"/>
        </w:rPr>
        <w:t>Jin Yanga Mining (Pvt) Ltd</w:t>
      </w:r>
      <w:r w:rsidR="00F10362">
        <w:rPr>
          <w:rFonts w:ascii="Times New Roman" w:hAnsi="Times New Roman" w:cs="Times New Roman"/>
          <w:sz w:val="24"/>
          <w:szCs w:val="24"/>
        </w:rPr>
        <w:t xml:space="preserve"> </w:t>
      </w:r>
      <w:r w:rsidR="00F10362" w:rsidRPr="00F10362">
        <w:rPr>
          <w:rFonts w:ascii="Times New Roman" w:hAnsi="Times New Roman" w:cs="Times New Roman"/>
          <w:i/>
          <w:sz w:val="24"/>
          <w:szCs w:val="24"/>
        </w:rPr>
        <w:t>supra</w:t>
      </w:r>
      <w:r w:rsidR="00F10362">
        <w:rPr>
          <w:rFonts w:ascii="Times New Roman" w:hAnsi="Times New Roman" w:cs="Times New Roman"/>
          <w:sz w:val="24"/>
          <w:szCs w:val="24"/>
        </w:rPr>
        <w:t xml:space="preserve"> cited by the first and second respondents where th</w:t>
      </w:r>
      <w:r w:rsidR="00FC6E09">
        <w:rPr>
          <w:rFonts w:ascii="Times New Roman" w:hAnsi="Times New Roman" w:cs="Times New Roman"/>
          <w:sz w:val="24"/>
          <w:szCs w:val="24"/>
        </w:rPr>
        <w:t>e court concluded and held that:</w:t>
      </w:r>
    </w:p>
    <w:p w:rsidR="00F10362" w:rsidRPr="00F10362" w:rsidRDefault="00F10362" w:rsidP="00F10362">
      <w:pPr>
        <w:spacing w:after="0" w:line="240" w:lineRule="auto"/>
        <w:ind w:firstLine="720"/>
        <w:jc w:val="both"/>
        <w:rPr>
          <w:rFonts w:ascii="Times New Roman" w:hAnsi="Times New Roman" w:cs="Times New Roman"/>
        </w:rPr>
      </w:pPr>
      <w:r w:rsidRPr="00F10362">
        <w:rPr>
          <w:rFonts w:ascii="Times New Roman" w:hAnsi="Times New Roman" w:cs="Times New Roman"/>
        </w:rPr>
        <w:t>“as matters stand this court has the following unanswered questions:</w:t>
      </w:r>
    </w:p>
    <w:p w:rsidR="00F10362" w:rsidRPr="00F10362" w:rsidRDefault="00F10362" w:rsidP="00F10362">
      <w:pPr>
        <w:pStyle w:val="ListParagraph"/>
        <w:numPr>
          <w:ilvl w:val="0"/>
          <w:numId w:val="12"/>
        </w:numPr>
        <w:spacing w:after="0" w:line="240" w:lineRule="auto"/>
        <w:jc w:val="both"/>
        <w:rPr>
          <w:rFonts w:ascii="Times New Roman" w:hAnsi="Times New Roman" w:cs="Times New Roman"/>
        </w:rPr>
      </w:pPr>
      <w:r w:rsidRPr="00F10362">
        <w:rPr>
          <w:rFonts w:ascii="Times New Roman" w:hAnsi="Times New Roman" w:cs="Times New Roman"/>
        </w:rPr>
        <w:t>W</w:t>
      </w:r>
      <w:r w:rsidR="00CB68BB">
        <w:rPr>
          <w:rFonts w:ascii="Times New Roman" w:hAnsi="Times New Roman" w:cs="Times New Roman"/>
        </w:rPr>
        <w:t>here axactly is the respondent</w:t>
      </w:r>
      <w:r w:rsidRPr="00F10362">
        <w:rPr>
          <w:rFonts w:ascii="Times New Roman" w:hAnsi="Times New Roman" w:cs="Times New Roman"/>
        </w:rPr>
        <w:t xml:space="preserve"> mining?</w:t>
      </w:r>
    </w:p>
    <w:p w:rsidR="00F10362" w:rsidRPr="00F10362" w:rsidRDefault="00F10362" w:rsidP="00F10362">
      <w:pPr>
        <w:pStyle w:val="ListParagraph"/>
        <w:numPr>
          <w:ilvl w:val="0"/>
          <w:numId w:val="12"/>
        </w:numPr>
        <w:spacing w:after="0" w:line="240" w:lineRule="auto"/>
        <w:jc w:val="both"/>
        <w:rPr>
          <w:rFonts w:ascii="Times New Roman" w:hAnsi="Times New Roman" w:cs="Times New Roman"/>
        </w:rPr>
      </w:pPr>
      <w:r w:rsidRPr="00F10362">
        <w:rPr>
          <w:rFonts w:ascii="Times New Roman" w:hAnsi="Times New Roman" w:cs="Times New Roman"/>
        </w:rPr>
        <w:t>Is the respondent trespassing on applicant’s claims?</w:t>
      </w:r>
    </w:p>
    <w:p w:rsidR="00F10362" w:rsidRPr="00F10362" w:rsidRDefault="00F10362" w:rsidP="00F10362">
      <w:pPr>
        <w:pStyle w:val="ListParagraph"/>
        <w:numPr>
          <w:ilvl w:val="0"/>
          <w:numId w:val="12"/>
        </w:numPr>
        <w:spacing w:after="0" w:line="240" w:lineRule="auto"/>
        <w:jc w:val="both"/>
        <w:rPr>
          <w:rFonts w:ascii="Times New Roman" w:hAnsi="Times New Roman" w:cs="Times New Roman"/>
        </w:rPr>
      </w:pPr>
      <w:r w:rsidRPr="00F10362">
        <w:rPr>
          <w:rFonts w:ascii="Times New Roman" w:hAnsi="Times New Roman" w:cs="Times New Roman"/>
        </w:rPr>
        <w:t>Where is the factual basis for such conclusion?</w:t>
      </w:r>
    </w:p>
    <w:p w:rsidR="00F10362" w:rsidRPr="00F10362" w:rsidRDefault="00F10362" w:rsidP="00F10362">
      <w:pPr>
        <w:pStyle w:val="ListParagraph"/>
        <w:numPr>
          <w:ilvl w:val="0"/>
          <w:numId w:val="12"/>
        </w:numPr>
        <w:spacing w:after="0" w:line="240" w:lineRule="auto"/>
        <w:jc w:val="both"/>
        <w:rPr>
          <w:rFonts w:ascii="Times New Roman" w:hAnsi="Times New Roman" w:cs="Times New Roman"/>
        </w:rPr>
      </w:pPr>
      <w:r w:rsidRPr="00F10362">
        <w:rPr>
          <w:rFonts w:ascii="Times New Roman" w:hAnsi="Times New Roman" w:cs="Times New Roman"/>
        </w:rPr>
        <w:t>Should the court take applicant’s mere say so and grant the provisional order?</w:t>
      </w:r>
    </w:p>
    <w:p w:rsidR="00F10362" w:rsidRDefault="00F10362" w:rsidP="00F10362">
      <w:pPr>
        <w:pStyle w:val="ListParagraph"/>
        <w:numPr>
          <w:ilvl w:val="0"/>
          <w:numId w:val="12"/>
        </w:numPr>
        <w:spacing w:after="0" w:line="240" w:lineRule="auto"/>
        <w:jc w:val="both"/>
        <w:rPr>
          <w:rFonts w:ascii="Times New Roman" w:hAnsi="Times New Roman" w:cs="Times New Roman"/>
        </w:rPr>
      </w:pPr>
      <w:r w:rsidRPr="00F10362">
        <w:rPr>
          <w:rFonts w:ascii="Times New Roman" w:hAnsi="Times New Roman" w:cs="Times New Roman"/>
        </w:rPr>
        <w:t>If this court can take applicant’s mere say so that respondent is encroaching what about respondent’s own mere say that it is not encroaching?”</w:t>
      </w:r>
    </w:p>
    <w:p w:rsidR="00754586" w:rsidRPr="00F10362" w:rsidRDefault="00754586" w:rsidP="00754586">
      <w:pPr>
        <w:pStyle w:val="ListParagraph"/>
        <w:spacing w:after="0" w:line="240" w:lineRule="auto"/>
        <w:ind w:left="1503"/>
        <w:jc w:val="both"/>
        <w:rPr>
          <w:rFonts w:ascii="Times New Roman" w:hAnsi="Times New Roman" w:cs="Times New Roman"/>
        </w:rPr>
      </w:pPr>
    </w:p>
    <w:p w:rsidR="00F10362" w:rsidRDefault="00F10362" w:rsidP="00F10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raised three critical areas of factual disputes </w:t>
      </w:r>
      <w:r w:rsidR="00FC6E09">
        <w:rPr>
          <w:rFonts w:ascii="Times New Roman" w:hAnsi="Times New Roman" w:cs="Times New Roman"/>
          <w:sz w:val="24"/>
          <w:szCs w:val="24"/>
        </w:rPr>
        <w:t xml:space="preserve">pertaining encroaching, interference, removal of ore and the area covered by first and second </w:t>
      </w:r>
      <w:r w:rsidR="00387D0B">
        <w:rPr>
          <w:rFonts w:ascii="Times New Roman" w:hAnsi="Times New Roman" w:cs="Times New Roman"/>
          <w:sz w:val="24"/>
          <w:szCs w:val="24"/>
        </w:rPr>
        <w:t>respondent’s</w:t>
      </w:r>
      <w:r w:rsidR="00FC6E09">
        <w:rPr>
          <w:rFonts w:ascii="Times New Roman" w:hAnsi="Times New Roman" w:cs="Times New Roman"/>
          <w:sz w:val="24"/>
          <w:szCs w:val="24"/>
        </w:rPr>
        <w:t xml:space="preserve"> special grant. These disputes are so material to the consideration relating to the applicant’s </w:t>
      </w:r>
      <w:r w:rsidR="00FC6E09" w:rsidRPr="00FC6E09">
        <w:rPr>
          <w:rFonts w:ascii="Times New Roman" w:hAnsi="Times New Roman" w:cs="Times New Roman"/>
          <w:i/>
          <w:sz w:val="24"/>
          <w:szCs w:val="24"/>
        </w:rPr>
        <w:t>prima facie</w:t>
      </w:r>
      <w:r w:rsidR="00DC1C95">
        <w:rPr>
          <w:rFonts w:ascii="Times New Roman" w:hAnsi="Times New Roman" w:cs="Times New Roman"/>
          <w:sz w:val="24"/>
          <w:szCs w:val="24"/>
        </w:rPr>
        <w:t xml:space="preserve"> right which is</w:t>
      </w:r>
      <w:r w:rsidR="00FC6E09">
        <w:rPr>
          <w:rFonts w:ascii="Times New Roman" w:hAnsi="Times New Roman" w:cs="Times New Roman"/>
          <w:sz w:val="24"/>
          <w:szCs w:val="24"/>
        </w:rPr>
        <w:t xml:space="preserve"> one of the requirements to be established in an application of an interdict. The applicant in its own affidavit clearly admits that the matter or dispute is already before the fourth respondent for deliberation. I agree with the first respondent that these facts are so fundamental to the determination of this matter and requires oral evidence from the Provincial Mining Director to establish more particularly whether the first and second </w:t>
      </w:r>
      <w:r w:rsidR="00387D0B">
        <w:rPr>
          <w:rFonts w:ascii="Times New Roman" w:hAnsi="Times New Roman" w:cs="Times New Roman"/>
          <w:sz w:val="24"/>
          <w:szCs w:val="24"/>
        </w:rPr>
        <w:t>respondent’s</w:t>
      </w:r>
      <w:r w:rsidR="00DC1C95">
        <w:rPr>
          <w:rFonts w:ascii="Times New Roman" w:hAnsi="Times New Roman" w:cs="Times New Roman"/>
          <w:sz w:val="24"/>
          <w:szCs w:val="24"/>
        </w:rPr>
        <w:t xml:space="preserve"> special grant is super-</w:t>
      </w:r>
      <w:r w:rsidR="00FC6E09">
        <w:rPr>
          <w:rFonts w:ascii="Times New Roman" w:hAnsi="Times New Roman" w:cs="Times New Roman"/>
          <w:sz w:val="24"/>
          <w:szCs w:val="24"/>
        </w:rPr>
        <w:t xml:space="preserve">imposed on the applicant’s claims to provide diagrams as well as beacons for each claimant. This entails real evidence which does not exist on the current documents produced in support of the application. </w:t>
      </w:r>
    </w:p>
    <w:p w:rsidR="00FC6E09" w:rsidRDefault="00FC6E09" w:rsidP="00F10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the first and second </w:t>
      </w:r>
      <w:r w:rsidR="00387D0B">
        <w:rPr>
          <w:rFonts w:ascii="Times New Roman" w:hAnsi="Times New Roman" w:cs="Times New Roman"/>
          <w:sz w:val="24"/>
          <w:szCs w:val="24"/>
        </w:rPr>
        <w:t>respondent’s</w:t>
      </w:r>
      <w:r>
        <w:rPr>
          <w:rFonts w:ascii="Times New Roman" w:hAnsi="Times New Roman" w:cs="Times New Roman"/>
          <w:sz w:val="24"/>
          <w:szCs w:val="24"/>
        </w:rPr>
        <w:t xml:space="preserve"> contention holds substance and the applicant should have realised that the </w:t>
      </w:r>
      <w:r w:rsidR="002A1BC4">
        <w:rPr>
          <w:rFonts w:ascii="Times New Roman" w:hAnsi="Times New Roman" w:cs="Times New Roman"/>
          <w:sz w:val="24"/>
          <w:szCs w:val="24"/>
        </w:rPr>
        <w:t xml:space="preserve">intended application was replete with contentious disputes of fact. Hence I am satisfied </w:t>
      </w:r>
      <w:r w:rsidR="002D04AB">
        <w:rPr>
          <w:rFonts w:ascii="Times New Roman" w:hAnsi="Times New Roman" w:cs="Times New Roman"/>
          <w:sz w:val="24"/>
          <w:szCs w:val="24"/>
        </w:rPr>
        <w:t xml:space="preserve">further </w:t>
      </w:r>
      <w:r w:rsidR="002A1BC4">
        <w:rPr>
          <w:rFonts w:ascii="Times New Roman" w:hAnsi="Times New Roman" w:cs="Times New Roman"/>
          <w:sz w:val="24"/>
          <w:szCs w:val="24"/>
        </w:rPr>
        <w:t xml:space="preserve">that the applicant chose an </w:t>
      </w:r>
      <w:r w:rsidR="002D04AB">
        <w:rPr>
          <w:rFonts w:ascii="Times New Roman" w:hAnsi="Times New Roman" w:cs="Times New Roman"/>
          <w:sz w:val="24"/>
          <w:szCs w:val="24"/>
        </w:rPr>
        <w:t>in</w:t>
      </w:r>
      <w:r w:rsidR="002A1BC4">
        <w:rPr>
          <w:rFonts w:ascii="Times New Roman" w:hAnsi="Times New Roman" w:cs="Times New Roman"/>
          <w:sz w:val="24"/>
          <w:szCs w:val="24"/>
        </w:rPr>
        <w:t>appropriate procedure of bringing this matter as an application. It ought to have proceeded by way of action thus requiring oral evidence to be led. I dismiss the applicant’s averments that first and second respondents are just raising a bare denial on the facts. The facts alluded to by first and second respondent</w:t>
      </w:r>
      <w:r w:rsidR="001C4FC2">
        <w:rPr>
          <w:rFonts w:ascii="Times New Roman" w:hAnsi="Times New Roman" w:cs="Times New Roman"/>
          <w:sz w:val="24"/>
          <w:szCs w:val="24"/>
        </w:rPr>
        <w:t>s</w:t>
      </w:r>
      <w:r w:rsidR="002A1BC4">
        <w:rPr>
          <w:rFonts w:ascii="Times New Roman" w:hAnsi="Times New Roman" w:cs="Times New Roman"/>
          <w:sz w:val="24"/>
          <w:szCs w:val="24"/>
        </w:rPr>
        <w:t xml:space="preserve"> are substantially material. I hold therefore that there are material disputes of fact which are incapable of resolution on paper. </w:t>
      </w:r>
    </w:p>
    <w:p w:rsidR="002A1BC4" w:rsidRDefault="002A1BC4" w:rsidP="00F10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aspect raised by the first and second respondents as preliminary points equally gravely affect the application. </w:t>
      </w:r>
      <w:r w:rsidR="00973779">
        <w:rPr>
          <w:rFonts w:ascii="Times New Roman" w:hAnsi="Times New Roman" w:cs="Times New Roman"/>
          <w:sz w:val="24"/>
          <w:szCs w:val="24"/>
        </w:rPr>
        <w:t>The lack of legible documents f</w:t>
      </w:r>
      <w:r>
        <w:rPr>
          <w:rFonts w:ascii="Times New Roman" w:hAnsi="Times New Roman" w:cs="Times New Roman"/>
          <w:sz w:val="24"/>
          <w:szCs w:val="24"/>
        </w:rPr>
        <w:t xml:space="preserve">iled by the applicant affects the applicant’s application. The applicant has failed to outline the requirements for an interim order due to poor presentation of facts supported by documentary evidence. An application must stand or fall on its founding affidavit. If evidence attached to the answering </w:t>
      </w:r>
      <w:r>
        <w:rPr>
          <w:rFonts w:ascii="Times New Roman" w:hAnsi="Times New Roman" w:cs="Times New Roman"/>
          <w:sz w:val="24"/>
          <w:szCs w:val="24"/>
        </w:rPr>
        <w:lastRenderedPageBreak/>
        <w:t xml:space="preserve">affidavit filed on behalf of the applicant is disregarded </w:t>
      </w:r>
      <w:r w:rsidR="00557C78">
        <w:rPr>
          <w:rFonts w:ascii="Times New Roman" w:hAnsi="Times New Roman" w:cs="Times New Roman"/>
          <w:sz w:val="24"/>
          <w:szCs w:val="24"/>
        </w:rPr>
        <w:t>by this court then the applicant has failed to prove that it owns the claims where it alleges it is being interfered with and where first and second respondents are invading and removing ore. In the absence of supporting documents that is legible certificates of registration, the applicant cannot argue that there are no dispute</w:t>
      </w:r>
      <w:r w:rsidR="00B36810">
        <w:rPr>
          <w:rFonts w:ascii="Times New Roman" w:hAnsi="Times New Roman" w:cs="Times New Roman"/>
          <w:sz w:val="24"/>
          <w:szCs w:val="24"/>
        </w:rPr>
        <w:t>s</w:t>
      </w:r>
      <w:r w:rsidR="00557C78">
        <w:rPr>
          <w:rFonts w:ascii="Times New Roman" w:hAnsi="Times New Roman" w:cs="Times New Roman"/>
          <w:sz w:val="24"/>
          <w:szCs w:val="24"/>
        </w:rPr>
        <w:t xml:space="preserve"> of facts more particularly relating to the issue of extend of its claims.</w:t>
      </w:r>
    </w:p>
    <w:p w:rsidR="00557C78" w:rsidRDefault="00557C78" w:rsidP="00F10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preliminary points raised by the first and second respondents are meritorious and are upheld.</w:t>
      </w:r>
    </w:p>
    <w:p w:rsidR="00EC2277" w:rsidRDefault="00557C78" w:rsidP="00F10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respondents had prayed for costs on attorney client scale. It can be noted that the applicant is the one who approached the Provincial M</w:t>
      </w:r>
      <w:r w:rsidR="00526878">
        <w:rPr>
          <w:rFonts w:ascii="Times New Roman" w:hAnsi="Times New Roman" w:cs="Times New Roman"/>
          <w:sz w:val="24"/>
          <w:szCs w:val="24"/>
        </w:rPr>
        <w:t>ining Director to resolve the im</w:t>
      </w:r>
      <w:r>
        <w:rPr>
          <w:rFonts w:ascii="Times New Roman" w:hAnsi="Times New Roman" w:cs="Times New Roman"/>
          <w:sz w:val="24"/>
          <w:szCs w:val="24"/>
        </w:rPr>
        <w:t xml:space="preserve">passe between itself and the respondents. It </w:t>
      </w:r>
      <w:r w:rsidR="00EC2277">
        <w:rPr>
          <w:rFonts w:ascii="Times New Roman" w:hAnsi="Times New Roman" w:cs="Times New Roman"/>
          <w:sz w:val="24"/>
          <w:szCs w:val="24"/>
        </w:rPr>
        <w:t>then decide</w:t>
      </w:r>
      <w:r w:rsidR="00737651">
        <w:rPr>
          <w:rFonts w:ascii="Times New Roman" w:hAnsi="Times New Roman" w:cs="Times New Roman"/>
          <w:sz w:val="24"/>
          <w:szCs w:val="24"/>
        </w:rPr>
        <w:t>d</w:t>
      </w:r>
      <w:r>
        <w:rPr>
          <w:rFonts w:ascii="Times New Roman" w:hAnsi="Times New Roman" w:cs="Times New Roman"/>
          <w:sz w:val="24"/>
          <w:szCs w:val="24"/>
        </w:rPr>
        <w:t xml:space="preserve"> to bring this application to this court in circumstances that show that there are material disputes of facts. Ordinarily costs follow the result </w:t>
      </w:r>
      <w:r w:rsidR="0007058A">
        <w:rPr>
          <w:rFonts w:ascii="Times New Roman" w:hAnsi="Times New Roman" w:cs="Times New Roman"/>
          <w:sz w:val="24"/>
          <w:szCs w:val="24"/>
        </w:rPr>
        <w:t>or outcome of the matter but on</w:t>
      </w:r>
      <w:r>
        <w:rPr>
          <w:rFonts w:ascii="Times New Roman" w:hAnsi="Times New Roman" w:cs="Times New Roman"/>
          <w:sz w:val="24"/>
          <w:szCs w:val="24"/>
        </w:rPr>
        <w:t xml:space="preserve"> award costs </w:t>
      </w:r>
      <w:r w:rsidR="00EC2277">
        <w:rPr>
          <w:rFonts w:ascii="Times New Roman" w:hAnsi="Times New Roman" w:cs="Times New Roman"/>
          <w:sz w:val="24"/>
          <w:szCs w:val="24"/>
        </w:rPr>
        <w:t>on attorney-client scale will be punishing the applicant who merely followed the advice of its legal practitioner</w:t>
      </w:r>
      <w:r w:rsidR="004B3B37">
        <w:rPr>
          <w:rFonts w:ascii="Times New Roman" w:hAnsi="Times New Roman" w:cs="Times New Roman"/>
          <w:sz w:val="24"/>
          <w:szCs w:val="24"/>
        </w:rPr>
        <w:t>s</w:t>
      </w:r>
      <w:r w:rsidR="00EC2277">
        <w:rPr>
          <w:rFonts w:ascii="Times New Roman" w:hAnsi="Times New Roman" w:cs="Times New Roman"/>
          <w:sz w:val="24"/>
          <w:szCs w:val="24"/>
        </w:rPr>
        <w:t>. In the interests of justice costs would be at an ordinary scale. One would not say that the application was frivolous given the honest belief of the applicant that it was a registered owner of gold claims.</w:t>
      </w:r>
    </w:p>
    <w:p w:rsidR="00FF5C5F" w:rsidRPr="00754586" w:rsidRDefault="00EC2277" w:rsidP="00EC2277">
      <w:pPr>
        <w:spacing w:after="0" w:line="360" w:lineRule="auto"/>
        <w:jc w:val="both"/>
        <w:rPr>
          <w:rFonts w:ascii="Times New Roman" w:hAnsi="Times New Roman" w:cs="Times New Roman"/>
          <w:sz w:val="24"/>
          <w:szCs w:val="24"/>
          <w:u w:val="single"/>
        </w:rPr>
      </w:pPr>
      <w:r w:rsidRPr="00754586">
        <w:rPr>
          <w:rFonts w:ascii="Times New Roman" w:hAnsi="Times New Roman" w:cs="Times New Roman"/>
          <w:sz w:val="24"/>
          <w:szCs w:val="24"/>
          <w:u w:val="single"/>
        </w:rPr>
        <w:t>DISPOSITION</w:t>
      </w:r>
    </w:p>
    <w:p w:rsidR="00EC2277" w:rsidRDefault="00EC2277" w:rsidP="00EC22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EC2277" w:rsidRDefault="00EC2277" w:rsidP="00EC2277">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and second </w:t>
      </w:r>
      <w:r w:rsidR="00387D0B">
        <w:rPr>
          <w:rFonts w:ascii="Times New Roman" w:hAnsi="Times New Roman" w:cs="Times New Roman"/>
          <w:sz w:val="24"/>
          <w:szCs w:val="24"/>
        </w:rPr>
        <w:t>respondent’s</w:t>
      </w:r>
      <w:r>
        <w:rPr>
          <w:rFonts w:ascii="Times New Roman" w:hAnsi="Times New Roman" w:cs="Times New Roman"/>
          <w:sz w:val="24"/>
          <w:szCs w:val="24"/>
        </w:rPr>
        <w:t xml:space="preserve"> preliminary points are all upheld.</w:t>
      </w:r>
    </w:p>
    <w:p w:rsidR="00EC2277" w:rsidRDefault="00EC2277" w:rsidP="00EC2277">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application for an Interdict is dismissed with costs.</w:t>
      </w:r>
    </w:p>
    <w:p w:rsidR="00506312" w:rsidRPr="00E7240D" w:rsidRDefault="00506312" w:rsidP="00506312">
      <w:pPr>
        <w:spacing w:after="0" w:line="360" w:lineRule="auto"/>
        <w:jc w:val="both"/>
        <w:rPr>
          <w:rFonts w:ascii="Times New Roman" w:hAnsi="Times New Roman" w:cs="Times New Roman"/>
          <w:sz w:val="24"/>
        </w:rPr>
      </w:pPr>
    </w:p>
    <w:p w:rsidR="003810C9" w:rsidRDefault="003810C9" w:rsidP="00506312">
      <w:pPr>
        <w:spacing w:after="0" w:line="360" w:lineRule="auto"/>
        <w:jc w:val="both"/>
        <w:rPr>
          <w:rFonts w:ascii="Times New Roman" w:hAnsi="Times New Roman" w:cs="Times New Roman"/>
          <w:sz w:val="24"/>
          <w:szCs w:val="24"/>
        </w:rPr>
      </w:pPr>
    </w:p>
    <w:p w:rsidR="00506312" w:rsidRDefault="00506312" w:rsidP="00506312">
      <w:pPr>
        <w:spacing w:after="0" w:line="360" w:lineRule="auto"/>
        <w:jc w:val="both"/>
        <w:rPr>
          <w:rFonts w:ascii="Times New Roman" w:hAnsi="Times New Roman" w:cs="Times New Roman"/>
          <w:sz w:val="24"/>
          <w:szCs w:val="24"/>
        </w:rPr>
      </w:pPr>
    </w:p>
    <w:p w:rsidR="00907F48" w:rsidRDefault="00907F48" w:rsidP="00506312">
      <w:pPr>
        <w:spacing w:after="0" w:line="360" w:lineRule="auto"/>
        <w:jc w:val="both"/>
        <w:rPr>
          <w:rFonts w:ascii="Times New Roman" w:hAnsi="Times New Roman" w:cs="Times New Roman"/>
          <w:sz w:val="24"/>
          <w:szCs w:val="24"/>
        </w:rPr>
      </w:pPr>
    </w:p>
    <w:p w:rsidR="00506312" w:rsidRDefault="00E7240D" w:rsidP="003179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Chimwa</w:t>
      </w:r>
      <w:r w:rsidR="00907F48">
        <w:rPr>
          <w:rFonts w:ascii="Times New Roman" w:hAnsi="Times New Roman" w:cs="Times New Roman"/>
          <w:i/>
          <w:sz w:val="24"/>
          <w:szCs w:val="24"/>
        </w:rPr>
        <w:t>mu</w:t>
      </w:r>
      <w:r>
        <w:rPr>
          <w:rFonts w:ascii="Times New Roman" w:hAnsi="Times New Roman" w:cs="Times New Roman"/>
          <w:i/>
          <w:sz w:val="24"/>
          <w:szCs w:val="24"/>
        </w:rPr>
        <w:t>rombe Legal Practitioners</w:t>
      </w:r>
      <w:r w:rsidR="00506312">
        <w:rPr>
          <w:rFonts w:ascii="Times New Roman" w:hAnsi="Times New Roman" w:cs="Times New Roman"/>
          <w:sz w:val="24"/>
          <w:szCs w:val="24"/>
        </w:rPr>
        <w:t>, applicant’s legal practitioners</w:t>
      </w:r>
    </w:p>
    <w:p w:rsidR="00AE2A89" w:rsidRDefault="00E7240D" w:rsidP="00E724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Pfigu Attorneys</w:t>
      </w:r>
      <w:r w:rsidR="00506312">
        <w:rPr>
          <w:rFonts w:ascii="Times New Roman" w:hAnsi="Times New Roman" w:cs="Times New Roman"/>
          <w:sz w:val="24"/>
          <w:szCs w:val="24"/>
        </w:rPr>
        <w:t xml:space="preserve">, </w:t>
      </w:r>
      <w:r w:rsidR="00710C75">
        <w:rPr>
          <w:rFonts w:ascii="Times New Roman" w:hAnsi="Times New Roman" w:cs="Times New Roman"/>
          <w:sz w:val="24"/>
          <w:szCs w:val="24"/>
        </w:rPr>
        <w:t>first</w:t>
      </w:r>
      <w:r w:rsidR="00506312">
        <w:rPr>
          <w:rFonts w:ascii="Times New Roman" w:hAnsi="Times New Roman" w:cs="Times New Roman"/>
          <w:sz w:val="24"/>
          <w:szCs w:val="24"/>
        </w:rPr>
        <w:t xml:space="preserve"> and </w:t>
      </w:r>
      <w:r w:rsidR="008B3699">
        <w:rPr>
          <w:rFonts w:ascii="Times New Roman" w:hAnsi="Times New Roman" w:cs="Times New Roman"/>
          <w:sz w:val="24"/>
          <w:szCs w:val="24"/>
        </w:rPr>
        <w:t>second</w:t>
      </w:r>
      <w:r w:rsidR="00600066">
        <w:rPr>
          <w:rFonts w:ascii="Times New Roman" w:hAnsi="Times New Roman" w:cs="Times New Roman"/>
          <w:sz w:val="24"/>
          <w:szCs w:val="24"/>
        </w:rPr>
        <w:t xml:space="preserve"> </w:t>
      </w:r>
      <w:r w:rsidR="00387D0B">
        <w:rPr>
          <w:rFonts w:ascii="Times New Roman" w:hAnsi="Times New Roman" w:cs="Times New Roman"/>
          <w:sz w:val="24"/>
          <w:szCs w:val="24"/>
        </w:rPr>
        <w:t>respondent’s</w:t>
      </w:r>
      <w:r w:rsidR="00506312">
        <w:rPr>
          <w:rFonts w:ascii="Times New Roman" w:hAnsi="Times New Roman" w:cs="Times New Roman"/>
          <w:sz w:val="24"/>
          <w:szCs w:val="24"/>
        </w:rPr>
        <w:t xml:space="preserve"> legal </w:t>
      </w:r>
      <w:r w:rsidR="00600066">
        <w:rPr>
          <w:rFonts w:ascii="Times New Roman" w:hAnsi="Times New Roman" w:cs="Times New Roman"/>
          <w:sz w:val="24"/>
          <w:szCs w:val="24"/>
        </w:rPr>
        <w:t>practitioners</w:t>
      </w:r>
    </w:p>
    <w:p w:rsidR="00E7240D" w:rsidRPr="00E17D6B" w:rsidRDefault="00E7240D" w:rsidP="00E7240D">
      <w:pPr>
        <w:spacing w:after="0" w:line="240" w:lineRule="auto"/>
        <w:jc w:val="both"/>
        <w:rPr>
          <w:rFonts w:ascii="Times New Roman" w:hAnsi="Times New Roman" w:cs="Times New Roman"/>
          <w:sz w:val="24"/>
          <w:szCs w:val="24"/>
        </w:rPr>
      </w:pPr>
      <w:r w:rsidRPr="00E7240D">
        <w:rPr>
          <w:rFonts w:ascii="Times New Roman" w:hAnsi="Times New Roman" w:cs="Times New Roman"/>
          <w:i/>
          <w:sz w:val="24"/>
          <w:szCs w:val="24"/>
        </w:rPr>
        <w:t>Civil Division of the Attorney-General’s Office</w:t>
      </w:r>
      <w:r>
        <w:rPr>
          <w:rFonts w:ascii="Times New Roman" w:hAnsi="Times New Roman" w:cs="Times New Roman"/>
          <w:sz w:val="24"/>
          <w:szCs w:val="24"/>
        </w:rPr>
        <w:t xml:space="preserve">, third and fourth </w:t>
      </w:r>
      <w:r w:rsidR="00387D0B">
        <w:rPr>
          <w:rFonts w:ascii="Times New Roman" w:hAnsi="Times New Roman" w:cs="Times New Roman"/>
          <w:sz w:val="24"/>
          <w:szCs w:val="24"/>
        </w:rPr>
        <w:t>respondent’s</w:t>
      </w:r>
      <w:r>
        <w:rPr>
          <w:rFonts w:ascii="Times New Roman" w:hAnsi="Times New Roman" w:cs="Times New Roman"/>
          <w:sz w:val="24"/>
          <w:szCs w:val="24"/>
        </w:rPr>
        <w:t xml:space="preserve"> legal practitioners </w:t>
      </w:r>
    </w:p>
    <w:sectPr w:rsidR="00E7240D" w:rsidRPr="00E17D6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AD5" w:rsidRDefault="00B06AD5" w:rsidP="00D03B49">
      <w:pPr>
        <w:spacing w:after="0" w:line="240" w:lineRule="auto"/>
      </w:pPr>
      <w:r>
        <w:separator/>
      </w:r>
    </w:p>
  </w:endnote>
  <w:endnote w:type="continuationSeparator" w:id="0">
    <w:p w:rsidR="00B06AD5" w:rsidRDefault="00B06AD5" w:rsidP="00D0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AD5" w:rsidRDefault="00B06AD5" w:rsidP="00D03B49">
      <w:pPr>
        <w:spacing w:after="0" w:line="240" w:lineRule="auto"/>
      </w:pPr>
      <w:r>
        <w:separator/>
      </w:r>
    </w:p>
  </w:footnote>
  <w:footnote w:type="continuationSeparator" w:id="0">
    <w:p w:rsidR="00B06AD5" w:rsidRDefault="00B06AD5" w:rsidP="00D03B49">
      <w:pPr>
        <w:spacing w:after="0" w:line="240" w:lineRule="auto"/>
      </w:pPr>
      <w:r>
        <w:continuationSeparator/>
      </w:r>
    </w:p>
  </w:footnote>
  <w:footnote w:id="1">
    <w:p w:rsidR="00CC56F7" w:rsidRDefault="00CC56F7">
      <w:pPr>
        <w:pStyle w:val="FootnoteText"/>
      </w:pPr>
      <w:r>
        <w:rPr>
          <w:rStyle w:val="FootnoteReference"/>
        </w:rPr>
        <w:footnoteRef/>
      </w:r>
      <w:r>
        <w:t xml:space="preserve"> HH 92/09 per MAKARAU J (as she then was)</w:t>
      </w:r>
    </w:p>
  </w:footnote>
  <w:footnote w:id="2">
    <w:p w:rsidR="00CC56F7" w:rsidRDefault="00CC56F7">
      <w:pPr>
        <w:pStyle w:val="FootnoteText"/>
      </w:pPr>
      <w:r>
        <w:rPr>
          <w:rStyle w:val="FootnoteReference"/>
        </w:rPr>
        <w:footnoteRef/>
      </w:r>
      <w:r>
        <w:t xml:space="preserve"> HH 204/18</w:t>
      </w:r>
    </w:p>
  </w:footnote>
  <w:footnote w:id="3">
    <w:p w:rsidR="00CC56F7" w:rsidRDefault="00CC56F7">
      <w:pPr>
        <w:pStyle w:val="FootnoteText"/>
      </w:pPr>
      <w:r>
        <w:rPr>
          <w:rStyle w:val="FootnoteReference"/>
        </w:rPr>
        <w:footnoteRef/>
      </w:r>
      <w:r>
        <w:t xml:space="preserve"> CCZ 3/13</w:t>
      </w:r>
    </w:p>
  </w:footnote>
  <w:footnote w:id="4">
    <w:p w:rsidR="00CC56F7" w:rsidRDefault="00CC56F7">
      <w:pPr>
        <w:pStyle w:val="FootnoteText"/>
      </w:pPr>
      <w:r>
        <w:rPr>
          <w:rStyle w:val="FootnoteReference"/>
        </w:rPr>
        <w:footnoteRef/>
      </w:r>
      <w:r>
        <w:t xml:space="preserve"> 1983 (1) ZLR 232</w:t>
      </w:r>
    </w:p>
  </w:footnote>
  <w:footnote w:id="5">
    <w:p w:rsidR="00CC56F7" w:rsidRDefault="00CC56F7">
      <w:pPr>
        <w:pStyle w:val="FootnoteText"/>
      </w:pPr>
      <w:r>
        <w:rPr>
          <w:rStyle w:val="FootnoteReference"/>
        </w:rPr>
        <w:footnoteRef/>
      </w:r>
      <w:r>
        <w:t xml:space="preserve"> HH 223/2020</w:t>
      </w:r>
    </w:p>
  </w:footnote>
  <w:footnote w:id="6">
    <w:p w:rsidR="00CC56F7" w:rsidRDefault="00CC56F7">
      <w:pPr>
        <w:pStyle w:val="FootnoteText"/>
      </w:pPr>
      <w:r>
        <w:rPr>
          <w:rStyle w:val="FootnoteReference"/>
        </w:rPr>
        <w:footnoteRef/>
      </w:r>
      <w:r>
        <w:t xml:space="preserve"> HH 476/18</w:t>
      </w:r>
    </w:p>
  </w:footnote>
  <w:footnote w:id="7">
    <w:p w:rsidR="00CC56F7" w:rsidRDefault="00CC56F7">
      <w:pPr>
        <w:pStyle w:val="FootnoteText"/>
      </w:pPr>
      <w:r>
        <w:rPr>
          <w:rStyle w:val="FootnoteReference"/>
        </w:rPr>
        <w:footnoteRef/>
      </w:r>
      <w:r>
        <w:t xml:space="preserve"> Fuyana v Moyo SC 54/09, Muchum v Adana and Others SC 47/13, Yunus v Docking Station Safaris t/a CC Sales SC 70/18</w:t>
      </w:r>
    </w:p>
  </w:footnote>
  <w:footnote w:id="8">
    <w:p w:rsidR="00CC56F7" w:rsidRDefault="00CC56F7">
      <w:pPr>
        <w:pStyle w:val="FootnoteText"/>
      </w:pPr>
      <w:r>
        <w:rPr>
          <w:rStyle w:val="FootnoteReference"/>
        </w:rPr>
        <w:footnoteRef/>
      </w:r>
      <w:r>
        <w:t xml:space="preserve"> Milrite Farming (Pvt) Ltd v Porusingazi and Others HH 12/10</w:t>
      </w:r>
    </w:p>
  </w:footnote>
  <w:footnote w:id="9">
    <w:p w:rsidR="00CC56F7" w:rsidRDefault="00CC56F7">
      <w:pPr>
        <w:pStyle w:val="FootnoteText"/>
      </w:pPr>
      <w:r>
        <w:rPr>
          <w:rStyle w:val="FootnoteReference"/>
        </w:rPr>
        <w:footnoteRef/>
      </w:r>
      <w:r>
        <w:t xml:space="preserve"> Joosab and Others v Shah 1972 (4) SA 298</w:t>
      </w:r>
    </w:p>
  </w:footnote>
  <w:footnote w:id="10">
    <w:p w:rsidR="00CC56F7" w:rsidRDefault="00CC56F7" w:rsidP="00FF5C5F">
      <w:pPr>
        <w:pStyle w:val="FootnoteText"/>
      </w:pPr>
      <w:r>
        <w:rPr>
          <w:rStyle w:val="FootnoteReference"/>
        </w:rPr>
        <w:footnoteRef/>
      </w:r>
      <w:r>
        <w:t xml:space="preserve"> Room Hire Co. v Jeppe Street Mansions 1949 (3) SA 1155</w:t>
      </w:r>
    </w:p>
    <w:p w:rsidR="00CC56F7" w:rsidRDefault="00CC56F7">
      <w:pPr>
        <w:pStyle w:val="FootnoteText"/>
      </w:pPr>
    </w:p>
  </w:footnote>
  <w:footnote w:id="11">
    <w:p w:rsidR="00CC56F7" w:rsidRDefault="00CC56F7">
      <w:pPr>
        <w:pStyle w:val="FootnoteText"/>
      </w:pPr>
      <w:r>
        <w:rPr>
          <w:rStyle w:val="FootnoteReference"/>
        </w:rPr>
        <w:footnoteRef/>
      </w:r>
      <w:r>
        <w:t xml:space="preserve"> HH 268/13</w:t>
      </w:r>
    </w:p>
  </w:footnote>
  <w:footnote w:id="12">
    <w:p w:rsidR="00CC56F7" w:rsidRDefault="00CC56F7">
      <w:pPr>
        <w:pStyle w:val="FootnoteText"/>
      </w:pPr>
      <w:r>
        <w:rPr>
          <w:rStyle w:val="FootnoteReference"/>
        </w:rPr>
        <w:footnoteRef/>
      </w:r>
      <w:r>
        <w:t xml:space="preserve"> SC 45/18</w:t>
      </w:r>
    </w:p>
  </w:footnote>
  <w:footnote w:id="13">
    <w:p w:rsidR="00073693" w:rsidRDefault="00073693">
      <w:pPr>
        <w:pStyle w:val="FootnoteText"/>
      </w:pPr>
      <w:r>
        <w:rPr>
          <w:rStyle w:val="FootnoteReference"/>
        </w:rPr>
        <w:footnoteRef/>
      </w:r>
      <w:r w:rsidR="00AD1941">
        <w:t xml:space="preserve"> ( See Soffiantini</w:t>
      </w:r>
      <w:r>
        <w:t xml:space="preserve"> v Mould 1956 (4) SA 15</w:t>
      </w:r>
      <w:r w:rsidR="007C49BA">
        <w:t>0 (E) Art Corporation Ltd v Huss</w:t>
      </w:r>
      <w:r>
        <w:t>ey HH -199/93)</w:t>
      </w:r>
    </w:p>
  </w:footnote>
  <w:footnote w:id="14">
    <w:p w:rsidR="00073693" w:rsidRDefault="00073693">
      <w:pPr>
        <w:pStyle w:val="FootnoteText"/>
      </w:pPr>
      <w:r>
        <w:rPr>
          <w:rStyle w:val="FootnoteReference"/>
        </w:rPr>
        <w:footnoteRef/>
      </w:r>
      <w:r>
        <w:t xml:space="preserve"> Horizons Investments (Pvt) Ltd v SDA Trading Co. (Pvt) Ltd HH 176/91</w:t>
      </w:r>
    </w:p>
  </w:footnote>
  <w:footnote w:id="15">
    <w:p w:rsidR="005A54FB" w:rsidRDefault="005A54FB">
      <w:pPr>
        <w:pStyle w:val="FootnoteText"/>
      </w:pPr>
      <w:r>
        <w:rPr>
          <w:rStyle w:val="FootnoteReference"/>
        </w:rPr>
        <w:footnoteRef/>
      </w:r>
      <w:r>
        <w:t xml:space="preserve"> </w:t>
      </w:r>
      <w:r w:rsidRPr="005A54FB">
        <w:rPr>
          <w:smallCaps/>
        </w:rPr>
        <w:t>Makarau j</w:t>
      </w:r>
      <w:r w:rsidR="00CB68BB">
        <w:t xml:space="preserve"> (as </w:t>
      </w:r>
      <w:r>
        <w:t xml:space="preserve">she </w:t>
      </w:r>
      <w:r w:rsidR="00CB68BB">
        <w:t xml:space="preserve">then </w:t>
      </w:r>
      <w:r>
        <w:t xml:space="preserve">was) in Supa Plant Investments (Private) Ltd </w:t>
      </w:r>
      <w:r w:rsidRPr="005A54FB">
        <w:rPr>
          <w:i/>
        </w:rPr>
        <w:t xml:space="preserve">supra </w:t>
      </w:r>
    </w:p>
  </w:footnote>
  <w:footnote w:id="16">
    <w:p w:rsidR="0016082B" w:rsidRDefault="0016082B">
      <w:pPr>
        <w:pStyle w:val="FootnoteText"/>
      </w:pPr>
      <w:r>
        <w:rPr>
          <w:rStyle w:val="FootnoteReference"/>
        </w:rPr>
        <w:footnoteRef/>
      </w:r>
      <w:r>
        <w:t xml:space="preserve"> Masukusa v National Foods Ltd and Another (</w:t>
      </w:r>
      <w:r w:rsidRPr="0016082B">
        <w:rPr>
          <w:i/>
        </w:rPr>
        <w:t>supra)</w:t>
      </w:r>
    </w:p>
  </w:footnote>
  <w:footnote w:id="17">
    <w:p w:rsidR="0016082B" w:rsidRDefault="0016082B">
      <w:pPr>
        <w:pStyle w:val="FootnoteText"/>
      </w:pPr>
      <w:r>
        <w:rPr>
          <w:rStyle w:val="FootnoteReference"/>
        </w:rPr>
        <w:footnoteRef/>
      </w:r>
      <w:r>
        <w:t xml:space="preserve"> RioZim Ltd v Falcon Resources (Pvt) Ltd HH 223/20</w:t>
      </w:r>
    </w:p>
  </w:footnote>
  <w:footnote w:id="18">
    <w:p w:rsidR="0016082B" w:rsidRDefault="0016082B">
      <w:pPr>
        <w:pStyle w:val="FootnoteText"/>
      </w:pPr>
      <w:r>
        <w:rPr>
          <w:rStyle w:val="FootnoteReference"/>
        </w:rPr>
        <w:footnoteRef/>
      </w:r>
      <w:r>
        <w:t xml:space="preserve"> Presma Services (Pvt) Ltd v Schutter 1990 (2) SA 411 (C)</w:t>
      </w:r>
    </w:p>
  </w:footnote>
  <w:footnote w:id="19">
    <w:p w:rsidR="000C5BD9" w:rsidRDefault="000C5BD9">
      <w:pPr>
        <w:pStyle w:val="FootnoteText"/>
      </w:pPr>
      <w:r>
        <w:rPr>
          <w:rStyle w:val="FootnoteReference"/>
        </w:rPr>
        <w:footnoteRef/>
      </w:r>
      <w:r>
        <w:t xml:space="preserve"> </w:t>
      </w:r>
      <w:r w:rsidR="00FD2BB7">
        <w:t>Anabus Services (Pvt) Ltd v Minister of Health N.O and Others HB 88/03</w:t>
      </w:r>
    </w:p>
  </w:footnote>
  <w:footnote w:id="20">
    <w:p w:rsidR="00FD2BB7" w:rsidRDefault="00FD2BB7">
      <w:pPr>
        <w:pStyle w:val="FootnoteText"/>
      </w:pPr>
      <w:r>
        <w:rPr>
          <w:rStyle w:val="FootnoteReference"/>
        </w:rPr>
        <w:footnoteRef/>
      </w:r>
      <w:r>
        <w:t xml:space="preserve"> Nashe Family Trust v Chiwara and Others </w:t>
      </w:r>
      <w:r>
        <w:rPr>
          <w:i/>
        </w:rPr>
        <w:t>s</w:t>
      </w:r>
      <w:r w:rsidRPr="00FD2BB7">
        <w:rPr>
          <w:i/>
        </w:rPr>
        <w:t>upra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439726"/>
      <w:docPartObj>
        <w:docPartGallery w:val="Page Numbers (Top of Page)"/>
        <w:docPartUnique/>
      </w:docPartObj>
    </w:sdtPr>
    <w:sdtEndPr>
      <w:rPr>
        <w:noProof/>
      </w:rPr>
    </w:sdtEndPr>
    <w:sdtContent>
      <w:p w:rsidR="00CC56F7" w:rsidRDefault="00CC56F7">
        <w:pPr>
          <w:pStyle w:val="Header"/>
          <w:jc w:val="right"/>
          <w:rPr>
            <w:noProof/>
          </w:rPr>
        </w:pPr>
        <w:r>
          <w:fldChar w:fldCharType="begin"/>
        </w:r>
        <w:r>
          <w:instrText xml:space="preserve"> PAGE   \* MERGEFORMAT </w:instrText>
        </w:r>
        <w:r>
          <w:fldChar w:fldCharType="separate"/>
        </w:r>
        <w:r w:rsidR="006F1AA1">
          <w:rPr>
            <w:noProof/>
          </w:rPr>
          <w:t>1</w:t>
        </w:r>
        <w:r>
          <w:rPr>
            <w:noProof/>
          </w:rPr>
          <w:fldChar w:fldCharType="end"/>
        </w:r>
      </w:p>
      <w:p w:rsidR="00CC56F7" w:rsidRDefault="00C37D62">
        <w:pPr>
          <w:pStyle w:val="Header"/>
          <w:jc w:val="right"/>
          <w:rPr>
            <w:noProof/>
          </w:rPr>
        </w:pPr>
        <w:r>
          <w:rPr>
            <w:noProof/>
          </w:rPr>
          <w:t>HMT 65</w:t>
        </w:r>
        <w:r w:rsidR="00CC56F7">
          <w:rPr>
            <w:noProof/>
          </w:rPr>
          <w:t>-20</w:t>
        </w:r>
      </w:p>
      <w:p w:rsidR="00CC56F7" w:rsidRDefault="00CC56F7">
        <w:pPr>
          <w:pStyle w:val="Header"/>
          <w:jc w:val="right"/>
        </w:pPr>
        <w:r>
          <w:rPr>
            <w:noProof/>
          </w:rPr>
          <w:t>HC 25/20</w:t>
        </w:r>
      </w:p>
    </w:sdtContent>
  </w:sdt>
  <w:p w:rsidR="00CC56F7" w:rsidRDefault="00CC56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DA2"/>
    <w:multiLevelType w:val="hybridMultilevel"/>
    <w:tmpl w:val="671AE7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932754"/>
    <w:multiLevelType w:val="hybridMultilevel"/>
    <w:tmpl w:val="998E7696"/>
    <w:lvl w:ilvl="0" w:tplc="DDC453A8">
      <w:start w:val="1"/>
      <w:numFmt w:val="decimal"/>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28086FE8"/>
    <w:multiLevelType w:val="hybridMultilevel"/>
    <w:tmpl w:val="C76E781E"/>
    <w:lvl w:ilvl="0" w:tplc="404ACCB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E954A68"/>
    <w:multiLevelType w:val="hybridMultilevel"/>
    <w:tmpl w:val="698C86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3481E96"/>
    <w:multiLevelType w:val="hybridMultilevel"/>
    <w:tmpl w:val="0BBED372"/>
    <w:lvl w:ilvl="0" w:tplc="404ACCB2">
      <w:start w:val="1"/>
      <w:numFmt w:val="lowerLetter"/>
      <w:lvlText w:val="(%1)"/>
      <w:lvlJc w:val="left"/>
      <w:pPr>
        <w:ind w:left="1503" w:hanging="360"/>
      </w:pPr>
      <w:rPr>
        <w:rFonts w:hint="default"/>
      </w:rPr>
    </w:lvl>
    <w:lvl w:ilvl="1" w:tplc="30090019" w:tentative="1">
      <w:start w:val="1"/>
      <w:numFmt w:val="lowerLetter"/>
      <w:lvlText w:val="%2."/>
      <w:lvlJc w:val="left"/>
      <w:pPr>
        <w:ind w:left="2223" w:hanging="360"/>
      </w:pPr>
    </w:lvl>
    <w:lvl w:ilvl="2" w:tplc="3009001B" w:tentative="1">
      <w:start w:val="1"/>
      <w:numFmt w:val="lowerRoman"/>
      <w:lvlText w:val="%3."/>
      <w:lvlJc w:val="right"/>
      <w:pPr>
        <w:ind w:left="2943" w:hanging="180"/>
      </w:pPr>
    </w:lvl>
    <w:lvl w:ilvl="3" w:tplc="3009000F" w:tentative="1">
      <w:start w:val="1"/>
      <w:numFmt w:val="decimal"/>
      <w:lvlText w:val="%4."/>
      <w:lvlJc w:val="left"/>
      <w:pPr>
        <w:ind w:left="3663" w:hanging="360"/>
      </w:pPr>
    </w:lvl>
    <w:lvl w:ilvl="4" w:tplc="30090019" w:tentative="1">
      <w:start w:val="1"/>
      <w:numFmt w:val="lowerLetter"/>
      <w:lvlText w:val="%5."/>
      <w:lvlJc w:val="left"/>
      <w:pPr>
        <w:ind w:left="4383" w:hanging="360"/>
      </w:pPr>
    </w:lvl>
    <w:lvl w:ilvl="5" w:tplc="3009001B" w:tentative="1">
      <w:start w:val="1"/>
      <w:numFmt w:val="lowerRoman"/>
      <w:lvlText w:val="%6."/>
      <w:lvlJc w:val="right"/>
      <w:pPr>
        <w:ind w:left="5103" w:hanging="180"/>
      </w:pPr>
    </w:lvl>
    <w:lvl w:ilvl="6" w:tplc="3009000F" w:tentative="1">
      <w:start w:val="1"/>
      <w:numFmt w:val="decimal"/>
      <w:lvlText w:val="%7."/>
      <w:lvlJc w:val="left"/>
      <w:pPr>
        <w:ind w:left="5823" w:hanging="360"/>
      </w:pPr>
    </w:lvl>
    <w:lvl w:ilvl="7" w:tplc="30090019" w:tentative="1">
      <w:start w:val="1"/>
      <w:numFmt w:val="lowerLetter"/>
      <w:lvlText w:val="%8."/>
      <w:lvlJc w:val="left"/>
      <w:pPr>
        <w:ind w:left="6543" w:hanging="360"/>
      </w:pPr>
    </w:lvl>
    <w:lvl w:ilvl="8" w:tplc="3009001B" w:tentative="1">
      <w:start w:val="1"/>
      <w:numFmt w:val="lowerRoman"/>
      <w:lvlText w:val="%9."/>
      <w:lvlJc w:val="right"/>
      <w:pPr>
        <w:ind w:left="7263" w:hanging="180"/>
      </w:pPr>
    </w:lvl>
  </w:abstractNum>
  <w:abstractNum w:abstractNumId="5" w15:restartNumberingAfterBreak="0">
    <w:nsid w:val="35EE3CF6"/>
    <w:multiLevelType w:val="hybridMultilevel"/>
    <w:tmpl w:val="09F67094"/>
    <w:lvl w:ilvl="0" w:tplc="3A02F0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CB65255"/>
    <w:multiLevelType w:val="hybridMultilevel"/>
    <w:tmpl w:val="D1DA0E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9A635C8"/>
    <w:multiLevelType w:val="hybridMultilevel"/>
    <w:tmpl w:val="30020760"/>
    <w:lvl w:ilvl="0" w:tplc="6AC80B5C">
      <w:start w:val="1"/>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8" w15:restartNumberingAfterBreak="0">
    <w:nsid w:val="4E531291"/>
    <w:multiLevelType w:val="hybridMultilevel"/>
    <w:tmpl w:val="6A5A79A0"/>
    <w:lvl w:ilvl="0" w:tplc="0E3A38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23454B4"/>
    <w:multiLevelType w:val="hybridMultilevel"/>
    <w:tmpl w:val="7AD2555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06143E2"/>
    <w:multiLevelType w:val="hybridMultilevel"/>
    <w:tmpl w:val="E7DEB63C"/>
    <w:lvl w:ilvl="0" w:tplc="3009000F">
      <w:start w:val="1"/>
      <w:numFmt w:val="decimal"/>
      <w:lvlText w:val="%1."/>
      <w:lvlJc w:val="lef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11" w15:restartNumberingAfterBreak="0">
    <w:nsid w:val="6EB6139B"/>
    <w:multiLevelType w:val="hybridMultilevel"/>
    <w:tmpl w:val="986034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53A79FA"/>
    <w:multiLevelType w:val="hybridMultilevel"/>
    <w:tmpl w:val="71AA1F8A"/>
    <w:lvl w:ilvl="0" w:tplc="404ACCB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8"/>
  </w:num>
  <w:num w:numId="3">
    <w:abstractNumId w:val="9"/>
  </w:num>
  <w:num w:numId="4">
    <w:abstractNumId w:val="10"/>
  </w:num>
  <w:num w:numId="5">
    <w:abstractNumId w:val="1"/>
  </w:num>
  <w:num w:numId="6">
    <w:abstractNumId w:val="7"/>
  </w:num>
  <w:num w:numId="7">
    <w:abstractNumId w:val="6"/>
  </w:num>
  <w:num w:numId="8">
    <w:abstractNumId w:val="5"/>
  </w:num>
  <w:num w:numId="9">
    <w:abstractNumId w:val="3"/>
  </w:num>
  <w:num w:numId="10">
    <w:abstractNumId w:val="0"/>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85"/>
    <w:rsid w:val="00000EDD"/>
    <w:rsid w:val="00001CD9"/>
    <w:rsid w:val="00001CF3"/>
    <w:rsid w:val="00002212"/>
    <w:rsid w:val="000036CB"/>
    <w:rsid w:val="00026698"/>
    <w:rsid w:val="00044706"/>
    <w:rsid w:val="000471FF"/>
    <w:rsid w:val="0007058A"/>
    <w:rsid w:val="00070FB9"/>
    <w:rsid w:val="00073693"/>
    <w:rsid w:val="0009556F"/>
    <w:rsid w:val="000C5BD9"/>
    <w:rsid w:val="000E0DB1"/>
    <w:rsid w:val="00100F01"/>
    <w:rsid w:val="00116159"/>
    <w:rsid w:val="00116D1E"/>
    <w:rsid w:val="00130776"/>
    <w:rsid w:val="0016082B"/>
    <w:rsid w:val="001744F7"/>
    <w:rsid w:val="001C4FC2"/>
    <w:rsid w:val="001D64B3"/>
    <w:rsid w:val="001E4205"/>
    <w:rsid w:val="002155C6"/>
    <w:rsid w:val="00252B9F"/>
    <w:rsid w:val="00280C44"/>
    <w:rsid w:val="002A1BC4"/>
    <w:rsid w:val="002D04AB"/>
    <w:rsid w:val="002D55C0"/>
    <w:rsid w:val="00317934"/>
    <w:rsid w:val="003359F8"/>
    <w:rsid w:val="00356C7B"/>
    <w:rsid w:val="00373C5D"/>
    <w:rsid w:val="003810C9"/>
    <w:rsid w:val="00385234"/>
    <w:rsid w:val="00387D0B"/>
    <w:rsid w:val="003D4773"/>
    <w:rsid w:val="003E6B15"/>
    <w:rsid w:val="003F1C02"/>
    <w:rsid w:val="00412267"/>
    <w:rsid w:val="00427AD3"/>
    <w:rsid w:val="00430CC0"/>
    <w:rsid w:val="00460EDF"/>
    <w:rsid w:val="00470B77"/>
    <w:rsid w:val="00481740"/>
    <w:rsid w:val="00485850"/>
    <w:rsid w:val="004B3B37"/>
    <w:rsid w:val="004D1AA8"/>
    <w:rsid w:val="004D22BF"/>
    <w:rsid w:val="004D4AEB"/>
    <w:rsid w:val="004F1D66"/>
    <w:rsid w:val="004F1DB6"/>
    <w:rsid w:val="004F22C6"/>
    <w:rsid w:val="00505C61"/>
    <w:rsid w:val="00506312"/>
    <w:rsid w:val="00516C6A"/>
    <w:rsid w:val="005245E7"/>
    <w:rsid w:val="00525253"/>
    <w:rsid w:val="00526878"/>
    <w:rsid w:val="00540BC7"/>
    <w:rsid w:val="0054253A"/>
    <w:rsid w:val="0055010C"/>
    <w:rsid w:val="00550185"/>
    <w:rsid w:val="00557C78"/>
    <w:rsid w:val="00580946"/>
    <w:rsid w:val="005825C4"/>
    <w:rsid w:val="005A1263"/>
    <w:rsid w:val="005A12F0"/>
    <w:rsid w:val="005A4BC6"/>
    <w:rsid w:val="005A54FB"/>
    <w:rsid w:val="005B0461"/>
    <w:rsid w:val="005B4193"/>
    <w:rsid w:val="005B7B3A"/>
    <w:rsid w:val="005D4C29"/>
    <w:rsid w:val="005F3728"/>
    <w:rsid w:val="00600066"/>
    <w:rsid w:val="0066730F"/>
    <w:rsid w:val="006833F6"/>
    <w:rsid w:val="00695755"/>
    <w:rsid w:val="006A27FF"/>
    <w:rsid w:val="006C3256"/>
    <w:rsid w:val="006D5BEA"/>
    <w:rsid w:val="006F1AA1"/>
    <w:rsid w:val="00706839"/>
    <w:rsid w:val="00710C75"/>
    <w:rsid w:val="00716DBE"/>
    <w:rsid w:val="00721254"/>
    <w:rsid w:val="00737651"/>
    <w:rsid w:val="00743418"/>
    <w:rsid w:val="00750CB0"/>
    <w:rsid w:val="00754586"/>
    <w:rsid w:val="00774303"/>
    <w:rsid w:val="0079296C"/>
    <w:rsid w:val="007A27D8"/>
    <w:rsid w:val="007C30BB"/>
    <w:rsid w:val="007C49BA"/>
    <w:rsid w:val="007E69BD"/>
    <w:rsid w:val="00820279"/>
    <w:rsid w:val="00864A2F"/>
    <w:rsid w:val="008724FD"/>
    <w:rsid w:val="00876FE7"/>
    <w:rsid w:val="00897201"/>
    <w:rsid w:val="008B3699"/>
    <w:rsid w:val="00901EB9"/>
    <w:rsid w:val="009053BF"/>
    <w:rsid w:val="00907F48"/>
    <w:rsid w:val="00912322"/>
    <w:rsid w:val="00927D43"/>
    <w:rsid w:val="009520CA"/>
    <w:rsid w:val="00954E85"/>
    <w:rsid w:val="00973779"/>
    <w:rsid w:val="00991282"/>
    <w:rsid w:val="009B18BE"/>
    <w:rsid w:val="009F034D"/>
    <w:rsid w:val="009F1A82"/>
    <w:rsid w:val="00A141D2"/>
    <w:rsid w:val="00A41480"/>
    <w:rsid w:val="00A54424"/>
    <w:rsid w:val="00A611E8"/>
    <w:rsid w:val="00A830DE"/>
    <w:rsid w:val="00A83D19"/>
    <w:rsid w:val="00A9325A"/>
    <w:rsid w:val="00AA282E"/>
    <w:rsid w:val="00AD1941"/>
    <w:rsid w:val="00AE2A89"/>
    <w:rsid w:val="00AE6BEF"/>
    <w:rsid w:val="00AF3597"/>
    <w:rsid w:val="00B06AD5"/>
    <w:rsid w:val="00B15662"/>
    <w:rsid w:val="00B21709"/>
    <w:rsid w:val="00B21C43"/>
    <w:rsid w:val="00B36810"/>
    <w:rsid w:val="00B61003"/>
    <w:rsid w:val="00B77CAB"/>
    <w:rsid w:val="00B80EB2"/>
    <w:rsid w:val="00B84642"/>
    <w:rsid w:val="00B969BB"/>
    <w:rsid w:val="00BA0D06"/>
    <w:rsid w:val="00BB27FA"/>
    <w:rsid w:val="00BC0B52"/>
    <w:rsid w:val="00BC13A0"/>
    <w:rsid w:val="00C12774"/>
    <w:rsid w:val="00C37D62"/>
    <w:rsid w:val="00C913AD"/>
    <w:rsid w:val="00CA3D70"/>
    <w:rsid w:val="00CB3A85"/>
    <w:rsid w:val="00CB68BB"/>
    <w:rsid w:val="00CC4371"/>
    <w:rsid w:val="00CC56F7"/>
    <w:rsid w:val="00D03B49"/>
    <w:rsid w:val="00D044D4"/>
    <w:rsid w:val="00D257F0"/>
    <w:rsid w:val="00D41523"/>
    <w:rsid w:val="00D60C1C"/>
    <w:rsid w:val="00D74B8E"/>
    <w:rsid w:val="00D81F31"/>
    <w:rsid w:val="00D878A8"/>
    <w:rsid w:val="00DA0E8B"/>
    <w:rsid w:val="00DA198C"/>
    <w:rsid w:val="00DC1C95"/>
    <w:rsid w:val="00DE319D"/>
    <w:rsid w:val="00E17D6B"/>
    <w:rsid w:val="00E33186"/>
    <w:rsid w:val="00E53EC7"/>
    <w:rsid w:val="00E7240D"/>
    <w:rsid w:val="00E81E14"/>
    <w:rsid w:val="00EC2277"/>
    <w:rsid w:val="00EE2863"/>
    <w:rsid w:val="00F0078A"/>
    <w:rsid w:val="00F10362"/>
    <w:rsid w:val="00F4196D"/>
    <w:rsid w:val="00F4769F"/>
    <w:rsid w:val="00F578C8"/>
    <w:rsid w:val="00F61064"/>
    <w:rsid w:val="00F95B56"/>
    <w:rsid w:val="00FA50B9"/>
    <w:rsid w:val="00FB1BAE"/>
    <w:rsid w:val="00FC352D"/>
    <w:rsid w:val="00FC6E09"/>
    <w:rsid w:val="00FD2BB7"/>
    <w:rsid w:val="00FF0D75"/>
    <w:rsid w:val="00FF463F"/>
    <w:rsid w:val="00FF5C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84394F-551D-4262-A0E3-03DECC93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850"/>
    <w:pPr>
      <w:ind w:left="720"/>
      <w:contextualSpacing/>
    </w:pPr>
  </w:style>
  <w:style w:type="paragraph" w:styleId="FootnoteText">
    <w:name w:val="footnote text"/>
    <w:basedOn w:val="Normal"/>
    <w:link w:val="FootnoteTextChar"/>
    <w:uiPriority w:val="99"/>
    <w:semiHidden/>
    <w:unhideWhenUsed/>
    <w:rsid w:val="00D03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B49"/>
    <w:rPr>
      <w:sz w:val="20"/>
      <w:szCs w:val="20"/>
    </w:rPr>
  </w:style>
  <w:style w:type="character" w:styleId="FootnoteReference">
    <w:name w:val="footnote reference"/>
    <w:basedOn w:val="DefaultParagraphFont"/>
    <w:uiPriority w:val="99"/>
    <w:semiHidden/>
    <w:unhideWhenUsed/>
    <w:rsid w:val="00D03B49"/>
    <w:rPr>
      <w:vertAlign w:val="superscript"/>
    </w:rPr>
  </w:style>
  <w:style w:type="paragraph" w:styleId="Header">
    <w:name w:val="header"/>
    <w:basedOn w:val="Normal"/>
    <w:link w:val="HeaderChar"/>
    <w:uiPriority w:val="99"/>
    <w:unhideWhenUsed/>
    <w:rsid w:val="00D0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4D4"/>
  </w:style>
  <w:style w:type="paragraph" w:styleId="Footer">
    <w:name w:val="footer"/>
    <w:basedOn w:val="Normal"/>
    <w:link w:val="FooterChar"/>
    <w:uiPriority w:val="99"/>
    <w:unhideWhenUsed/>
    <w:rsid w:val="00D0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4D4"/>
  </w:style>
  <w:style w:type="paragraph" w:styleId="BalloonText">
    <w:name w:val="Balloon Text"/>
    <w:basedOn w:val="Normal"/>
    <w:link w:val="BalloonTextChar"/>
    <w:uiPriority w:val="99"/>
    <w:semiHidden/>
    <w:unhideWhenUsed/>
    <w:rsid w:val="0092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64BA1-3BC4-4C89-BC24-02CA2EF5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2020-10-01T10:15:00Z</cp:lastPrinted>
  <dcterms:created xsi:type="dcterms:W3CDTF">2020-10-01T10:16:00Z</dcterms:created>
  <dcterms:modified xsi:type="dcterms:W3CDTF">2020-10-01T10:16:00Z</dcterms:modified>
</cp:coreProperties>
</file>