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F69" w:rsidRDefault="000E5F69">
      <w:pPr>
        <w:rPr>
          <w:rFonts w:ascii="Times New Roman" w:hAnsi="Times New Roman" w:cs="Times New Roman"/>
          <w:sz w:val="24"/>
          <w:szCs w:val="24"/>
        </w:rPr>
      </w:pPr>
      <w:bookmarkStart w:id="0" w:name="_GoBack"/>
      <w:bookmarkEnd w:id="0"/>
    </w:p>
    <w:p w:rsidR="000E5F69" w:rsidRDefault="000E5F69" w:rsidP="00272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ALBA CONSOLIDATED FUND (PRIVATE) LIMITED</w:t>
      </w:r>
    </w:p>
    <w:p w:rsidR="000E5F69" w:rsidRDefault="009B0E7F" w:rsidP="00272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0E5F69" w:rsidRDefault="000E5F69" w:rsidP="00272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LANGTON MAKONI</w:t>
      </w:r>
    </w:p>
    <w:p w:rsidR="000E5F69" w:rsidRDefault="009B0E7F" w:rsidP="00272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0E5F69" w:rsidRDefault="000E5F69" w:rsidP="00272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AXIA OPERATIONS LIMITED</w:t>
      </w:r>
    </w:p>
    <w:p w:rsidR="000E5F69" w:rsidRDefault="009B0E7F" w:rsidP="00272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r w:rsidR="000E5F69">
        <w:rPr>
          <w:rFonts w:ascii="Times New Roman" w:hAnsi="Times New Roman" w:cs="Times New Roman"/>
          <w:sz w:val="24"/>
          <w:szCs w:val="24"/>
        </w:rPr>
        <w:t xml:space="preserve"> </w:t>
      </w:r>
    </w:p>
    <w:p w:rsidR="000E5F69" w:rsidRDefault="000E5F69" w:rsidP="00272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LEONORAH MUGARIRI</w:t>
      </w:r>
    </w:p>
    <w:p w:rsidR="000E5F69" w:rsidRDefault="009B0E7F" w:rsidP="00272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r w:rsidR="000E5F69">
        <w:rPr>
          <w:rFonts w:ascii="Times New Roman" w:hAnsi="Times New Roman" w:cs="Times New Roman"/>
          <w:sz w:val="24"/>
          <w:szCs w:val="24"/>
        </w:rPr>
        <w:t xml:space="preserve"> </w:t>
      </w:r>
    </w:p>
    <w:p w:rsidR="009B0E7F" w:rsidRDefault="000E5F69" w:rsidP="00272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DETECTIVE CONSTABLE</w:t>
      </w:r>
      <w:r w:rsidR="009B0E7F">
        <w:rPr>
          <w:rFonts w:ascii="Times New Roman" w:hAnsi="Times New Roman" w:cs="Times New Roman"/>
          <w:sz w:val="24"/>
          <w:szCs w:val="24"/>
        </w:rPr>
        <w:t>BLESSING HOVE</w:t>
      </w:r>
    </w:p>
    <w:p w:rsidR="009B0E7F" w:rsidRDefault="009B0E7F" w:rsidP="00272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9B0E7F" w:rsidRDefault="009B0E7F" w:rsidP="00272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COMMISSIONER GENERAL POLICE</w:t>
      </w:r>
    </w:p>
    <w:p w:rsidR="009B0E7F" w:rsidRDefault="009B0E7F" w:rsidP="00272295">
      <w:pPr>
        <w:spacing w:after="0" w:line="240" w:lineRule="auto"/>
        <w:jc w:val="both"/>
        <w:rPr>
          <w:rFonts w:ascii="Times New Roman" w:hAnsi="Times New Roman" w:cs="Times New Roman"/>
          <w:sz w:val="24"/>
          <w:szCs w:val="24"/>
        </w:rPr>
      </w:pPr>
    </w:p>
    <w:p w:rsidR="009A748A" w:rsidRDefault="009A748A" w:rsidP="00272295">
      <w:pPr>
        <w:spacing w:after="0" w:line="240" w:lineRule="auto"/>
        <w:jc w:val="both"/>
        <w:rPr>
          <w:rFonts w:ascii="Times New Roman" w:hAnsi="Times New Roman" w:cs="Times New Roman"/>
          <w:sz w:val="24"/>
          <w:szCs w:val="24"/>
        </w:rPr>
      </w:pPr>
    </w:p>
    <w:p w:rsidR="009B0E7F" w:rsidRDefault="009B0E7F" w:rsidP="00272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HIGH COURT OF ZIMBABWE</w:t>
      </w:r>
    </w:p>
    <w:p w:rsidR="009B0E7F" w:rsidRDefault="009B0E7F" w:rsidP="00272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MANGOTA J</w:t>
      </w:r>
    </w:p>
    <w:p w:rsidR="009B0E7F" w:rsidRPr="00654F4E" w:rsidRDefault="009B0E7F" w:rsidP="00272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Pr="009B0E7F">
        <w:rPr>
          <w:rFonts w:ascii="Times New Roman" w:hAnsi="Times New Roman" w:cs="Times New Roman"/>
          <w:sz w:val="24"/>
          <w:szCs w:val="24"/>
        </w:rPr>
        <w:t xml:space="preserve"> </w:t>
      </w:r>
      <w:r w:rsidRPr="00654F4E">
        <w:rPr>
          <w:rFonts w:ascii="Times New Roman" w:hAnsi="Times New Roman" w:cs="Times New Roman"/>
          <w:sz w:val="24"/>
          <w:szCs w:val="24"/>
        </w:rPr>
        <w:t>8 November</w:t>
      </w:r>
      <w:r w:rsidR="00C40EFB">
        <w:rPr>
          <w:rFonts w:ascii="Times New Roman" w:hAnsi="Times New Roman" w:cs="Times New Roman"/>
          <w:sz w:val="24"/>
          <w:szCs w:val="24"/>
        </w:rPr>
        <w:t>,</w:t>
      </w:r>
      <w:r w:rsidRPr="00654F4E">
        <w:rPr>
          <w:rFonts w:ascii="Times New Roman" w:hAnsi="Times New Roman" w:cs="Times New Roman"/>
          <w:sz w:val="24"/>
          <w:szCs w:val="24"/>
        </w:rPr>
        <w:t xml:space="preserve"> 2021</w:t>
      </w:r>
      <w:r w:rsidR="00272295">
        <w:rPr>
          <w:rFonts w:ascii="Times New Roman" w:hAnsi="Times New Roman" w:cs="Times New Roman"/>
          <w:sz w:val="24"/>
          <w:szCs w:val="24"/>
        </w:rPr>
        <w:t xml:space="preserve"> </w:t>
      </w:r>
      <w:r>
        <w:rPr>
          <w:rFonts w:ascii="Times New Roman" w:hAnsi="Times New Roman" w:cs="Times New Roman"/>
          <w:sz w:val="24"/>
          <w:szCs w:val="24"/>
        </w:rPr>
        <w:t>&amp;</w:t>
      </w:r>
      <w:r w:rsidR="007256C2">
        <w:rPr>
          <w:rFonts w:ascii="Times New Roman" w:hAnsi="Times New Roman" w:cs="Times New Roman"/>
          <w:sz w:val="24"/>
          <w:szCs w:val="24"/>
        </w:rPr>
        <w:t xml:space="preserve"> 7 </w:t>
      </w:r>
      <w:r w:rsidR="00380207">
        <w:rPr>
          <w:rFonts w:ascii="Times New Roman" w:hAnsi="Times New Roman" w:cs="Times New Roman"/>
          <w:sz w:val="24"/>
          <w:szCs w:val="24"/>
        </w:rPr>
        <w:t xml:space="preserve">March, </w:t>
      </w:r>
      <w:r w:rsidR="007256C2">
        <w:rPr>
          <w:rFonts w:ascii="Times New Roman" w:hAnsi="Times New Roman" w:cs="Times New Roman"/>
          <w:sz w:val="24"/>
          <w:szCs w:val="24"/>
        </w:rPr>
        <w:t>2022</w:t>
      </w:r>
    </w:p>
    <w:p w:rsidR="00272295" w:rsidRDefault="009B0E7F">
      <w:pPr>
        <w:rPr>
          <w:rFonts w:ascii="Times New Roman" w:hAnsi="Times New Roman" w:cs="Times New Roman"/>
          <w:sz w:val="24"/>
          <w:szCs w:val="24"/>
        </w:rPr>
      </w:pPr>
      <w:r>
        <w:rPr>
          <w:rFonts w:ascii="Times New Roman" w:hAnsi="Times New Roman" w:cs="Times New Roman"/>
          <w:sz w:val="24"/>
          <w:szCs w:val="24"/>
        </w:rPr>
        <w:t xml:space="preserve"> </w:t>
      </w:r>
    </w:p>
    <w:p w:rsidR="00B46214" w:rsidRDefault="008C3E41" w:rsidP="008C3E41">
      <w:pPr>
        <w:rPr>
          <w:rFonts w:ascii="Times New Roman" w:hAnsi="Times New Roman" w:cs="Times New Roman"/>
          <w:b/>
          <w:sz w:val="24"/>
          <w:szCs w:val="24"/>
        </w:rPr>
      </w:pPr>
      <w:r>
        <w:rPr>
          <w:rFonts w:ascii="Times New Roman" w:hAnsi="Times New Roman" w:cs="Times New Roman"/>
          <w:b/>
          <w:sz w:val="24"/>
          <w:szCs w:val="24"/>
        </w:rPr>
        <w:t>Opposed Matter</w:t>
      </w:r>
    </w:p>
    <w:p w:rsidR="00B72805" w:rsidRDefault="009A748A" w:rsidP="0084026E">
      <w:pPr>
        <w:spacing w:after="0" w:line="240" w:lineRule="auto"/>
        <w:rPr>
          <w:rFonts w:ascii="Times New Roman" w:hAnsi="Times New Roman" w:cs="Times New Roman"/>
          <w:sz w:val="24"/>
          <w:szCs w:val="24"/>
        </w:rPr>
      </w:pPr>
      <w:r w:rsidRPr="009A748A">
        <w:rPr>
          <w:rFonts w:ascii="Times New Roman" w:hAnsi="Times New Roman" w:cs="Times New Roman"/>
          <w:i/>
          <w:sz w:val="24"/>
          <w:szCs w:val="24"/>
        </w:rPr>
        <w:t>F. Mahere,</w:t>
      </w:r>
      <w:r w:rsidRPr="009A748A">
        <w:rPr>
          <w:rFonts w:ascii="Times New Roman" w:hAnsi="Times New Roman" w:cs="Times New Roman"/>
          <w:sz w:val="24"/>
          <w:szCs w:val="24"/>
        </w:rPr>
        <w:t xml:space="preserve"> for the applicant</w:t>
      </w:r>
    </w:p>
    <w:p w:rsidR="009A748A" w:rsidRPr="009A748A" w:rsidRDefault="009A748A" w:rsidP="0084026E">
      <w:pPr>
        <w:spacing w:after="0" w:line="240" w:lineRule="auto"/>
        <w:rPr>
          <w:rFonts w:ascii="Times New Roman" w:hAnsi="Times New Roman" w:cs="Times New Roman"/>
          <w:sz w:val="24"/>
          <w:szCs w:val="24"/>
        </w:rPr>
      </w:pPr>
      <w:r w:rsidRPr="009A748A">
        <w:rPr>
          <w:rFonts w:ascii="Times New Roman" w:hAnsi="Times New Roman" w:cs="Times New Roman"/>
          <w:i/>
          <w:sz w:val="24"/>
          <w:szCs w:val="24"/>
        </w:rPr>
        <w:t>KT. Mutambo</w:t>
      </w:r>
      <w:r>
        <w:rPr>
          <w:rFonts w:ascii="Times New Roman" w:hAnsi="Times New Roman" w:cs="Times New Roman"/>
          <w:sz w:val="24"/>
          <w:szCs w:val="24"/>
        </w:rPr>
        <w:t>,</w:t>
      </w:r>
      <w:r w:rsidRPr="009A748A">
        <w:rPr>
          <w:rFonts w:ascii="Times New Roman" w:hAnsi="Times New Roman" w:cs="Times New Roman"/>
          <w:sz w:val="24"/>
          <w:szCs w:val="24"/>
        </w:rPr>
        <w:t xml:space="preserve"> for the 1</w:t>
      </w:r>
      <w:r w:rsidRPr="009A748A">
        <w:rPr>
          <w:rFonts w:ascii="Times New Roman" w:hAnsi="Times New Roman" w:cs="Times New Roman"/>
          <w:sz w:val="24"/>
          <w:szCs w:val="24"/>
          <w:vertAlign w:val="superscript"/>
        </w:rPr>
        <w:t>st</w:t>
      </w:r>
      <w:r w:rsidRPr="009A748A">
        <w:rPr>
          <w:rFonts w:ascii="Times New Roman" w:hAnsi="Times New Roman" w:cs="Times New Roman"/>
          <w:sz w:val="24"/>
          <w:szCs w:val="24"/>
        </w:rPr>
        <w:t xml:space="preserve"> respondent</w:t>
      </w:r>
    </w:p>
    <w:p w:rsidR="00272295" w:rsidRPr="009A748A" w:rsidRDefault="00272295" w:rsidP="009A748A">
      <w:pPr>
        <w:spacing w:after="0" w:line="240" w:lineRule="auto"/>
        <w:jc w:val="both"/>
        <w:rPr>
          <w:rFonts w:ascii="Times New Roman" w:hAnsi="Times New Roman" w:cs="Times New Roman"/>
          <w:smallCaps/>
          <w:sz w:val="24"/>
          <w:szCs w:val="24"/>
        </w:rPr>
      </w:pPr>
    </w:p>
    <w:p w:rsidR="00B46214" w:rsidRPr="00654F4E" w:rsidRDefault="009B0E7F" w:rsidP="007952FC">
      <w:pPr>
        <w:spacing w:after="0" w:line="360" w:lineRule="auto"/>
        <w:ind w:firstLine="720"/>
        <w:jc w:val="both"/>
        <w:rPr>
          <w:rFonts w:ascii="Times New Roman" w:hAnsi="Times New Roman" w:cs="Times New Roman"/>
          <w:sz w:val="24"/>
          <w:szCs w:val="24"/>
        </w:rPr>
      </w:pPr>
      <w:r w:rsidRPr="009B0E7F">
        <w:rPr>
          <w:rFonts w:ascii="Times New Roman" w:hAnsi="Times New Roman" w:cs="Times New Roman"/>
          <w:smallCaps/>
          <w:sz w:val="24"/>
          <w:szCs w:val="24"/>
        </w:rPr>
        <w:t>M</w:t>
      </w:r>
      <w:r w:rsidR="008056CB">
        <w:rPr>
          <w:rFonts w:ascii="Times New Roman" w:hAnsi="Times New Roman" w:cs="Times New Roman"/>
          <w:smallCaps/>
          <w:sz w:val="24"/>
          <w:szCs w:val="24"/>
        </w:rPr>
        <w:t>ANGOTA</w:t>
      </w:r>
      <w:r>
        <w:rPr>
          <w:rFonts w:ascii="Times New Roman" w:hAnsi="Times New Roman" w:cs="Times New Roman"/>
          <w:sz w:val="24"/>
          <w:szCs w:val="24"/>
        </w:rPr>
        <w:t xml:space="preserve"> J: </w:t>
      </w:r>
      <w:r w:rsidR="00B46214" w:rsidRPr="00654F4E">
        <w:rPr>
          <w:rFonts w:ascii="Times New Roman" w:hAnsi="Times New Roman" w:cs="Times New Roman"/>
          <w:sz w:val="24"/>
          <w:szCs w:val="24"/>
        </w:rPr>
        <w:t xml:space="preserve">I heard this application on 8 November 2021. I delivered an </w:t>
      </w:r>
      <w:r w:rsidR="00B46214" w:rsidRPr="009A748A">
        <w:rPr>
          <w:rFonts w:ascii="Times New Roman" w:hAnsi="Times New Roman" w:cs="Times New Roman"/>
          <w:i/>
          <w:sz w:val="24"/>
          <w:szCs w:val="24"/>
        </w:rPr>
        <w:t>ex tempore</w:t>
      </w:r>
      <w:r w:rsidR="00B46214" w:rsidRPr="00654F4E">
        <w:rPr>
          <w:rFonts w:ascii="Times New Roman" w:hAnsi="Times New Roman" w:cs="Times New Roman"/>
          <w:sz w:val="24"/>
          <w:szCs w:val="24"/>
        </w:rPr>
        <w:t xml:space="preserve"> judgment in terms of which I granted the applicant’s prayer.</w:t>
      </w:r>
    </w:p>
    <w:p w:rsidR="00B46214" w:rsidRPr="00654F4E" w:rsidRDefault="00B46214" w:rsidP="007952FC">
      <w:pPr>
        <w:spacing w:after="0" w:line="360" w:lineRule="auto"/>
        <w:ind w:firstLine="720"/>
        <w:jc w:val="both"/>
        <w:rPr>
          <w:rFonts w:ascii="Times New Roman" w:hAnsi="Times New Roman" w:cs="Times New Roman"/>
          <w:sz w:val="24"/>
          <w:szCs w:val="24"/>
        </w:rPr>
      </w:pPr>
      <w:r w:rsidRPr="00654F4E">
        <w:rPr>
          <w:rFonts w:ascii="Times New Roman" w:hAnsi="Times New Roman" w:cs="Times New Roman"/>
          <w:sz w:val="24"/>
          <w:szCs w:val="24"/>
        </w:rPr>
        <w:t>On 18 November, 2021 the first respondent wrote requesting reasons for my decision.  These are they:</w:t>
      </w:r>
    </w:p>
    <w:p w:rsidR="00132633" w:rsidRPr="00654F4E" w:rsidRDefault="00132633" w:rsidP="007952FC">
      <w:pPr>
        <w:spacing w:after="0" w:line="360" w:lineRule="auto"/>
        <w:ind w:firstLine="720"/>
        <w:jc w:val="both"/>
        <w:rPr>
          <w:rFonts w:ascii="Times New Roman" w:hAnsi="Times New Roman" w:cs="Times New Roman"/>
          <w:sz w:val="24"/>
          <w:szCs w:val="24"/>
        </w:rPr>
      </w:pPr>
      <w:r w:rsidRPr="00654F4E">
        <w:rPr>
          <w:rFonts w:ascii="Times New Roman" w:hAnsi="Times New Roman" w:cs="Times New Roman"/>
          <w:sz w:val="24"/>
          <w:szCs w:val="24"/>
        </w:rPr>
        <w:t>The application is one for a declaratur and consequential relief</w:t>
      </w:r>
      <w:r w:rsidR="000F3CC4" w:rsidRPr="00654F4E">
        <w:rPr>
          <w:rFonts w:ascii="Times New Roman" w:hAnsi="Times New Roman" w:cs="Times New Roman"/>
          <w:sz w:val="24"/>
          <w:szCs w:val="24"/>
        </w:rPr>
        <w:t>. The applicant must, in an application for a declaratur, show that he</w:t>
      </w:r>
      <w:r w:rsidRPr="00654F4E">
        <w:rPr>
          <w:rFonts w:ascii="Times New Roman" w:hAnsi="Times New Roman" w:cs="Times New Roman"/>
          <w:sz w:val="24"/>
          <w:szCs w:val="24"/>
        </w:rPr>
        <w:t xml:space="preserve"> has a direct and substantial, and not only financial, interest in the right which is the subject</w:t>
      </w:r>
      <w:r w:rsidR="000F3CC4" w:rsidRPr="00654F4E">
        <w:rPr>
          <w:rFonts w:ascii="Times New Roman" w:hAnsi="Times New Roman" w:cs="Times New Roman"/>
          <w:sz w:val="24"/>
          <w:szCs w:val="24"/>
        </w:rPr>
        <w:t>-matter</w:t>
      </w:r>
      <w:r w:rsidRPr="00654F4E">
        <w:rPr>
          <w:rFonts w:ascii="Times New Roman" w:hAnsi="Times New Roman" w:cs="Times New Roman"/>
          <w:sz w:val="24"/>
          <w:szCs w:val="24"/>
        </w:rPr>
        <w:t xml:space="preserve"> of t</w:t>
      </w:r>
      <w:r w:rsidR="000F3CC4" w:rsidRPr="00654F4E">
        <w:rPr>
          <w:rFonts w:ascii="Times New Roman" w:hAnsi="Times New Roman" w:cs="Times New Roman"/>
          <w:sz w:val="24"/>
          <w:szCs w:val="24"/>
        </w:rPr>
        <w:t>he inquiry. Absent that, his application cannot succeed.</w:t>
      </w:r>
    </w:p>
    <w:p w:rsidR="00A549DB" w:rsidRPr="00654F4E" w:rsidRDefault="00A549DB" w:rsidP="007952FC">
      <w:pPr>
        <w:spacing w:after="0" w:line="360" w:lineRule="auto"/>
        <w:ind w:firstLine="720"/>
        <w:jc w:val="both"/>
        <w:rPr>
          <w:rFonts w:ascii="Times New Roman" w:hAnsi="Times New Roman" w:cs="Times New Roman"/>
          <w:sz w:val="24"/>
          <w:szCs w:val="24"/>
        </w:rPr>
      </w:pPr>
      <w:r w:rsidRPr="00654F4E">
        <w:rPr>
          <w:rFonts w:ascii="Times New Roman" w:hAnsi="Times New Roman" w:cs="Times New Roman"/>
          <w:sz w:val="24"/>
          <w:szCs w:val="24"/>
        </w:rPr>
        <w:t xml:space="preserve">Whether or not the applicant </w:t>
      </w:r>
      <w:r w:rsidRPr="00654F4E">
        <w:rPr>
          <w:rFonts w:ascii="Times New Roman" w:hAnsi="Times New Roman" w:cs="Times New Roman"/>
          <w:i/>
          <w:sz w:val="24"/>
          <w:szCs w:val="24"/>
        </w:rPr>
        <w:t>in casu</w:t>
      </w:r>
      <w:r w:rsidRPr="00654F4E">
        <w:rPr>
          <w:rFonts w:ascii="Times New Roman" w:hAnsi="Times New Roman" w:cs="Times New Roman"/>
          <w:sz w:val="24"/>
          <w:szCs w:val="24"/>
        </w:rPr>
        <w:t xml:space="preserve"> </w:t>
      </w:r>
      <w:r w:rsidR="00155906" w:rsidRPr="00654F4E">
        <w:rPr>
          <w:rFonts w:ascii="Times New Roman" w:hAnsi="Times New Roman" w:cs="Times New Roman"/>
          <w:sz w:val="24"/>
          <w:szCs w:val="24"/>
        </w:rPr>
        <w:t xml:space="preserve">showed </w:t>
      </w:r>
      <w:r w:rsidR="00155906">
        <w:rPr>
          <w:rFonts w:ascii="Times New Roman" w:hAnsi="Times New Roman" w:cs="Times New Roman"/>
          <w:sz w:val="24"/>
          <w:szCs w:val="24"/>
        </w:rPr>
        <w:t xml:space="preserve">that it has </w:t>
      </w:r>
      <w:r w:rsidRPr="00654F4E">
        <w:rPr>
          <w:rFonts w:ascii="Times New Roman" w:hAnsi="Times New Roman" w:cs="Times New Roman"/>
          <w:sz w:val="24"/>
          <w:szCs w:val="24"/>
        </w:rPr>
        <w:t xml:space="preserve">the requisite interest in the tobacco which is </w:t>
      </w:r>
      <w:r w:rsidR="00F07F84" w:rsidRPr="00654F4E">
        <w:rPr>
          <w:rFonts w:ascii="Times New Roman" w:hAnsi="Times New Roman" w:cs="Times New Roman"/>
          <w:sz w:val="24"/>
          <w:szCs w:val="24"/>
        </w:rPr>
        <w:t>the subject</w:t>
      </w:r>
      <w:r w:rsidR="00093801" w:rsidRPr="00654F4E">
        <w:rPr>
          <w:rFonts w:ascii="Times New Roman" w:hAnsi="Times New Roman" w:cs="Times New Roman"/>
          <w:sz w:val="24"/>
          <w:szCs w:val="24"/>
        </w:rPr>
        <w:t>-matter</w:t>
      </w:r>
      <w:r w:rsidR="00F07F84" w:rsidRPr="00654F4E">
        <w:rPr>
          <w:rFonts w:ascii="Times New Roman" w:hAnsi="Times New Roman" w:cs="Times New Roman"/>
          <w:sz w:val="24"/>
          <w:szCs w:val="24"/>
        </w:rPr>
        <w:t xml:space="preserve"> of this application</w:t>
      </w:r>
      <w:r w:rsidRPr="00654F4E">
        <w:rPr>
          <w:rFonts w:ascii="Times New Roman" w:hAnsi="Times New Roman" w:cs="Times New Roman"/>
          <w:sz w:val="24"/>
          <w:szCs w:val="24"/>
        </w:rPr>
        <w:t xml:space="preserve"> depends, in a large measure, on the evidence which the parties placed before me. The evidence is that, on 26 January 2019, the first applicant, a legal entity, and the first respondent</w:t>
      </w:r>
      <w:r w:rsidR="00155906">
        <w:rPr>
          <w:rFonts w:ascii="Times New Roman" w:hAnsi="Times New Roman" w:cs="Times New Roman"/>
          <w:sz w:val="24"/>
          <w:szCs w:val="24"/>
        </w:rPr>
        <w:t>,</w:t>
      </w:r>
      <w:r w:rsidRPr="00654F4E">
        <w:rPr>
          <w:rFonts w:ascii="Times New Roman" w:hAnsi="Times New Roman" w:cs="Times New Roman"/>
          <w:sz w:val="24"/>
          <w:szCs w:val="24"/>
        </w:rPr>
        <w:t xml:space="preserve"> which is also a legal entity</w:t>
      </w:r>
      <w:r w:rsidR="00155906">
        <w:rPr>
          <w:rFonts w:ascii="Times New Roman" w:hAnsi="Times New Roman" w:cs="Times New Roman"/>
          <w:sz w:val="24"/>
          <w:szCs w:val="24"/>
        </w:rPr>
        <w:t>,</w:t>
      </w:r>
      <w:r w:rsidRPr="00654F4E">
        <w:rPr>
          <w:rFonts w:ascii="Times New Roman" w:hAnsi="Times New Roman" w:cs="Times New Roman"/>
          <w:sz w:val="24"/>
          <w:szCs w:val="24"/>
        </w:rPr>
        <w:t xml:space="preserve"> entered into an agreement of cession of rights in tobacco. In terms of the said agreement, the first applicant ceded its rights in respect </w:t>
      </w:r>
      <w:r w:rsidRPr="00654F4E">
        <w:rPr>
          <w:rFonts w:ascii="Times New Roman" w:hAnsi="Times New Roman" w:cs="Times New Roman"/>
          <w:sz w:val="24"/>
          <w:szCs w:val="24"/>
        </w:rPr>
        <w:lastRenderedPageBreak/>
        <w:t>of 252 750.5 kilograms of tobacco to the first respondent. The cession constitutes the first applicant’s first cause of action.</w:t>
      </w:r>
    </w:p>
    <w:p w:rsidR="00FC061B" w:rsidRPr="00654F4E" w:rsidRDefault="00FC061B" w:rsidP="007952FC">
      <w:pPr>
        <w:spacing w:after="0" w:line="360" w:lineRule="auto"/>
        <w:ind w:firstLine="720"/>
        <w:jc w:val="both"/>
        <w:rPr>
          <w:rFonts w:ascii="Times New Roman" w:hAnsi="Times New Roman" w:cs="Times New Roman"/>
          <w:sz w:val="24"/>
          <w:szCs w:val="24"/>
        </w:rPr>
      </w:pPr>
      <w:r w:rsidRPr="00654F4E">
        <w:rPr>
          <w:rFonts w:ascii="Times New Roman" w:hAnsi="Times New Roman" w:cs="Times New Roman"/>
          <w:sz w:val="24"/>
          <w:szCs w:val="24"/>
        </w:rPr>
        <w:t>Following the cession, one Ray Munyaradzi Rambanapasi (“Rambanapasi”) who was/is director of the first respondent allegedly stole three hundred a</w:t>
      </w:r>
      <w:r w:rsidR="00093801" w:rsidRPr="00654F4E">
        <w:rPr>
          <w:rFonts w:ascii="Times New Roman" w:hAnsi="Times New Roman" w:cs="Times New Roman"/>
          <w:sz w:val="24"/>
          <w:szCs w:val="24"/>
        </w:rPr>
        <w:t>nd forty (340) bales of tobacco</w:t>
      </w:r>
      <w:r w:rsidRPr="00654F4E">
        <w:rPr>
          <w:rFonts w:ascii="Times New Roman" w:hAnsi="Times New Roman" w:cs="Times New Roman"/>
          <w:sz w:val="24"/>
          <w:szCs w:val="24"/>
        </w:rPr>
        <w:t xml:space="preserve"> which is part of the quantity of tobacco which the third respondent, a detective in the Zimbabwe Republic Police, seized from the first applicant’s premises, namely stand numbers 1252 and 1253</w:t>
      </w:r>
      <w:r w:rsidR="000E5F69" w:rsidRPr="00654F4E">
        <w:rPr>
          <w:rFonts w:ascii="Times New Roman" w:hAnsi="Times New Roman" w:cs="Times New Roman"/>
          <w:sz w:val="24"/>
          <w:szCs w:val="24"/>
        </w:rPr>
        <w:t>, 24th</w:t>
      </w:r>
      <w:r w:rsidRPr="00654F4E">
        <w:rPr>
          <w:rFonts w:ascii="Times New Roman" w:hAnsi="Times New Roman" w:cs="Times New Roman"/>
          <w:sz w:val="24"/>
          <w:szCs w:val="24"/>
        </w:rPr>
        <w:t xml:space="preserve"> Road, Light Industrial Area, Tynwald South, Harare on 24 May, 2019. The seizure of the tobacco followed the warrant of search and seizure which the court of the magistrate issued at the instance of the third respondent who applied for the same when she was investigating crimes of fraud and money-laundering which the State preferred against the first and second applicants against whose alleged conduct the first respondent complained to the police.</w:t>
      </w:r>
      <w:r w:rsidR="00791277" w:rsidRPr="00654F4E">
        <w:rPr>
          <w:rFonts w:ascii="Times New Roman" w:hAnsi="Times New Roman" w:cs="Times New Roman"/>
          <w:sz w:val="24"/>
          <w:szCs w:val="24"/>
        </w:rPr>
        <w:t xml:space="preserve"> The tobacco and other items which are not the subject of this application were, therefore, seized by the police. They were to be handled in terms of Part Vl of the Criminal Procedure and Evidence Act, </w:t>
      </w:r>
      <w:r w:rsidR="00BC0B75">
        <w:rPr>
          <w:rFonts w:ascii="Times New Roman" w:hAnsi="Times New Roman" w:cs="Times New Roman"/>
          <w:sz w:val="24"/>
          <w:szCs w:val="24"/>
        </w:rPr>
        <w:t>[</w:t>
      </w:r>
      <w:r w:rsidR="00791277" w:rsidRPr="00BC0B75">
        <w:rPr>
          <w:rFonts w:ascii="Times New Roman" w:hAnsi="Times New Roman" w:cs="Times New Roman"/>
          <w:i/>
          <w:sz w:val="24"/>
          <w:szCs w:val="24"/>
        </w:rPr>
        <w:t>Chapter 9:07</w:t>
      </w:r>
      <w:r w:rsidR="00BC0B75">
        <w:rPr>
          <w:rFonts w:ascii="Times New Roman" w:hAnsi="Times New Roman" w:cs="Times New Roman"/>
          <w:sz w:val="24"/>
          <w:szCs w:val="24"/>
        </w:rPr>
        <w:t>]</w:t>
      </w:r>
      <w:r w:rsidR="00791277" w:rsidRPr="00654F4E">
        <w:rPr>
          <w:rFonts w:ascii="Times New Roman" w:hAnsi="Times New Roman" w:cs="Times New Roman"/>
          <w:sz w:val="24"/>
          <w:szCs w:val="24"/>
        </w:rPr>
        <w:t>. They were, in short, to remain in the custody of the police pending the contemplated prosecution of the applicants during whose trial they would be produced as exhibits.</w:t>
      </w:r>
    </w:p>
    <w:p w:rsidR="00DD0096" w:rsidRPr="00654F4E" w:rsidRDefault="00DD0096" w:rsidP="007952FC">
      <w:pPr>
        <w:spacing w:after="0" w:line="360" w:lineRule="auto"/>
        <w:ind w:firstLine="360"/>
        <w:jc w:val="both"/>
        <w:rPr>
          <w:rFonts w:ascii="Times New Roman" w:hAnsi="Times New Roman" w:cs="Times New Roman"/>
          <w:sz w:val="24"/>
          <w:szCs w:val="24"/>
        </w:rPr>
      </w:pPr>
      <w:r w:rsidRPr="00654F4E">
        <w:rPr>
          <w:rFonts w:ascii="Times New Roman" w:hAnsi="Times New Roman" w:cs="Times New Roman"/>
          <w:sz w:val="24"/>
          <w:szCs w:val="24"/>
        </w:rPr>
        <w:t>It is the assertion of the applicants that the first and third re</w:t>
      </w:r>
      <w:r w:rsidR="00093801" w:rsidRPr="00654F4E">
        <w:rPr>
          <w:rFonts w:ascii="Times New Roman" w:hAnsi="Times New Roman" w:cs="Times New Roman"/>
          <w:sz w:val="24"/>
          <w:szCs w:val="24"/>
        </w:rPr>
        <w:t>spondents connived between them</w:t>
      </w:r>
      <w:r w:rsidRPr="00654F4E">
        <w:rPr>
          <w:rFonts w:ascii="Times New Roman" w:hAnsi="Times New Roman" w:cs="Times New Roman"/>
          <w:sz w:val="24"/>
          <w:szCs w:val="24"/>
        </w:rPr>
        <w:t xml:space="preserve"> </w:t>
      </w:r>
      <w:r w:rsidR="00093801" w:rsidRPr="00654F4E">
        <w:rPr>
          <w:rFonts w:ascii="Times New Roman" w:hAnsi="Times New Roman" w:cs="Times New Roman"/>
          <w:sz w:val="24"/>
          <w:szCs w:val="24"/>
        </w:rPr>
        <w:t>and the third respondent allowed</w:t>
      </w:r>
      <w:r w:rsidRPr="00654F4E">
        <w:rPr>
          <w:rFonts w:ascii="Times New Roman" w:hAnsi="Times New Roman" w:cs="Times New Roman"/>
          <w:sz w:val="24"/>
          <w:szCs w:val="24"/>
        </w:rPr>
        <w:t xml:space="preserve"> the first respondent’s finance director, Rambanapasi, to take 340 bales of tobacco from the </w:t>
      </w:r>
      <w:r w:rsidR="000E5F69" w:rsidRPr="00654F4E">
        <w:rPr>
          <w:rFonts w:ascii="Times New Roman" w:hAnsi="Times New Roman" w:cs="Times New Roman"/>
          <w:sz w:val="24"/>
          <w:szCs w:val="24"/>
        </w:rPr>
        <w:t>wherehouse where</w:t>
      </w:r>
      <w:r w:rsidRPr="00654F4E">
        <w:rPr>
          <w:rFonts w:ascii="Times New Roman" w:hAnsi="Times New Roman" w:cs="Times New Roman"/>
          <w:sz w:val="24"/>
          <w:szCs w:val="24"/>
        </w:rPr>
        <w:t xml:space="preserve"> the tobacco was/is kept. The allegation constitutes the applicants’ second cause of action. They, in short, move me </w:t>
      </w:r>
      <w:r w:rsidR="000E5F69" w:rsidRPr="00654F4E">
        <w:rPr>
          <w:rFonts w:ascii="Times New Roman" w:hAnsi="Times New Roman" w:cs="Times New Roman"/>
          <w:sz w:val="24"/>
          <w:szCs w:val="24"/>
        </w:rPr>
        <w:t>to:</w:t>
      </w:r>
    </w:p>
    <w:p w:rsidR="00DD0096" w:rsidRPr="00654F4E" w:rsidRDefault="001F507E" w:rsidP="007952F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w:t>
      </w:r>
      <w:r w:rsidR="00DD0096" w:rsidRPr="00654F4E">
        <w:rPr>
          <w:rFonts w:ascii="Times New Roman" w:hAnsi="Times New Roman" w:cs="Times New Roman"/>
          <w:sz w:val="24"/>
          <w:szCs w:val="24"/>
        </w:rPr>
        <w:t>eclare the agreement of cession which the first applicant and the first respondent signed on 26 June, 2019 to be null and void as well as to set the same aside – and</w:t>
      </w:r>
    </w:p>
    <w:p w:rsidR="00DD0096" w:rsidRPr="00654F4E" w:rsidRDefault="001F507E" w:rsidP="007952F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w:t>
      </w:r>
      <w:r w:rsidR="00DD0096" w:rsidRPr="00654F4E">
        <w:rPr>
          <w:rFonts w:ascii="Times New Roman" w:hAnsi="Times New Roman" w:cs="Times New Roman"/>
          <w:sz w:val="24"/>
          <w:szCs w:val="24"/>
        </w:rPr>
        <w:t>irect the first, second and third respondents, jointly and severally, the one delivering the others to be absolved, 340 bales of tobacco taken from stand numbers 1252 and 1253, 24</w:t>
      </w:r>
      <w:r w:rsidR="00DD0096" w:rsidRPr="00654F4E">
        <w:rPr>
          <w:rFonts w:ascii="Times New Roman" w:hAnsi="Times New Roman" w:cs="Times New Roman"/>
          <w:sz w:val="24"/>
          <w:szCs w:val="24"/>
          <w:vertAlign w:val="superscript"/>
        </w:rPr>
        <w:t>th</w:t>
      </w:r>
      <w:r w:rsidR="00DD0096" w:rsidRPr="00654F4E">
        <w:rPr>
          <w:rFonts w:ascii="Times New Roman" w:hAnsi="Times New Roman" w:cs="Times New Roman"/>
          <w:sz w:val="24"/>
          <w:szCs w:val="24"/>
        </w:rPr>
        <w:t xml:space="preserve"> Road, Tynwald South, Harare within 48 hours of service upon them of the court order.</w:t>
      </w:r>
    </w:p>
    <w:p w:rsidR="0051292F" w:rsidRPr="00654F4E" w:rsidRDefault="0051292F" w:rsidP="007952FC">
      <w:pPr>
        <w:spacing w:after="0" w:line="360" w:lineRule="auto"/>
        <w:ind w:left="360" w:firstLine="360"/>
        <w:jc w:val="both"/>
        <w:rPr>
          <w:rFonts w:ascii="Times New Roman" w:hAnsi="Times New Roman" w:cs="Times New Roman"/>
          <w:sz w:val="24"/>
          <w:szCs w:val="24"/>
        </w:rPr>
      </w:pPr>
      <w:r w:rsidRPr="00654F4E">
        <w:rPr>
          <w:rFonts w:ascii="Times New Roman" w:hAnsi="Times New Roman" w:cs="Times New Roman"/>
          <w:sz w:val="24"/>
          <w:szCs w:val="24"/>
        </w:rPr>
        <w:t>All the respondents filed notices of opposition to the application. However, apart from the second respondent who was/is self-acting, the third and fourth respondents who were legally represented did not file any heads. This was notwithstanding their receipt of the applicants’ heads. Both of them are, therefore, out of court. This leaves only the first and the second respondents in the equation.</w:t>
      </w:r>
    </w:p>
    <w:p w:rsidR="00C85FD3" w:rsidRPr="00654F4E" w:rsidRDefault="00C85FD3" w:rsidP="007952FC">
      <w:pPr>
        <w:spacing w:after="0" w:line="360" w:lineRule="auto"/>
        <w:ind w:left="360" w:firstLine="360"/>
        <w:jc w:val="both"/>
        <w:rPr>
          <w:rFonts w:ascii="Times New Roman" w:hAnsi="Times New Roman" w:cs="Times New Roman"/>
          <w:sz w:val="24"/>
          <w:szCs w:val="24"/>
        </w:rPr>
      </w:pPr>
      <w:r w:rsidRPr="00654F4E">
        <w:rPr>
          <w:rFonts w:ascii="Times New Roman" w:hAnsi="Times New Roman" w:cs="Times New Roman"/>
          <w:sz w:val="24"/>
          <w:szCs w:val="24"/>
        </w:rPr>
        <w:lastRenderedPageBreak/>
        <w:t>Papers which are filed of record reveal that the first applicant and the first respondent enjoyed a special relationship between them prior to the occasion that the same turned sour. The applicants spell out the legal entities’ relationship in para</w:t>
      </w:r>
      <w:r w:rsidR="00666577">
        <w:rPr>
          <w:rFonts w:ascii="Times New Roman" w:hAnsi="Times New Roman" w:cs="Times New Roman"/>
          <w:sz w:val="24"/>
          <w:szCs w:val="24"/>
        </w:rPr>
        <w:t>graphs</w:t>
      </w:r>
      <w:r w:rsidRPr="00654F4E">
        <w:rPr>
          <w:rFonts w:ascii="Times New Roman" w:hAnsi="Times New Roman" w:cs="Times New Roman"/>
          <w:sz w:val="24"/>
          <w:szCs w:val="24"/>
        </w:rPr>
        <w:t xml:space="preserve"> 8 and 9 of the founding affidavit. According to the relationship, the first respondent entered</w:t>
      </w:r>
      <w:r w:rsidR="001F507E">
        <w:rPr>
          <w:rFonts w:ascii="Times New Roman" w:hAnsi="Times New Roman" w:cs="Times New Roman"/>
          <w:sz w:val="24"/>
          <w:szCs w:val="24"/>
        </w:rPr>
        <w:t xml:space="preserve"> into a trade facilitation and p</w:t>
      </w:r>
      <w:r w:rsidRPr="00654F4E">
        <w:rPr>
          <w:rFonts w:ascii="Times New Roman" w:hAnsi="Times New Roman" w:cs="Times New Roman"/>
          <w:sz w:val="24"/>
          <w:szCs w:val="24"/>
        </w:rPr>
        <w:t>ayment agreement with a company called Anametrics Holdings Limited. The agreement was for the facilitation of issuance of letters of credit by Anametrics in favour of the first respondent’s international suppliers. The first applicant which, according to the agreement, was Anametrics’ designated representative was responsible for issuance of letters of credit.</w:t>
      </w:r>
    </w:p>
    <w:p w:rsidR="004959C1" w:rsidRPr="00654F4E" w:rsidRDefault="004959C1" w:rsidP="007952FC">
      <w:pPr>
        <w:spacing w:after="0" w:line="360" w:lineRule="auto"/>
        <w:ind w:left="360" w:firstLine="360"/>
        <w:jc w:val="both"/>
        <w:rPr>
          <w:rFonts w:ascii="Times New Roman" w:hAnsi="Times New Roman" w:cs="Times New Roman"/>
          <w:sz w:val="24"/>
          <w:szCs w:val="24"/>
        </w:rPr>
      </w:pPr>
      <w:r w:rsidRPr="00654F4E">
        <w:rPr>
          <w:rFonts w:ascii="Times New Roman" w:hAnsi="Times New Roman" w:cs="Times New Roman"/>
          <w:sz w:val="24"/>
          <w:szCs w:val="24"/>
        </w:rPr>
        <w:t>It was in the spirit of the agreement that the first respondent paid the sum of US$ 4 966 507.71 to the first applicant. It is this sum which the first respondent alleges that the first and the second applicants stole from it in a deceiptful manner.</w:t>
      </w:r>
      <w:r w:rsidR="00F75245" w:rsidRPr="00654F4E">
        <w:rPr>
          <w:rFonts w:ascii="Times New Roman" w:hAnsi="Times New Roman" w:cs="Times New Roman"/>
          <w:sz w:val="24"/>
          <w:szCs w:val="24"/>
        </w:rPr>
        <w:t xml:space="preserve"> It is the same which propelled the first respondent to cause:</w:t>
      </w:r>
    </w:p>
    <w:p w:rsidR="00F75245" w:rsidRPr="00654F4E" w:rsidRDefault="001F507E" w:rsidP="007952FC">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F75245" w:rsidRPr="00654F4E">
        <w:rPr>
          <w:rFonts w:ascii="Times New Roman" w:hAnsi="Times New Roman" w:cs="Times New Roman"/>
          <w:sz w:val="24"/>
          <w:szCs w:val="24"/>
        </w:rPr>
        <w:t>he arrest of the second applicant – and</w:t>
      </w:r>
    </w:p>
    <w:p w:rsidR="00F75245" w:rsidRPr="00654F4E" w:rsidRDefault="001F507E" w:rsidP="007952FC">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w:t>
      </w:r>
      <w:r w:rsidR="00F75245" w:rsidRPr="00654F4E">
        <w:rPr>
          <w:rFonts w:ascii="Times New Roman" w:hAnsi="Times New Roman" w:cs="Times New Roman"/>
          <w:sz w:val="24"/>
          <w:szCs w:val="24"/>
        </w:rPr>
        <w:t>eizure of the applicants’ tobacco</w:t>
      </w:r>
      <w:r w:rsidR="00155906">
        <w:rPr>
          <w:rFonts w:ascii="Times New Roman" w:hAnsi="Times New Roman" w:cs="Times New Roman"/>
          <w:sz w:val="24"/>
          <w:szCs w:val="24"/>
        </w:rPr>
        <w:t>,</w:t>
      </w:r>
      <w:r w:rsidR="00F75245" w:rsidRPr="00654F4E">
        <w:rPr>
          <w:rFonts w:ascii="Times New Roman" w:hAnsi="Times New Roman" w:cs="Times New Roman"/>
          <w:sz w:val="24"/>
          <w:szCs w:val="24"/>
        </w:rPr>
        <w:t xml:space="preserve"> among other items.</w:t>
      </w:r>
      <w:r w:rsidR="009C4DFD" w:rsidRPr="00654F4E">
        <w:rPr>
          <w:rFonts w:ascii="Times New Roman" w:hAnsi="Times New Roman" w:cs="Times New Roman"/>
          <w:sz w:val="24"/>
          <w:szCs w:val="24"/>
        </w:rPr>
        <w:t xml:space="preserve">   </w:t>
      </w:r>
    </w:p>
    <w:p w:rsidR="009C4DFD" w:rsidRPr="00654F4E" w:rsidRDefault="009C4DFD" w:rsidP="007952FC">
      <w:pPr>
        <w:spacing w:after="0" w:line="360" w:lineRule="auto"/>
        <w:ind w:firstLine="360"/>
        <w:jc w:val="both"/>
        <w:rPr>
          <w:rFonts w:ascii="Times New Roman" w:hAnsi="Times New Roman" w:cs="Times New Roman"/>
          <w:sz w:val="24"/>
          <w:szCs w:val="24"/>
        </w:rPr>
      </w:pPr>
      <w:r w:rsidRPr="00654F4E">
        <w:rPr>
          <w:rFonts w:ascii="Times New Roman" w:hAnsi="Times New Roman" w:cs="Times New Roman"/>
          <w:sz w:val="24"/>
          <w:szCs w:val="24"/>
        </w:rPr>
        <w:t>The first applicant and the first respondent, it has already been observed, are fictitious persons. They could not, as such, speak to, or negotiate with, each other. They could not, in other words, create the relationship which they enjoyed before they fell out with each other. They were only able to speak to, or negotiate with, each other through the medium of such natural persons as the second applicant and/or Rambanapasi respectively. It is for the mentioned reason, if for no other, that the first respondent is able to connect the second applicant to the first applicant in a clear and unambiguous manner.</w:t>
      </w:r>
      <w:r w:rsidR="00972AA0" w:rsidRPr="00654F4E">
        <w:rPr>
          <w:rFonts w:ascii="Times New Roman" w:hAnsi="Times New Roman" w:cs="Times New Roman"/>
          <w:sz w:val="24"/>
          <w:szCs w:val="24"/>
        </w:rPr>
        <w:t xml:space="preserve"> It, for instance, makes the following respective statements in para</w:t>
      </w:r>
      <w:r w:rsidR="00666577">
        <w:rPr>
          <w:rFonts w:ascii="Times New Roman" w:hAnsi="Times New Roman" w:cs="Times New Roman"/>
          <w:sz w:val="24"/>
          <w:szCs w:val="24"/>
        </w:rPr>
        <w:t>graph</w:t>
      </w:r>
      <w:r w:rsidR="00972AA0" w:rsidRPr="00654F4E">
        <w:rPr>
          <w:rFonts w:ascii="Times New Roman" w:hAnsi="Times New Roman" w:cs="Times New Roman"/>
          <w:sz w:val="24"/>
          <w:szCs w:val="24"/>
        </w:rPr>
        <w:t>s 7.1.1, 11, 14 and 26 of its opposing affidavit:</w:t>
      </w:r>
    </w:p>
    <w:p w:rsidR="00972AA0" w:rsidRPr="007F1A56" w:rsidRDefault="00972AA0" w:rsidP="007952FC">
      <w:pPr>
        <w:spacing w:after="0" w:line="240" w:lineRule="auto"/>
        <w:ind w:left="720"/>
        <w:jc w:val="both"/>
        <w:rPr>
          <w:rFonts w:ascii="Times New Roman" w:hAnsi="Times New Roman" w:cs="Times New Roman"/>
        </w:rPr>
      </w:pPr>
      <w:r w:rsidRPr="007F1A56">
        <w:rPr>
          <w:rFonts w:ascii="Times New Roman" w:hAnsi="Times New Roman" w:cs="Times New Roman"/>
        </w:rPr>
        <w:t xml:space="preserve">“7.1.1- It was the </w:t>
      </w:r>
      <w:r w:rsidR="00654F4E" w:rsidRPr="007F1A56">
        <w:rPr>
          <w:rFonts w:ascii="Times New Roman" w:hAnsi="Times New Roman" w:cs="Times New Roman"/>
        </w:rPr>
        <w:t>first</w:t>
      </w:r>
      <w:r w:rsidRPr="007F1A56">
        <w:rPr>
          <w:rFonts w:ascii="Times New Roman" w:hAnsi="Times New Roman" w:cs="Times New Roman"/>
        </w:rPr>
        <w:t xml:space="preserve"> </w:t>
      </w:r>
      <w:r w:rsidR="00654F4E" w:rsidRPr="007F1A56">
        <w:rPr>
          <w:rFonts w:ascii="Times New Roman" w:hAnsi="Times New Roman" w:cs="Times New Roman"/>
        </w:rPr>
        <w:t>a</w:t>
      </w:r>
      <w:r w:rsidRPr="007F1A56">
        <w:rPr>
          <w:rFonts w:ascii="Times New Roman" w:hAnsi="Times New Roman" w:cs="Times New Roman"/>
        </w:rPr>
        <w:t xml:space="preserve">pplicant who approached the </w:t>
      </w:r>
      <w:r w:rsidR="00654F4E" w:rsidRPr="007F1A56">
        <w:rPr>
          <w:rFonts w:ascii="Times New Roman" w:hAnsi="Times New Roman" w:cs="Times New Roman"/>
        </w:rPr>
        <w:t>first</w:t>
      </w:r>
      <w:r w:rsidRPr="007F1A56">
        <w:rPr>
          <w:rFonts w:ascii="Times New Roman" w:hAnsi="Times New Roman" w:cs="Times New Roman"/>
        </w:rPr>
        <w:t xml:space="preserve"> </w:t>
      </w:r>
      <w:r w:rsidR="00654F4E" w:rsidRPr="007F1A56">
        <w:rPr>
          <w:rFonts w:ascii="Times New Roman" w:hAnsi="Times New Roman" w:cs="Times New Roman"/>
        </w:rPr>
        <w:t>r</w:t>
      </w:r>
      <w:r w:rsidRPr="007F1A56">
        <w:rPr>
          <w:rFonts w:ascii="Times New Roman" w:hAnsi="Times New Roman" w:cs="Times New Roman"/>
        </w:rPr>
        <w:t xml:space="preserve">espondent through one Chris Hokonya and </w:t>
      </w:r>
      <w:r w:rsidR="00654F4E" w:rsidRPr="007F1A56">
        <w:rPr>
          <w:rFonts w:ascii="Times New Roman" w:hAnsi="Times New Roman" w:cs="Times New Roman"/>
        </w:rPr>
        <w:t>second</w:t>
      </w:r>
      <w:r w:rsidRPr="007F1A56">
        <w:rPr>
          <w:rFonts w:ascii="Times New Roman" w:hAnsi="Times New Roman" w:cs="Times New Roman"/>
        </w:rPr>
        <w:t xml:space="preserve"> </w:t>
      </w:r>
      <w:r w:rsidR="00654F4E" w:rsidRPr="007F1A56">
        <w:rPr>
          <w:rFonts w:ascii="Times New Roman" w:hAnsi="Times New Roman" w:cs="Times New Roman"/>
        </w:rPr>
        <w:t>a</w:t>
      </w:r>
      <w:r w:rsidRPr="007F1A56">
        <w:rPr>
          <w:rFonts w:ascii="Times New Roman" w:hAnsi="Times New Roman" w:cs="Times New Roman"/>
        </w:rPr>
        <w:t xml:space="preserve">pplicant and made representations to </w:t>
      </w:r>
      <w:r w:rsidR="00654F4E" w:rsidRPr="007F1A56">
        <w:rPr>
          <w:rFonts w:ascii="Times New Roman" w:hAnsi="Times New Roman" w:cs="Times New Roman"/>
        </w:rPr>
        <w:t>first</w:t>
      </w:r>
      <w:r w:rsidRPr="007F1A56">
        <w:rPr>
          <w:rFonts w:ascii="Times New Roman" w:hAnsi="Times New Roman" w:cs="Times New Roman"/>
        </w:rPr>
        <w:t xml:space="preserve"> </w:t>
      </w:r>
      <w:r w:rsidR="00654F4E" w:rsidRPr="007F1A56">
        <w:rPr>
          <w:rFonts w:ascii="Times New Roman" w:hAnsi="Times New Roman" w:cs="Times New Roman"/>
        </w:rPr>
        <w:t>r</w:t>
      </w:r>
      <w:r w:rsidRPr="007F1A56">
        <w:rPr>
          <w:rFonts w:ascii="Times New Roman" w:hAnsi="Times New Roman" w:cs="Times New Roman"/>
        </w:rPr>
        <w:t xml:space="preserve">espondent that the </w:t>
      </w:r>
      <w:r w:rsidR="00654F4E" w:rsidRPr="007F1A56">
        <w:rPr>
          <w:rFonts w:ascii="Times New Roman" w:hAnsi="Times New Roman" w:cs="Times New Roman"/>
        </w:rPr>
        <w:t>first</w:t>
      </w:r>
      <w:r w:rsidRPr="007F1A56">
        <w:rPr>
          <w:rFonts w:ascii="Times New Roman" w:hAnsi="Times New Roman" w:cs="Times New Roman"/>
        </w:rPr>
        <w:t xml:space="preserve"> </w:t>
      </w:r>
      <w:r w:rsidR="00654F4E" w:rsidRPr="007F1A56">
        <w:rPr>
          <w:rFonts w:ascii="Times New Roman" w:hAnsi="Times New Roman" w:cs="Times New Roman"/>
        </w:rPr>
        <w:t>a</w:t>
      </w:r>
      <w:r w:rsidRPr="007F1A56">
        <w:rPr>
          <w:rFonts w:ascii="Times New Roman" w:hAnsi="Times New Roman" w:cs="Times New Roman"/>
        </w:rPr>
        <w:t>pplicant’s holding company, Anametrics Holding Limited, ran a fund</w:t>
      </w:r>
      <w:r w:rsidR="00093801" w:rsidRPr="007F1A56">
        <w:rPr>
          <w:rFonts w:ascii="Times New Roman" w:hAnsi="Times New Roman" w:cs="Times New Roman"/>
        </w:rPr>
        <w:t xml:space="preserve"> </w:t>
      </w:r>
      <w:r w:rsidR="004F3D81" w:rsidRPr="007F1A56">
        <w:rPr>
          <w:rFonts w:ascii="Times New Roman" w:hAnsi="Times New Roman" w:cs="Times New Roman"/>
        </w:rPr>
        <w:t xml:space="preserve">registered by the </w:t>
      </w:r>
      <w:r w:rsidR="00654F4E" w:rsidRPr="007F1A56">
        <w:rPr>
          <w:rFonts w:ascii="Times New Roman" w:hAnsi="Times New Roman" w:cs="Times New Roman"/>
        </w:rPr>
        <w:t>second</w:t>
      </w:r>
      <w:r w:rsidR="004F3D81" w:rsidRPr="007F1A56">
        <w:rPr>
          <w:rFonts w:ascii="Times New Roman" w:hAnsi="Times New Roman" w:cs="Times New Roman"/>
        </w:rPr>
        <w:t xml:space="preserve"> </w:t>
      </w:r>
      <w:r w:rsidR="00654F4E" w:rsidRPr="007F1A56">
        <w:rPr>
          <w:rFonts w:ascii="Times New Roman" w:hAnsi="Times New Roman" w:cs="Times New Roman"/>
        </w:rPr>
        <w:t>a</w:t>
      </w:r>
      <w:r w:rsidR="004F3D81" w:rsidRPr="007F1A56">
        <w:rPr>
          <w:rFonts w:ascii="Times New Roman" w:hAnsi="Times New Roman" w:cs="Times New Roman"/>
        </w:rPr>
        <w:t xml:space="preserve">pplicant as </w:t>
      </w:r>
      <w:r w:rsidR="00654F4E" w:rsidRPr="007F1A56">
        <w:rPr>
          <w:rFonts w:ascii="Times New Roman" w:hAnsi="Times New Roman" w:cs="Times New Roman"/>
        </w:rPr>
        <w:t>first</w:t>
      </w:r>
      <w:r w:rsidR="004F3D81" w:rsidRPr="007F1A56">
        <w:rPr>
          <w:rFonts w:ascii="Times New Roman" w:hAnsi="Times New Roman" w:cs="Times New Roman"/>
        </w:rPr>
        <w:t xml:space="preserve"> </w:t>
      </w:r>
      <w:r w:rsidR="00654F4E" w:rsidRPr="007F1A56">
        <w:rPr>
          <w:rFonts w:ascii="Times New Roman" w:hAnsi="Times New Roman" w:cs="Times New Roman"/>
        </w:rPr>
        <w:t>a</w:t>
      </w:r>
      <w:r w:rsidR="004F3D81" w:rsidRPr="007F1A56">
        <w:rPr>
          <w:rFonts w:ascii="Times New Roman" w:hAnsi="Times New Roman" w:cs="Times New Roman"/>
        </w:rPr>
        <w:t xml:space="preserve">pplicant and had a capacity to arrange for documentary letters of credit for the </w:t>
      </w:r>
      <w:r w:rsidR="00654F4E" w:rsidRPr="007F1A56">
        <w:rPr>
          <w:rFonts w:ascii="Times New Roman" w:hAnsi="Times New Roman" w:cs="Times New Roman"/>
        </w:rPr>
        <w:t>first</w:t>
      </w:r>
      <w:r w:rsidR="004F3D81" w:rsidRPr="007F1A56">
        <w:rPr>
          <w:rFonts w:ascii="Times New Roman" w:hAnsi="Times New Roman" w:cs="Times New Roman"/>
        </w:rPr>
        <w:t xml:space="preserve"> </w:t>
      </w:r>
      <w:r w:rsidR="00654F4E" w:rsidRPr="007F1A56">
        <w:rPr>
          <w:rFonts w:ascii="Times New Roman" w:hAnsi="Times New Roman" w:cs="Times New Roman"/>
        </w:rPr>
        <w:t>r</w:t>
      </w:r>
      <w:r w:rsidR="004F3D81" w:rsidRPr="007F1A56">
        <w:rPr>
          <w:rFonts w:ascii="Times New Roman" w:hAnsi="Times New Roman" w:cs="Times New Roman"/>
        </w:rPr>
        <w:t>espondent’s suppliers most of which were based in South Africa.</w:t>
      </w:r>
    </w:p>
    <w:p w:rsidR="004F3D81" w:rsidRPr="007F1A56" w:rsidRDefault="004F3D81" w:rsidP="007952FC">
      <w:pPr>
        <w:spacing w:after="0" w:line="240" w:lineRule="auto"/>
        <w:ind w:left="720"/>
        <w:jc w:val="both"/>
        <w:rPr>
          <w:rFonts w:ascii="Times New Roman" w:hAnsi="Times New Roman" w:cs="Times New Roman"/>
        </w:rPr>
      </w:pPr>
      <w:r w:rsidRPr="007F1A56">
        <w:rPr>
          <w:rFonts w:ascii="Times New Roman" w:hAnsi="Times New Roman" w:cs="Times New Roman"/>
        </w:rPr>
        <w:t xml:space="preserve">11. …The amount of US$ 4 996 507 was paid to </w:t>
      </w:r>
      <w:r w:rsidR="000E5F69" w:rsidRPr="007F1A56">
        <w:rPr>
          <w:rFonts w:ascii="Times New Roman" w:hAnsi="Times New Roman" w:cs="Times New Roman"/>
        </w:rPr>
        <w:t>first</w:t>
      </w:r>
      <w:r w:rsidRPr="007F1A56">
        <w:rPr>
          <w:rFonts w:ascii="Times New Roman" w:hAnsi="Times New Roman" w:cs="Times New Roman"/>
        </w:rPr>
        <w:t xml:space="preserve"> </w:t>
      </w:r>
      <w:r w:rsidR="00654F4E" w:rsidRPr="007F1A56">
        <w:rPr>
          <w:rFonts w:ascii="Times New Roman" w:hAnsi="Times New Roman" w:cs="Times New Roman"/>
        </w:rPr>
        <w:t>a</w:t>
      </w:r>
      <w:r w:rsidRPr="007F1A56">
        <w:rPr>
          <w:rFonts w:ascii="Times New Roman" w:hAnsi="Times New Roman" w:cs="Times New Roman"/>
        </w:rPr>
        <w:t xml:space="preserve">pplicant’s bank accounts and was converted for personal use by </w:t>
      </w:r>
      <w:r w:rsidR="000E5F69" w:rsidRPr="007F1A56">
        <w:rPr>
          <w:rFonts w:ascii="Times New Roman" w:hAnsi="Times New Roman" w:cs="Times New Roman"/>
        </w:rPr>
        <w:t>first</w:t>
      </w:r>
      <w:r w:rsidRPr="007F1A56">
        <w:rPr>
          <w:rFonts w:ascii="Times New Roman" w:hAnsi="Times New Roman" w:cs="Times New Roman"/>
        </w:rPr>
        <w:t xml:space="preserve"> and </w:t>
      </w:r>
      <w:r w:rsidR="000E5F69" w:rsidRPr="007F1A56">
        <w:rPr>
          <w:rFonts w:ascii="Times New Roman" w:hAnsi="Times New Roman" w:cs="Times New Roman"/>
        </w:rPr>
        <w:t>second</w:t>
      </w:r>
      <w:r w:rsidRPr="007F1A56">
        <w:rPr>
          <w:rFonts w:ascii="Times New Roman" w:hAnsi="Times New Roman" w:cs="Times New Roman"/>
        </w:rPr>
        <w:t xml:space="preserve"> </w:t>
      </w:r>
      <w:r w:rsidR="000E5F69" w:rsidRPr="007F1A56">
        <w:rPr>
          <w:rFonts w:ascii="Times New Roman" w:hAnsi="Times New Roman" w:cs="Times New Roman"/>
        </w:rPr>
        <w:t>a</w:t>
      </w:r>
      <w:r w:rsidRPr="007F1A56">
        <w:rPr>
          <w:rFonts w:ascii="Times New Roman" w:hAnsi="Times New Roman" w:cs="Times New Roman"/>
        </w:rPr>
        <w:t xml:space="preserve">pplicant </w:t>
      </w:r>
      <w:r w:rsidRPr="007F1A56">
        <w:rPr>
          <w:rFonts w:ascii="Times New Roman" w:hAnsi="Times New Roman" w:cs="Times New Roman"/>
          <w:i/>
        </w:rPr>
        <w:t>(sic).</w:t>
      </w:r>
    </w:p>
    <w:p w:rsidR="004F3D81" w:rsidRPr="007F1A56" w:rsidRDefault="004F3D81" w:rsidP="007952FC">
      <w:pPr>
        <w:spacing w:after="0" w:line="240" w:lineRule="auto"/>
        <w:ind w:left="720"/>
        <w:jc w:val="both"/>
        <w:rPr>
          <w:rFonts w:ascii="Times New Roman" w:hAnsi="Times New Roman" w:cs="Times New Roman"/>
        </w:rPr>
      </w:pPr>
      <w:r w:rsidRPr="007F1A56">
        <w:rPr>
          <w:rFonts w:ascii="Times New Roman" w:hAnsi="Times New Roman" w:cs="Times New Roman"/>
        </w:rPr>
        <w:t>14. …</w:t>
      </w:r>
      <w:r w:rsidR="009A748A">
        <w:rPr>
          <w:rFonts w:ascii="Times New Roman" w:hAnsi="Times New Roman" w:cs="Times New Roman"/>
        </w:rPr>
        <w:t>first</w:t>
      </w:r>
      <w:r w:rsidRPr="007F1A56">
        <w:rPr>
          <w:rFonts w:ascii="Times New Roman" w:hAnsi="Times New Roman" w:cs="Times New Roman"/>
        </w:rPr>
        <w:t xml:space="preserve"> </w:t>
      </w:r>
      <w:r w:rsidR="00654F4E" w:rsidRPr="007F1A56">
        <w:rPr>
          <w:rFonts w:ascii="Times New Roman" w:hAnsi="Times New Roman" w:cs="Times New Roman"/>
        </w:rPr>
        <w:t>a</w:t>
      </w:r>
      <w:r w:rsidRPr="007F1A56">
        <w:rPr>
          <w:rFonts w:ascii="Times New Roman" w:hAnsi="Times New Roman" w:cs="Times New Roman"/>
        </w:rPr>
        <w:t xml:space="preserve">pplicant and </w:t>
      </w:r>
      <w:r w:rsidR="00654F4E" w:rsidRPr="007F1A56">
        <w:rPr>
          <w:rFonts w:ascii="Times New Roman" w:hAnsi="Times New Roman" w:cs="Times New Roman"/>
        </w:rPr>
        <w:t>second</w:t>
      </w:r>
      <w:r w:rsidRPr="007F1A56">
        <w:rPr>
          <w:rFonts w:ascii="Times New Roman" w:hAnsi="Times New Roman" w:cs="Times New Roman"/>
        </w:rPr>
        <w:t xml:space="preserve"> </w:t>
      </w:r>
      <w:r w:rsidR="00654F4E" w:rsidRPr="007F1A56">
        <w:rPr>
          <w:rFonts w:ascii="Times New Roman" w:hAnsi="Times New Roman" w:cs="Times New Roman"/>
        </w:rPr>
        <w:t>a</w:t>
      </w:r>
      <w:r w:rsidRPr="007F1A56">
        <w:rPr>
          <w:rFonts w:ascii="Times New Roman" w:hAnsi="Times New Roman" w:cs="Times New Roman"/>
        </w:rPr>
        <w:t xml:space="preserve">pplicant deliberately converted </w:t>
      </w:r>
      <w:r w:rsidR="00654F4E" w:rsidRPr="007F1A56">
        <w:rPr>
          <w:rFonts w:ascii="Times New Roman" w:hAnsi="Times New Roman" w:cs="Times New Roman"/>
        </w:rPr>
        <w:t>first</w:t>
      </w:r>
      <w:r w:rsidRPr="007F1A56">
        <w:rPr>
          <w:rFonts w:ascii="Times New Roman" w:hAnsi="Times New Roman" w:cs="Times New Roman"/>
        </w:rPr>
        <w:t xml:space="preserve"> </w:t>
      </w:r>
      <w:r w:rsidR="00654F4E" w:rsidRPr="007F1A56">
        <w:rPr>
          <w:rFonts w:ascii="Times New Roman" w:hAnsi="Times New Roman" w:cs="Times New Roman"/>
        </w:rPr>
        <w:t>r</w:t>
      </w:r>
      <w:r w:rsidRPr="007F1A56">
        <w:rPr>
          <w:rFonts w:ascii="Times New Roman" w:hAnsi="Times New Roman" w:cs="Times New Roman"/>
        </w:rPr>
        <w:t>espondent’s funds meant for securing documentary letters of credit for purposes not agreed upon.</w:t>
      </w:r>
    </w:p>
    <w:p w:rsidR="004F3D81" w:rsidRPr="007F1A56" w:rsidRDefault="004F3D81" w:rsidP="007952FC">
      <w:pPr>
        <w:spacing w:after="0" w:line="240" w:lineRule="auto"/>
        <w:ind w:left="720"/>
        <w:jc w:val="both"/>
        <w:rPr>
          <w:rFonts w:ascii="Times New Roman" w:hAnsi="Times New Roman" w:cs="Times New Roman"/>
        </w:rPr>
      </w:pPr>
      <w:r w:rsidRPr="007F1A56">
        <w:rPr>
          <w:rFonts w:ascii="Times New Roman" w:hAnsi="Times New Roman" w:cs="Times New Roman"/>
        </w:rPr>
        <w:t xml:space="preserve">26. Apart from the deponent’s word, which word should be taken with doubt due to his heavy involvement in the loss suffered by the </w:t>
      </w:r>
      <w:r w:rsidR="00654F4E" w:rsidRPr="007F1A56">
        <w:rPr>
          <w:rFonts w:ascii="Times New Roman" w:hAnsi="Times New Roman" w:cs="Times New Roman"/>
        </w:rPr>
        <w:t>first</w:t>
      </w:r>
      <w:r w:rsidRPr="007F1A56">
        <w:rPr>
          <w:rFonts w:ascii="Times New Roman" w:hAnsi="Times New Roman" w:cs="Times New Roman"/>
        </w:rPr>
        <w:t xml:space="preserve"> </w:t>
      </w:r>
      <w:r w:rsidR="00654F4E" w:rsidRPr="007F1A56">
        <w:rPr>
          <w:rFonts w:ascii="Times New Roman" w:hAnsi="Times New Roman" w:cs="Times New Roman"/>
        </w:rPr>
        <w:t>r</w:t>
      </w:r>
      <w:r w:rsidRPr="007F1A56">
        <w:rPr>
          <w:rFonts w:ascii="Times New Roman" w:hAnsi="Times New Roman" w:cs="Times New Roman"/>
        </w:rPr>
        <w:t>espondent…..”</w:t>
      </w:r>
    </w:p>
    <w:p w:rsidR="001F507E" w:rsidRDefault="001F507E" w:rsidP="007952FC">
      <w:pPr>
        <w:spacing w:after="0" w:line="360" w:lineRule="auto"/>
        <w:ind w:firstLine="360"/>
        <w:jc w:val="both"/>
        <w:rPr>
          <w:rFonts w:ascii="Times New Roman" w:hAnsi="Times New Roman" w:cs="Times New Roman"/>
          <w:sz w:val="24"/>
          <w:szCs w:val="24"/>
        </w:rPr>
      </w:pPr>
    </w:p>
    <w:p w:rsidR="004F3D81" w:rsidRPr="00654F4E" w:rsidRDefault="00BD721A" w:rsidP="007952FC">
      <w:pPr>
        <w:spacing w:after="0" w:line="360" w:lineRule="auto"/>
        <w:ind w:firstLine="360"/>
        <w:jc w:val="both"/>
        <w:rPr>
          <w:rFonts w:ascii="Times New Roman" w:hAnsi="Times New Roman" w:cs="Times New Roman"/>
          <w:sz w:val="24"/>
          <w:szCs w:val="24"/>
        </w:rPr>
      </w:pPr>
      <w:r w:rsidRPr="00654F4E">
        <w:rPr>
          <w:rFonts w:ascii="Times New Roman" w:hAnsi="Times New Roman" w:cs="Times New Roman"/>
          <w:sz w:val="24"/>
          <w:szCs w:val="24"/>
        </w:rPr>
        <w:lastRenderedPageBreak/>
        <w:t>It is, in view of the above-stated matters, disingenuous for the first respondent to allege that the second applicant whom it dealt with in the past does not have the authority of the first applicant to depose to the founding and answering affidavit</w:t>
      </w:r>
      <w:r w:rsidR="009A748A">
        <w:rPr>
          <w:rFonts w:ascii="Times New Roman" w:hAnsi="Times New Roman" w:cs="Times New Roman"/>
          <w:sz w:val="24"/>
          <w:szCs w:val="24"/>
        </w:rPr>
        <w:t>s</w:t>
      </w:r>
      <w:r w:rsidR="00433152" w:rsidRPr="00654F4E">
        <w:rPr>
          <w:rFonts w:ascii="Times New Roman" w:hAnsi="Times New Roman" w:cs="Times New Roman"/>
          <w:sz w:val="24"/>
          <w:szCs w:val="24"/>
        </w:rPr>
        <w:t xml:space="preserve"> for, and on behalf of, the first applicant. It is also disquieting for the first applicant to suggest, as it is doing, that Rambanapasi whom it dealt with in the past does not have the authority of the first respondent to depose to the opposing affidavit for, and on behalf of, the first respondent.</w:t>
      </w:r>
    </w:p>
    <w:p w:rsidR="00433152" w:rsidRPr="00654F4E" w:rsidRDefault="00433152" w:rsidP="007952FC">
      <w:pPr>
        <w:spacing w:after="0" w:line="360" w:lineRule="auto"/>
        <w:ind w:firstLine="360"/>
        <w:jc w:val="both"/>
        <w:rPr>
          <w:rFonts w:ascii="Times New Roman" w:hAnsi="Times New Roman" w:cs="Times New Roman"/>
          <w:sz w:val="24"/>
          <w:szCs w:val="24"/>
        </w:rPr>
      </w:pPr>
      <w:r w:rsidRPr="00654F4E">
        <w:rPr>
          <w:rFonts w:ascii="Times New Roman" w:hAnsi="Times New Roman" w:cs="Times New Roman"/>
          <w:sz w:val="24"/>
          <w:szCs w:val="24"/>
        </w:rPr>
        <w:t xml:space="preserve">There was, in my view, no need for the first applicant </w:t>
      </w:r>
      <w:r w:rsidR="00B72805">
        <w:rPr>
          <w:rFonts w:ascii="Times New Roman" w:hAnsi="Times New Roman" w:cs="Times New Roman"/>
          <w:sz w:val="24"/>
          <w:szCs w:val="24"/>
        </w:rPr>
        <w:t>a</w:t>
      </w:r>
      <w:r w:rsidR="00D46ADE">
        <w:rPr>
          <w:rFonts w:ascii="Times New Roman" w:hAnsi="Times New Roman" w:cs="Times New Roman"/>
          <w:sz w:val="24"/>
          <w:szCs w:val="24"/>
        </w:rPr>
        <w:t>nd</w:t>
      </w:r>
      <w:r w:rsidR="00155906">
        <w:rPr>
          <w:rFonts w:ascii="Times New Roman" w:hAnsi="Times New Roman" w:cs="Times New Roman"/>
          <w:sz w:val="24"/>
          <w:szCs w:val="24"/>
        </w:rPr>
        <w:t>/</w:t>
      </w:r>
      <w:r w:rsidRPr="00654F4E">
        <w:rPr>
          <w:rFonts w:ascii="Times New Roman" w:hAnsi="Times New Roman" w:cs="Times New Roman"/>
          <w:sz w:val="24"/>
          <w:szCs w:val="24"/>
        </w:rPr>
        <w:t xml:space="preserve">or the first respondent to challenge the authority of either deponent to sue or to defend the suit. The first applicant and the first respondent detained my mind on a dead issue when they raised unnecessary </w:t>
      </w:r>
      <w:r w:rsidRPr="00654F4E">
        <w:rPr>
          <w:rFonts w:ascii="Times New Roman" w:hAnsi="Times New Roman" w:cs="Times New Roman"/>
          <w:i/>
          <w:sz w:val="24"/>
          <w:szCs w:val="24"/>
        </w:rPr>
        <w:t>in limine</w:t>
      </w:r>
      <w:r w:rsidRPr="00654F4E">
        <w:rPr>
          <w:rFonts w:ascii="Times New Roman" w:hAnsi="Times New Roman" w:cs="Times New Roman"/>
          <w:sz w:val="24"/>
          <w:szCs w:val="24"/>
        </w:rPr>
        <w:t xml:space="preserve"> matters which related to the authority of the second applicant to depose to the first applicant’s affidavits and that of Rambanapasi to depose to the opposing affidavit of the first respondent. They should, as responsible litigants, have accepted that each deponent had the authority of the legal entity whom he represented to sue or to defend the suit. Both were quick to raise a preliminary issue where none was in existence. They should have taken heed of the </w:t>
      </w:r>
      <w:r w:rsidRPr="001F29ED">
        <w:rPr>
          <w:rFonts w:ascii="Times New Roman" w:hAnsi="Times New Roman" w:cs="Times New Roman"/>
          <w:i/>
          <w:sz w:val="24"/>
          <w:szCs w:val="24"/>
        </w:rPr>
        <w:t>dictum</w:t>
      </w:r>
      <w:r w:rsidRPr="00654F4E">
        <w:rPr>
          <w:rFonts w:ascii="Times New Roman" w:hAnsi="Times New Roman" w:cs="Times New Roman"/>
          <w:sz w:val="24"/>
          <w:szCs w:val="24"/>
        </w:rPr>
        <w:t xml:space="preserve"> which the court was pleased to enunciate in </w:t>
      </w:r>
      <w:r w:rsidRPr="00BC0B75">
        <w:rPr>
          <w:rFonts w:ascii="Times New Roman" w:hAnsi="Times New Roman" w:cs="Times New Roman"/>
          <w:i/>
          <w:sz w:val="24"/>
          <w:szCs w:val="24"/>
        </w:rPr>
        <w:t>African Banking Corporation t/a Banc ABC</w:t>
      </w:r>
      <w:r w:rsidRPr="00654F4E">
        <w:rPr>
          <w:rFonts w:ascii="Times New Roman" w:hAnsi="Times New Roman" w:cs="Times New Roman"/>
          <w:sz w:val="24"/>
          <w:szCs w:val="24"/>
        </w:rPr>
        <w:t xml:space="preserve"> v </w:t>
      </w:r>
      <w:r w:rsidRPr="00BC0B75">
        <w:rPr>
          <w:rFonts w:ascii="Times New Roman" w:hAnsi="Times New Roman" w:cs="Times New Roman"/>
          <w:i/>
          <w:sz w:val="24"/>
          <w:szCs w:val="24"/>
        </w:rPr>
        <w:t>PWC Motors (Pvt) Ltd,</w:t>
      </w:r>
      <w:r w:rsidRPr="00654F4E">
        <w:rPr>
          <w:rFonts w:ascii="Times New Roman" w:hAnsi="Times New Roman" w:cs="Times New Roman"/>
          <w:sz w:val="24"/>
          <w:szCs w:val="24"/>
        </w:rPr>
        <w:t xml:space="preserve"> HH 123/13 which states</w:t>
      </w:r>
      <w:r w:rsidR="001F29ED">
        <w:rPr>
          <w:rFonts w:ascii="Times New Roman" w:hAnsi="Times New Roman" w:cs="Times New Roman"/>
          <w:sz w:val="24"/>
          <w:szCs w:val="24"/>
        </w:rPr>
        <w:t>,</w:t>
      </w:r>
      <w:r w:rsidRPr="00654F4E">
        <w:rPr>
          <w:rFonts w:ascii="Times New Roman" w:hAnsi="Times New Roman" w:cs="Times New Roman"/>
          <w:sz w:val="24"/>
          <w:szCs w:val="24"/>
        </w:rPr>
        <w:t xml:space="preserve"> in clear and categorical terms</w:t>
      </w:r>
      <w:r w:rsidR="001F29ED">
        <w:rPr>
          <w:rFonts w:ascii="Times New Roman" w:hAnsi="Times New Roman" w:cs="Times New Roman"/>
          <w:sz w:val="24"/>
          <w:szCs w:val="24"/>
        </w:rPr>
        <w:t>,</w:t>
      </w:r>
      <w:r w:rsidRPr="00654F4E">
        <w:rPr>
          <w:rFonts w:ascii="Times New Roman" w:hAnsi="Times New Roman" w:cs="Times New Roman"/>
          <w:sz w:val="24"/>
          <w:szCs w:val="24"/>
        </w:rPr>
        <w:t xml:space="preserve"> that production of a company resolution is not a necessity in all cases especially where, as </w:t>
      </w:r>
      <w:r w:rsidRPr="00654F4E">
        <w:rPr>
          <w:rFonts w:ascii="Times New Roman" w:hAnsi="Times New Roman" w:cs="Times New Roman"/>
          <w:i/>
          <w:sz w:val="24"/>
          <w:szCs w:val="24"/>
        </w:rPr>
        <w:t>in casu</w:t>
      </w:r>
      <w:r w:rsidRPr="00654F4E">
        <w:rPr>
          <w:rFonts w:ascii="Times New Roman" w:hAnsi="Times New Roman" w:cs="Times New Roman"/>
          <w:sz w:val="24"/>
          <w:szCs w:val="24"/>
        </w:rPr>
        <w:t>, the parties have had prior dealings between them.</w:t>
      </w:r>
      <w:r w:rsidR="0044178C" w:rsidRPr="00654F4E">
        <w:rPr>
          <w:rFonts w:ascii="Times New Roman" w:hAnsi="Times New Roman" w:cs="Times New Roman"/>
          <w:sz w:val="24"/>
          <w:szCs w:val="24"/>
        </w:rPr>
        <w:t xml:space="preserve"> They should, on the strength of the case, have realized that al</w:t>
      </w:r>
      <w:r w:rsidR="00E14BD7" w:rsidRPr="00654F4E">
        <w:rPr>
          <w:rFonts w:ascii="Times New Roman" w:hAnsi="Times New Roman" w:cs="Times New Roman"/>
          <w:sz w:val="24"/>
          <w:szCs w:val="24"/>
        </w:rPr>
        <w:t>l</w:t>
      </w:r>
      <w:r w:rsidR="0044178C" w:rsidRPr="00654F4E">
        <w:rPr>
          <w:rFonts w:ascii="Times New Roman" w:hAnsi="Times New Roman" w:cs="Times New Roman"/>
          <w:sz w:val="24"/>
          <w:szCs w:val="24"/>
        </w:rPr>
        <w:t xml:space="preserve"> what I am required to do is to satisfy myself that the evidence which has been placed before me shows that it is the first applicant  and/or the first respondent who is litigating and not some unauthorized person. This is a </w:t>
      </w:r>
      <w:r w:rsidR="0044178C" w:rsidRPr="00856D02">
        <w:rPr>
          <w:rFonts w:ascii="Times New Roman" w:hAnsi="Times New Roman" w:cs="Times New Roman"/>
          <w:i/>
          <w:sz w:val="24"/>
          <w:szCs w:val="24"/>
        </w:rPr>
        <w:t>fortiori</w:t>
      </w:r>
      <w:r w:rsidR="0044178C" w:rsidRPr="00654F4E">
        <w:rPr>
          <w:rFonts w:ascii="Times New Roman" w:hAnsi="Times New Roman" w:cs="Times New Roman"/>
          <w:sz w:val="24"/>
          <w:szCs w:val="24"/>
        </w:rPr>
        <w:t xml:space="preserve"> the case where each deponent stated that he had the aut</w:t>
      </w:r>
      <w:r w:rsidR="00E14BD7" w:rsidRPr="00654F4E">
        <w:rPr>
          <w:rFonts w:ascii="Times New Roman" w:hAnsi="Times New Roman" w:cs="Times New Roman"/>
          <w:sz w:val="24"/>
          <w:szCs w:val="24"/>
        </w:rPr>
        <w:t>hority of the first applicant or</w:t>
      </w:r>
      <w:r w:rsidR="0044178C" w:rsidRPr="00654F4E">
        <w:rPr>
          <w:rFonts w:ascii="Times New Roman" w:hAnsi="Times New Roman" w:cs="Times New Roman"/>
          <w:sz w:val="24"/>
          <w:szCs w:val="24"/>
        </w:rPr>
        <w:t xml:space="preserve"> the first respondent to represent the one or the other.</w:t>
      </w:r>
    </w:p>
    <w:p w:rsidR="00E2399B" w:rsidRPr="00654F4E" w:rsidRDefault="00E2399B" w:rsidP="007952FC">
      <w:pPr>
        <w:spacing w:after="0" w:line="360" w:lineRule="auto"/>
        <w:ind w:firstLine="360"/>
        <w:jc w:val="both"/>
        <w:rPr>
          <w:rFonts w:ascii="Times New Roman" w:hAnsi="Times New Roman" w:cs="Times New Roman"/>
          <w:sz w:val="24"/>
          <w:szCs w:val="24"/>
        </w:rPr>
      </w:pPr>
      <w:r w:rsidRPr="00654F4E">
        <w:rPr>
          <w:rFonts w:ascii="Times New Roman" w:hAnsi="Times New Roman" w:cs="Times New Roman"/>
          <w:sz w:val="24"/>
          <w:szCs w:val="24"/>
        </w:rPr>
        <w:t xml:space="preserve">As matters stand currently, I am satisfied that it is the first applicant which is suing the first respondent which is defending the suit. I am also satisfied that Langton Makoni whose name appears on the face of the application is the same person as Tauya Langton Makoni whose name appears in the resolution which the first applicant attached to its application. I am further satisfied that he has the authority of the first applicant to depose to the founding and answering affidavits of the </w:t>
      </w:r>
      <w:r w:rsidR="00E14BD7" w:rsidRPr="00654F4E">
        <w:rPr>
          <w:rFonts w:ascii="Times New Roman" w:hAnsi="Times New Roman" w:cs="Times New Roman"/>
          <w:sz w:val="24"/>
          <w:szCs w:val="24"/>
        </w:rPr>
        <w:t xml:space="preserve">first </w:t>
      </w:r>
      <w:r w:rsidRPr="00654F4E">
        <w:rPr>
          <w:rFonts w:ascii="Times New Roman" w:hAnsi="Times New Roman" w:cs="Times New Roman"/>
          <w:sz w:val="24"/>
          <w:szCs w:val="24"/>
        </w:rPr>
        <w:t xml:space="preserve">applicant. That he is one and the same person is evident from a reading of some paragraphs of the first respondent’s notice of opposition as corroborated by the opposing affidavit of the second respondent who was/is an employee of the first applicant. The reality of the matter </w:t>
      </w:r>
      <w:r w:rsidRPr="00654F4E">
        <w:rPr>
          <w:rFonts w:ascii="Times New Roman" w:hAnsi="Times New Roman" w:cs="Times New Roman"/>
          <w:sz w:val="24"/>
          <w:szCs w:val="24"/>
        </w:rPr>
        <w:lastRenderedPageBreak/>
        <w:t>is that neither the second applicant nor Rambanapasi is on a frolic of his own. Both of them, it is evident, are about the business of their respective legal entities.</w:t>
      </w:r>
    </w:p>
    <w:p w:rsidR="00A125A7" w:rsidRPr="00654F4E" w:rsidRDefault="00A125A7" w:rsidP="007952FC">
      <w:pPr>
        <w:spacing w:after="0" w:line="360" w:lineRule="auto"/>
        <w:ind w:firstLine="360"/>
        <w:jc w:val="both"/>
        <w:rPr>
          <w:rFonts w:ascii="Times New Roman" w:hAnsi="Times New Roman" w:cs="Times New Roman"/>
          <w:sz w:val="24"/>
          <w:szCs w:val="24"/>
        </w:rPr>
      </w:pPr>
      <w:r w:rsidRPr="00654F4E">
        <w:rPr>
          <w:rFonts w:ascii="Times New Roman" w:hAnsi="Times New Roman" w:cs="Times New Roman"/>
          <w:sz w:val="24"/>
          <w:szCs w:val="24"/>
        </w:rPr>
        <w:t xml:space="preserve">Nothing turns on whether or not the second applicant lacks the </w:t>
      </w:r>
      <w:r w:rsidRPr="001F29ED">
        <w:rPr>
          <w:rFonts w:ascii="Times New Roman" w:hAnsi="Times New Roman" w:cs="Times New Roman"/>
          <w:i/>
          <w:sz w:val="24"/>
          <w:szCs w:val="24"/>
        </w:rPr>
        <w:t>locus</w:t>
      </w:r>
      <w:r w:rsidRPr="00654F4E">
        <w:rPr>
          <w:rFonts w:ascii="Times New Roman" w:hAnsi="Times New Roman" w:cs="Times New Roman"/>
          <w:sz w:val="24"/>
          <w:szCs w:val="24"/>
        </w:rPr>
        <w:t xml:space="preserve"> to cite himself as a party to the application. His joinder or non-joinder has no effect at all on the outcome of the application. It does not prejudice the first respondent in its defence at all. The position of the law is, at any rate, clear on the joinder or non-joinder of any party to any proceedings. Sub-rule (11) of Rule 32 of the High Court R</w:t>
      </w:r>
      <w:r w:rsidR="00BC0B75">
        <w:rPr>
          <w:rFonts w:ascii="Times New Roman" w:hAnsi="Times New Roman" w:cs="Times New Roman"/>
          <w:sz w:val="24"/>
          <w:szCs w:val="24"/>
        </w:rPr>
        <w:t>u</w:t>
      </w:r>
      <w:r w:rsidRPr="00654F4E">
        <w:rPr>
          <w:rFonts w:ascii="Times New Roman" w:hAnsi="Times New Roman" w:cs="Times New Roman"/>
          <w:sz w:val="24"/>
          <w:szCs w:val="24"/>
        </w:rPr>
        <w:t>les, 2021 which is relevant to the issue at hand states that:</w:t>
      </w:r>
    </w:p>
    <w:p w:rsidR="00A125A7" w:rsidRDefault="00A125A7" w:rsidP="007952FC">
      <w:pPr>
        <w:spacing w:after="0" w:line="240" w:lineRule="auto"/>
        <w:ind w:left="1440"/>
        <w:jc w:val="both"/>
        <w:rPr>
          <w:rFonts w:ascii="Times New Roman" w:hAnsi="Times New Roman" w:cs="Times New Roman"/>
          <w:sz w:val="24"/>
          <w:szCs w:val="24"/>
        </w:rPr>
      </w:pPr>
      <w:r w:rsidRPr="007F1A56">
        <w:rPr>
          <w:rFonts w:ascii="Times New Roman" w:hAnsi="Times New Roman" w:cs="Times New Roman"/>
        </w:rPr>
        <w:t>“</w:t>
      </w:r>
      <w:r w:rsidR="00E14BD7" w:rsidRPr="007F1A56">
        <w:rPr>
          <w:rFonts w:ascii="Times New Roman" w:hAnsi="Times New Roman" w:cs="Times New Roman"/>
        </w:rPr>
        <w:t>(11) No</w:t>
      </w:r>
      <w:r w:rsidRPr="007F1A56">
        <w:rPr>
          <w:rFonts w:ascii="Times New Roman" w:hAnsi="Times New Roman" w:cs="Times New Roman"/>
        </w:rPr>
        <w:t xml:space="preserve"> cause or matter shall be defeated by reason of the misjoinder or non-joinder of any party and the court may , in any cause or matter, determine the issues or questions in dispute in so far as they affect the rights and interests of the persons who are parties to the cause or matter</w:t>
      </w:r>
      <w:r w:rsidRPr="00654F4E">
        <w:rPr>
          <w:rFonts w:ascii="Times New Roman" w:hAnsi="Times New Roman" w:cs="Times New Roman"/>
          <w:sz w:val="24"/>
          <w:szCs w:val="24"/>
        </w:rPr>
        <w:t>”.</w:t>
      </w:r>
    </w:p>
    <w:p w:rsidR="007F1A56" w:rsidRPr="00654F4E" w:rsidRDefault="007F1A56" w:rsidP="007952FC">
      <w:pPr>
        <w:spacing w:after="0" w:line="240" w:lineRule="auto"/>
        <w:ind w:left="360"/>
        <w:jc w:val="both"/>
        <w:rPr>
          <w:rFonts w:ascii="Times New Roman" w:hAnsi="Times New Roman" w:cs="Times New Roman"/>
          <w:sz w:val="24"/>
          <w:szCs w:val="24"/>
        </w:rPr>
      </w:pPr>
    </w:p>
    <w:p w:rsidR="00A125A7" w:rsidRPr="00654F4E" w:rsidRDefault="00A125A7" w:rsidP="007952FC">
      <w:pPr>
        <w:spacing w:after="0" w:line="360" w:lineRule="auto"/>
        <w:ind w:firstLine="360"/>
        <w:jc w:val="both"/>
        <w:rPr>
          <w:rFonts w:ascii="Times New Roman" w:hAnsi="Times New Roman" w:cs="Times New Roman"/>
          <w:sz w:val="24"/>
          <w:szCs w:val="24"/>
        </w:rPr>
      </w:pPr>
      <w:r w:rsidRPr="00654F4E">
        <w:rPr>
          <w:rFonts w:ascii="Times New Roman" w:hAnsi="Times New Roman" w:cs="Times New Roman"/>
          <w:sz w:val="24"/>
          <w:szCs w:val="24"/>
        </w:rPr>
        <w:t xml:space="preserve">The dispute which is before me relates to the relationship </w:t>
      </w:r>
      <w:r w:rsidR="000465A2" w:rsidRPr="00654F4E">
        <w:rPr>
          <w:rFonts w:ascii="Times New Roman" w:hAnsi="Times New Roman" w:cs="Times New Roman"/>
          <w:sz w:val="24"/>
          <w:szCs w:val="24"/>
        </w:rPr>
        <w:t xml:space="preserve">which then existed between </w:t>
      </w:r>
      <w:r w:rsidRPr="00654F4E">
        <w:rPr>
          <w:rFonts w:ascii="Times New Roman" w:hAnsi="Times New Roman" w:cs="Times New Roman"/>
          <w:sz w:val="24"/>
          <w:szCs w:val="24"/>
        </w:rPr>
        <w:t>the first applicant as</w:t>
      </w:r>
      <w:r w:rsidR="00E14BD7" w:rsidRPr="00654F4E">
        <w:rPr>
          <w:rFonts w:ascii="Times New Roman" w:hAnsi="Times New Roman" w:cs="Times New Roman"/>
          <w:sz w:val="24"/>
          <w:szCs w:val="24"/>
        </w:rPr>
        <w:t xml:space="preserve"> measured</w:t>
      </w:r>
      <w:r w:rsidRPr="00654F4E">
        <w:rPr>
          <w:rFonts w:ascii="Times New Roman" w:hAnsi="Times New Roman" w:cs="Times New Roman"/>
          <w:sz w:val="24"/>
          <w:szCs w:val="24"/>
        </w:rPr>
        <w:t xml:space="preserve"> against the</w:t>
      </w:r>
      <w:r w:rsidR="00525AFF" w:rsidRPr="00654F4E">
        <w:rPr>
          <w:rFonts w:ascii="Times New Roman" w:hAnsi="Times New Roman" w:cs="Times New Roman"/>
          <w:sz w:val="24"/>
          <w:szCs w:val="24"/>
        </w:rPr>
        <w:t xml:space="preserve"> conduct of the</w:t>
      </w:r>
      <w:r w:rsidRPr="00654F4E">
        <w:rPr>
          <w:rFonts w:ascii="Times New Roman" w:hAnsi="Times New Roman" w:cs="Times New Roman"/>
          <w:sz w:val="24"/>
          <w:szCs w:val="24"/>
        </w:rPr>
        <w:t xml:space="preserve"> first respondent</w:t>
      </w:r>
      <w:r w:rsidR="000465A2" w:rsidRPr="00654F4E">
        <w:rPr>
          <w:rFonts w:ascii="Times New Roman" w:hAnsi="Times New Roman" w:cs="Times New Roman"/>
          <w:sz w:val="24"/>
          <w:szCs w:val="24"/>
        </w:rPr>
        <w:t xml:space="preserve">. These are the parties whose rights and interests I am called upon to determine. The rule confers upon me the discretion to determine such. It does not, in the exercise of my discretion, compel me to </w:t>
      </w:r>
      <w:r w:rsidR="00525AFF" w:rsidRPr="00654F4E">
        <w:rPr>
          <w:rFonts w:ascii="Times New Roman" w:hAnsi="Times New Roman" w:cs="Times New Roman"/>
          <w:sz w:val="24"/>
          <w:szCs w:val="24"/>
        </w:rPr>
        <w:t>look at the rights and interest</w:t>
      </w:r>
      <w:r w:rsidR="000465A2" w:rsidRPr="00654F4E">
        <w:rPr>
          <w:rFonts w:ascii="Times New Roman" w:hAnsi="Times New Roman" w:cs="Times New Roman"/>
          <w:sz w:val="24"/>
          <w:szCs w:val="24"/>
        </w:rPr>
        <w:t xml:space="preserve"> of the second applicant. His citation as a party to the proceedings which are before me cannot, therefore, render the application fatal. His citation is akin to what may be referred to as a matter of nuisance value which should not detain the mind of any serious litigant let alone</w:t>
      </w:r>
      <w:r w:rsidR="00E14BD7" w:rsidRPr="00654F4E">
        <w:rPr>
          <w:rFonts w:ascii="Times New Roman" w:hAnsi="Times New Roman" w:cs="Times New Roman"/>
          <w:sz w:val="24"/>
          <w:szCs w:val="24"/>
        </w:rPr>
        <w:t xml:space="preserve"> that of</w:t>
      </w:r>
      <w:r w:rsidR="000465A2" w:rsidRPr="00654F4E">
        <w:rPr>
          <w:rFonts w:ascii="Times New Roman" w:hAnsi="Times New Roman" w:cs="Times New Roman"/>
          <w:sz w:val="24"/>
          <w:szCs w:val="24"/>
        </w:rPr>
        <w:t xml:space="preserve"> the court. It has no effect at all on the determination of the first applicant</w:t>
      </w:r>
      <w:r w:rsidR="004E2AFF" w:rsidRPr="00654F4E">
        <w:rPr>
          <w:rFonts w:ascii="Times New Roman" w:hAnsi="Times New Roman" w:cs="Times New Roman"/>
          <w:sz w:val="24"/>
          <w:szCs w:val="24"/>
        </w:rPr>
        <w:t>’s issues</w:t>
      </w:r>
      <w:r w:rsidR="000465A2" w:rsidRPr="00654F4E">
        <w:rPr>
          <w:rFonts w:ascii="Times New Roman" w:hAnsi="Times New Roman" w:cs="Times New Roman"/>
          <w:sz w:val="24"/>
          <w:szCs w:val="24"/>
        </w:rPr>
        <w:t xml:space="preserve"> </w:t>
      </w:r>
      <w:r w:rsidR="000465A2" w:rsidRPr="00856D02">
        <w:rPr>
          <w:rFonts w:ascii="Times New Roman" w:hAnsi="Times New Roman" w:cs="Times New Roman"/>
          <w:i/>
          <w:sz w:val="24"/>
          <w:szCs w:val="24"/>
        </w:rPr>
        <w:t>vis-à-vis</w:t>
      </w:r>
      <w:r w:rsidR="000465A2" w:rsidRPr="00654F4E">
        <w:rPr>
          <w:rFonts w:ascii="Times New Roman" w:hAnsi="Times New Roman" w:cs="Times New Roman"/>
          <w:sz w:val="24"/>
          <w:szCs w:val="24"/>
        </w:rPr>
        <w:t xml:space="preserve"> the conduct of the first respondent. The </w:t>
      </w:r>
      <w:r w:rsidR="000465A2" w:rsidRPr="00654F4E">
        <w:rPr>
          <w:rFonts w:ascii="Times New Roman" w:hAnsi="Times New Roman" w:cs="Times New Roman"/>
          <w:i/>
          <w:sz w:val="24"/>
          <w:szCs w:val="24"/>
        </w:rPr>
        <w:t>in limine</w:t>
      </w:r>
      <w:r w:rsidR="000465A2" w:rsidRPr="00654F4E">
        <w:rPr>
          <w:rFonts w:ascii="Times New Roman" w:hAnsi="Times New Roman" w:cs="Times New Roman"/>
          <w:sz w:val="24"/>
          <w:szCs w:val="24"/>
        </w:rPr>
        <w:t xml:space="preserve"> matter which the first respondent raised on the second applicant’s </w:t>
      </w:r>
      <w:r w:rsidR="000465A2" w:rsidRPr="001F29ED">
        <w:rPr>
          <w:rFonts w:ascii="Times New Roman" w:hAnsi="Times New Roman" w:cs="Times New Roman"/>
          <w:i/>
          <w:sz w:val="24"/>
          <w:szCs w:val="24"/>
        </w:rPr>
        <w:t>locus</w:t>
      </w:r>
      <w:r w:rsidR="000465A2" w:rsidRPr="00654F4E">
        <w:rPr>
          <w:rFonts w:ascii="Times New Roman" w:hAnsi="Times New Roman" w:cs="Times New Roman"/>
          <w:sz w:val="24"/>
          <w:szCs w:val="24"/>
        </w:rPr>
        <w:t xml:space="preserve"> is therefore devoid of merit. By the same token, the </w:t>
      </w:r>
      <w:r w:rsidR="000465A2" w:rsidRPr="00654F4E">
        <w:rPr>
          <w:rFonts w:ascii="Times New Roman" w:hAnsi="Times New Roman" w:cs="Times New Roman"/>
          <w:i/>
          <w:sz w:val="24"/>
          <w:szCs w:val="24"/>
        </w:rPr>
        <w:t>in limine</w:t>
      </w:r>
      <w:r w:rsidR="000465A2" w:rsidRPr="00654F4E">
        <w:rPr>
          <w:rFonts w:ascii="Times New Roman" w:hAnsi="Times New Roman" w:cs="Times New Roman"/>
          <w:sz w:val="24"/>
          <w:szCs w:val="24"/>
        </w:rPr>
        <w:t xml:space="preserve"> matter which the first applicant raised in its answering affidavit in respect of Rambanapsi’s authority to depose to the opposing affidavit also lacks merit and cannot therefore stand. Both </w:t>
      </w:r>
      <w:r w:rsidR="000465A2" w:rsidRPr="00654F4E">
        <w:rPr>
          <w:rFonts w:ascii="Times New Roman" w:hAnsi="Times New Roman" w:cs="Times New Roman"/>
          <w:i/>
          <w:sz w:val="24"/>
          <w:szCs w:val="24"/>
        </w:rPr>
        <w:t>in limine</w:t>
      </w:r>
      <w:r w:rsidR="000465A2" w:rsidRPr="00654F4E">
        <w:rPr>
          <w:rFonts w:ascii="Times New Roman" w:hAnsi="Times New Roman" w:cs="Times New Roman"/>
          <w:sz w:val="24"/>
          <w:szCs w:val="24"/>
        </w:rPr>
        <w:t xml:space="preserve"> m</w:t>
      </w:r>
      <w:r w:rsidR="00E14BD7" w:rsidRPr="00654F4E">
        <w:rPr>
          <w:rFonts w:ascii="Times New Roman" w:hAnsi="Times New Roman" w:cs="Times New Roman"/>
          <w:sz w:val="24"/>
          <w:szCs w:val="24"/>
        </w:rPr>
        <w:t xml:space="preserve">atters were a complete waste of energy, effort and </w:t>
      </w:r>
      <w:r w:rsidR="000465A2" w:rsidRPr="00654F4E">
        <w:rPr>
          <w:rFonts w:ascii="Times New Roman" w:hAnsi="Times New Roman" w:cs="Times New Roman"/>
          <w:sz w:val="24"/>
          <w:szCs w:val="24"/>
        </w:rPr>
        <w:t>time by the first applicant and the first respondent.</w:t>
      </w:r>
    </w:p>
    <w:p w:rsidR="004E2AFF" w:rsidRPr="00654F4E" w:rsidRDefault="00525AFF" w:rsidP="007952FC">
      <w:pPr>
        <w:spacing w:after="0" w:line="360" w:lineRule="auto"/>
        <w:ind w:firstLine="360"/>
        <w:jc w:val="both"/>
        <w:rPr>
          <w:rFonts w:ascii="Times New Roman" w:hAnsi="Times New Roman" w:cs="Times New Roman"/>
          <w:sz w:val="24"/>
          <w:szCs w:val="24"/>
        </w:rPr>
      </w:pPr>
      <w:r w:rsidRPr="00654F4E">
        <w:rPr>
          <w:rFonts w:ascii="Times New Roman" w:hAnsi="Times New Roman" w:cs="Times New Roman"/>
          <w:sz w:val="24"/>
          <w:szCs w:val="24"/>
        </w:rPr>
        <w:t>Annexures F, G</w:t>
      </w:r>
      <w:r w:rsidR="002F3208" w:rsidRPr="00654F4E">
        <w:rPr>
          <w:rFonts w:ascii="Times New Roman" w:hAnsi="Times New Roman" w:cs="Times New Roman"/>
          <w:sz w:val="24"/>
          <w:szCs w:val="24"/>
        </w:rPr>
        <w:t xml:space="preserve"> and H which the first applicant attached to its founding papers answer to the issue of material non-disclosure which the first respondent complaints of in para</w:t>
      </w:r>
      <w:r w:rsidR="00666577">
        <w:rPr>
          <w:rFonts w:ascii="Times New Roman" w:hAnsi="Times New Roman" w:cs="Times New Roman"/>
          <w:sz w:val="24"/>
          <w:szCs w:val="24"/>
        </w:rPr>
        <w:t>graph</w:t>
      </w:r>
      <w:r w:rsidR="002F3208" w:rsidRPr="00654F4E">
        <w:rPr>
          <w:rFonts w:ascii="Times New Roman" w:hAnsi="Times New Roman" w:cs="Times New Roman"/>
          <w:sz w:val="24"/>
          <w:szCs w:val="24"/>
        </w:rPr>
        <w:t xml:space="preserve"> 7 of its notice of opposition. These respectively appear at p</w:t>
      </w:r>
      <w:r w:rsidR="00666577">
        <w:rPr>
          <w:rFonts w:ascii="Times New Roman" w:hAnsi="Times New Roman" w:cs="Times New Roman"/>
          <w:sz w:val="24"/>
          <w:szCs w:val="24"/>
        </w:rPr>
        <w:t>age</w:t>
      </w:r>
      <w:r w:rsidR="002F3208" w:rsidRPr="00654F4E">
        <w:rPr>
          <w:rFonts w:ascii="Times New Roman" w:hAnsi="Times New Roman" w:cs="Times New Roman"/>
          <w:sz w:val="24"/>
          <w:szCs w:val="24"/>
        </w:rPr>
        <w:t>s 23, 25 and 26 of the recor</w:t>
      </w:r>
      <w:r w:rsidR="00E14BD7" w:rsidRPr="00654F4E">
        <w:rPr>
          <w:rFonts w:ascii="Times New Roman" w:hAnsi="Times New Roman" w:cs="Times New Roman"/>
          <w:sz w:val="24"/>
          <w:szCs w:val="24"/>
        </w:rPr>
        <w:t>d. They allege that the applicants</w:t>
      </w:r>
      <w:r w:rsidR="002F3208" w:rsidRPr="00654F4E">
        <w:rPr>
          <w:rFonts w:ascii="Times New Roman" w:hAnsi="Times New Roman" w:cs="Times New Roman"/>
          <w:sz w:val="24"/>
          <w:szCs w:val="24"/>
        </w:rPr>
        <w:t xml:space="preserve"> swindled the first re</w:t>
      </w:r>
      <w:r w:rsidR="009C4EA6" w:rsidRPr="00654F4E">
        <w:rPr>
          <w:rFonts w:ascii="Times New Roman" w:hAnsi="Times New Roman" w:cs="Times New Roman"/>
          <w:sz w:val="24"/>
          <w:szCs w:val="24"/>
        </w:rPr>
        <w:t>spondent of its money. The</w:t>
      </w:r>
      <w:r w:rsidR="002F3208" w:rsidRPr="00654F4E">
        <w:rPr>
          <w:rFonts w:ascii="Times New Roman" w:hAnsi="Times New Roman" w:cs="Times New Roman"/>
          <w:sz w:val="24"/>
          <w:szCs w:val="24"/>
        </w:rPr>
        <w:t xml:space="preserve"> applicant</w:t>
      </w:r>
      <w:r w:rsidR="009C4EA6" w:rsidRPr="00654F4E">
        <w:rPr>
          <w:rFonts w:ascii="Times New Roman" w:hAnsi="Times New Roman" w:cs="Times New Roman"/>
          <w:sz w:val="24"/>
          <w:szCs w:val="24"/>
        </w:rPr>
        <w:t>s</w:t>
      </w:r>
      <w:r w:rsidR="002F3208" w:rsidRPr="00654F4E">
        <w:rPr>
          <w:rFonts w:ascii="Times New Roman" w:hAnsi="Times New Roman" w:cs="Times New Roman"/>
          <w:sz w:val="24"/>
          <w:szCs w:val="24"/>
        </w:rPr>
        <w:t xml:space="preserve"> cannot, under the observed set of circumstances, be said not to have </w:t>
      </w:r>
      <w:r w:rsidR="009C4EA6" w:rsidRPr="00654F4E">
        <w:rPr>
          <w:rFonts w:ascii="Times New Roman" w:hAnsi="Times New Roman" w:cs="Times New Roman"/>
          <w:sz w:val="24"/>
          <w:szCs w:val="24"/>
        </w:rPr>
        <w:t>made material non-disclosure. They</w:t>
      </w:r>
      <w:r w:rsidR="002F3208" w:rsidRPr="00654F4E">
        <w:rPr>
          <w:rFonts w:ascii="Times New Roman" w:hAnsi="Times New Roman" w:cs="Times New Roman"/>
          <w:sz w:val="24"/>
          <w:szCs w:val="24"/>
        </w:rPr>
        <w:t>, if anything, disc</w:t>
      </w:r>
      <w:r w:rsidR="009C4EA6" w:rsidRPr="00654F4E">
        <w:rPr>
          <w:rFonts w:ascii="Times New Roman" w:hAnsi="Times New Roman" w:cs="Times New Roman"/>
          <w:sz w:val="24"/>
          <w:szCs w:val="24"/>
        </w:rPr>
        <w:t>losed everything which created the first applicant’s</w:t>
      </w:r>
      <w:r w:rsidR="002F3208" w:rsidRPr="00654F4E">
        <w:rPr>
          <w:rFonts w:ascii="Times New Roman" w:hAnsi="Times New Roman" w:cs="Times New Roman"/>
          <w:sz w:val="24"/>
          <w:szCs w:val="24"/>
        </w:rPr>
        <w:t xml:space="preserve"> dispu</w:t>
      </w:r>
      <w:r w:rsidR="009C4EA6" w:rsidRPr="00654F4E">
        <w:rPr>
          <w:rFonts w:ascii="Times New Roman" w:hAnsi="Times New Roman" w:cs="Times New Roman"/>
          <w:sz w:val="24"/>
          <w:szCs w:val="24"/>
        </w:rPr>
        <w:t>te with the first respondent. They</w:t>
      </w:r>
      <w:r w:rsidR="002F3208" w:rsidRPr="00654F4E">
        <w:rPr>
          <w:rFonts w:ascii="Times New Roman" w:hAnsi="Times New Roman" w:cs="Times New Roman"/>
          <w:sz w:val="24"/>
          <w:szCs w:val="24"/>
        </w:rPr>
        <w:t xml:space="preserve"> could not, in my view, have done any be</w:t>
      </w:r>
      <w:r w:rsidR="009C4EA6" w:rsidRPr="00654F4E">
        <w:rPr>
          <w:rFonts w:ascii="Times New Roman" w:hAnsi="Times New Roman" w:cs="Times New Roman"/>
          <w:sz w:val="24"/>
          <w:szCs w:val="24"/>
        </w:rPr>
        <w:t>tter than the annexures which they attached to the</w:t>
      </w:r>
      <w:r w:rsidR="002F3208" w:rsidRPr="00654F4E">
        <w:rPr>
          <w:rFonts w:ascii="Times New Roman" w:hAnsi="Times New Roman" w:cs="Times New Roman"/>
          <w:sz w:val="24"/>
          <w:szCs w:val="24"/>
        </w:rPr>
        <w:t xml:space="preserve"> </w:t>
      </w:r>
      <w:r w:rsidR="002F3208" w:rsidRPr="00654F4E">
        <w:rPr>
          <w:rFonts w:ascii="Times New Roman" w:hAnsi="Times New Roman" w:cs="Times New Roman"/>
          <w:sz w:val="24"/>
          <w:szCs w:val="24"/>
        </w:rPr>
        <w:lastRenderedPageBreak/>
        <w:t xml:space="preserve">application. The contents of those remain </w:t>
      </w:r>
      <w:r w:rsidR="002F3208" w:rsidRPr="001F29ED">
        <w:rPr>
          <w:rFonts w:ascii="Times New Roman" w:hAnsi="Times New Roman" w:cs="Times New Roman"/>
          <w:i/>
          <w:sz w:val="24"/>
          <w:szCs w:val="24"/>
        </w:rPr>
        <w:t>in sy</w:t>
      </w:r>
      <w:r w:rsidRPr="001F29ED">
        <w:rPr>
          <w:rFonts w:ascii="Times New Roman" w:hAnsi="Times New Roman" w:cs="Times New Roman"/>
          <w:i/>
          <w:sz w:val="24"/>
          <w:szCs w:val="24"/>
        </w:rPr>
        <w:t>nc</w:t>
      </w:r>
      <w:r w:rsidRPr="00654F4E">
        <w:rPr>
          <w:rFonts w:ascii="Times New Roman" w:hAnsi="Times New Roman" w:cs="Times New Roman"/>
          <w:sz w:val="24"/>
          <w:szCs w:val="24"/>
        </w:rPr>
        <w:t xml:space="preserve"> with the Latin</w:t>
      </w:r>
      <w:r w:rsidR="002F3208" w:rsidRPr="00654F4E">
        <w:rPr>
          <w:rFonts w:ascii="Times New Roman" w:hAnsi="Times New Roman" w:cs="Times New Roman"/>
          <w:sz w:val="24"/>
          <w:szCs w:val="24"/>
        </w:rPr>
        <w:t xml:space="preserve"> maxim</w:t>
      </w:r>
      <w:r w:rsidR="009C4EA6" w:rsidRPr="00654F4E">
        <w:rPr>
          <w:rFonts w:ascii="Times New Roman" w:hAnsi="Times New Roman" w:cs="Times New Roman"/>
          <w:sz w:val="24"/>
          <w:szCs w:val="24"/>
        </w:rPr>
        <w:t>:</w:t>
      </w:r>
      <w:r w:rsidR="002F3208" w:rsidRPr="00654F4E">
        <w:rPr>
          <w:rFonts w:ascii="Times New Roman" w:hAnsi="Times New Roman" w:cs="Times New Roman"/>
          <w:sz w:val="24"/>
          <w:szCs w:val="24"/>
        </w:rPr>
        <w:t xml:space="preserve"> </w:t>
      </w:r>
      <w:r w:rsidR="002F3208" w:rsidRPr="00654F4E">
        <w:rPr>
          <w:rFonts w:ascii="Times New Roman" w:hAnsi="Times New Roman" w:cs="Times New Roman"/>
          <w:i/>
          <w:sz w:val="24"/>
          <w:szCs w:val="24"/>
        </w:rPr>
        <w:t>res ipso</w:t>
      </w:r>
      <w:r w:rsidR="002F3208" w:rsidRPr="00654F4E">
        <w:rPr>
          <w:rFonts w:ascii="Times New Roman" w:hAnsi="Times New Roman" w:cs="Times New Roman"/>
          <w:sz w:val="24"/>
          <w:szCs w:val="24"/>
        </w:rPr>
        <w:t xml:space="preserve"> </w:t>
      </w:r>
      <w:r w:rsidR="002F3208" w:rsidRPr="00654F4E">
        <w:rPr>
          <w:rFonts w:ascii="Times New Roman" w:hAnsi="Times New Roman" w:cs="Times New Roman"/>
          <w:i/>
          <w:sz w:val="24"/>
          <w:szCs w:val="24"/>
        </w:rPr>
        <w:t>loquitor</w:t>
      </w:r>
      <w:r w:rsidR="002F3208" w:rsidRPr="00654F4E">
        <w:rPr>
          <w:rFonts w:ascii="Times New Roman" w:hAnsi="Times New Roman" w:cs="Times New Roman"/>
          <w:sz w:val="24"/>
          <w:szCs w:val="24"/>
        </w:rPr>
        <w:t xml:space="preserve"> which loosely translated means the thing speaks for itself. The preliminary issue which the first respondent raised on material non-disclosure is therefore of no moment. It is devoid of merit.</w:t>
      </w:r>
    </w:p>
    <w:p w:rsidR="009A2629" w:rsidRPr="00654F4E" w:rsidRDefault="009A2629" w:rsidP="007952FC">
      <w:pPr>
        <w:spacing w:after="0" w:line="360" w:lineRule="auto"/>
        <w:ind w:firstLine="360"/>
        <w:jc w:val="both"/>
        <w:rPr>
          <w:rFonts w:ascii="Times New Roman" w:hAnsi="Times New Roman" w:cs="Times New Roman"/>
          <w:sz w:val="24"/>
          <w:szCs w:val="24"/>
        </w:rPr>
      </w:pPr>
      <w:r w:rsidRPr="00654F4E">
        <w:rPr>
          <w:rFonts w:ascii="Times New Roman" w:hAnsi="Times New Roman" w:cs="Times New Roman"/>
          <w:sz w:val="24"/>
          <w:szCs w:val="24"/>
        </w:rPr>
        <w:t xml:space="preserve">The matters which I dealt with in the foregoing paragraphs compel me to pose </w:t>
      </w:r>
      <w:r w:rsidR="00FA4062" w:rsidRPr="00654F4E">
        <w:rPr>
          <w:rFonts w:ascii="Times New Roman" w:hAnsi="Times New Roman" w:cs="Times New Roman"/>
          <w:sz w:val="24"/>
          <w:szCs w:val="24"/>
        </w:rPr>
        <w:t xml:space="preserve">the question of whether or not the preliminary issues which each party raised served any purpose at all let alone a useful one. A second question which flows from the first is , if the </w:t>
      </w:r>
      <w:r w:rsidR="00FA4062" w:rsidRPr="00654F4E">
        <w:rPr>
          <w:rFonts w:ascii="Times New Roman" w:hAnsi="Times New Roman" w:cs="Times New Roman"/>
          <w:i/>
          <w:sz w:val="24"/>
          <w:szCs w:val="24"/>
        </w:rPr>
        <w:t>in limine</w:t>
      </w:r>
      <w:r w:rsidR="00FA4062" w:rsidRPr="00654F4E">
        <w:rPr>
          <w:rFonts w:ascii="Times New Roman" w:hAnsi="Times New Roman" w:cs="Times New Roman"/>
          <w:sz w:val="24"/>
          <w:szCs w:val="24"/>
        </w:rPr>
        <w:t xml:space="preserve"> matters which have been raised serve no purpose, as was the case </w:t>
      </w:r>
      <w:r w:rsidR="00FA4062" w:rsidRPr="00654F4E">
        <w:rPr>
          <w:rFonts w:ascii="Times New Roman" w:hAnsi="Times New Roman" w:cs="Times New Roman"/>
          <w:i/>
          <w:sz w:val="24"/>
          <w:szCs w:val="24"/>
        </w:rPr>
        <w:t>in casu,</w:t>
      </w:r>
      <w:r w:rsidR="00FA4062" w:rsidRPr="00654F4E">
        <w:rPr>
          <w:rFonts w:ascii="Times New Roman" w:hAnsi="Times New Roman" w:cs="Times New Roman"/>
          <w:sz w:val="24"/>
          <w:szCs w:val="24"/>
        </w:rPr>
        <w:t xml:space="preserve"> the question which begs the answer is why did the parties raise them. Put differently, the same question would </w:t>
      </w:r>
      <w:r w:rsidR="00654F4E" w:rsidRPr="00654F4E">
        <w:rPr>
          <w:rFonts w:ascii="Times New Roman" w:hAnsi="Times New Roman" w:cs="Times New Roman"/>
          <w:sz w:val="24"/>
          <w:szCs w:val="24"/>
        </w:rPr>
        <w:t>read:</w:t>
      </w:r>
      <w:r w:rsidR="00FA4062" w:rsidRPr="00654F4E">
        <w:rPr>
          <w:rFonts w:ascii="Times New Roman" w:hAnsi="Times New Roman" w:cs="Times New Roman"/>
          <w:sz w:val="24"/>
          <w:szCs w:val="24"/>
        </w:rPr>
        <w:t xml:space="preserve"> why do litigants raise preliminary matters which do not add value to the case of either of them.</w:t>
      </w:r>
    </w:p>
    <w:p w:rsidR="006174C1" w:rsidRPr="00654F4E" w:rsidRDefault="006174C1" w:rsidP="007952FC">
      <w:pPr>
        <w:spacing w:after="0" w:line="360" w:lineRule="auto"/>
        <w:ind w:firstLine="360"/>
        <w:jc w:val="both"/>
        <w:rPr>
          <w:rFonts w:ascii="Times New Roman" w:hAnsi="Times New Roman" w:cs="Times New Roman"/>
          <w:sz w:val="24"/>
          <w:szCs w:val="24"/>
        </w:rPr>
      </w:pPr>
      <w:r w:rsidRPr="00654F4E">
        <w:rPr>
          <w:rFonts w:ascii="Times New Roman" w:hAnsi="Times New Roman" w:cs="Times New Roman"/>
          <w:sz w:val="24"/>
          <w:szCs w:val="24"/>
        </w:rPr>
        <w:t xml:space="preserve">It seems to me that it has become fashionable for litigants who know that they have nothing to say either in the prosecution of their cases or in defence of themselves to raise frivolous and vexatious </w:t>
      </w:r>
      <w:r w:rsidRPr="00654F4E">
        <w:rPr>
          <w:rFonts w:ascii="Times New Roman" w:hAnsi="Times New Roman" w:cs="Times New Roman"/>
          <w:i/>
          <w:sz w:val="24"/>
          <w:szCs w:val="24"/>
        </w:rPr>
        <w:t>in limine</w:t>
      </w:r>
      <w:r w:rsidRPr="00654F4E">
        <w:rPr>
          <w:rFonts w:ascii="Times New Roman" w:hAnsi="Times New Roman" w:cs="Times New Roman"/>
          <w:sz w:val="24"/>
          <w:szCs w:val="24"/>
        </w:rPr>
        <w:t xml:space="preserve"> matters. They do so in the vein hope that the real issue(s</w:t>
      </w:r>
      <w:r w:rsidR="00654F4E" w:rsidRPr="00654F4E">
        <w:rPr>
          <w:rFonts w:ascii="Times New Roman" w:hAnsi="Times New Roman" w:cs="Times New Roman"/>
          <w:sz w:val="24"/>
          <w:szCs w:val="24"/>
        </w:rPr>
        <w:t>) which</w:t>
      </w:r>
      <w:r w:rsidRPr="00654F4E">
        <w:rPr>
          <w:rFonts w:ascii="Times New Roman" w:hAnsi="Times New Roman" w:cs="Times New Roman"/>
          <w:sz w:val="24"/>
          <w:szCs w:val="24"/>
        </w:rPr>
        <w:t xml:space="preserve"> the court is called upon to decide may disappear altogether or </w:t>
      </w:r>
      <w:r w:rsidR="00BC0B75" w:rsidRPr="00654F4E">
        <w:rPr>
          <w:rFonts w:ascii="Times New Roman" w:hAnsi="Times New Roman" w:cs="Times New Roman"/>
          <w:sz w:val="24"/>
          <w:szCs w:val="24"/>
        </w:rPr>
        <w:t>will,</w:t>
      </w:r>
      <w:r w:rsidRPr="00654F4E">
        <w:rPr>
          <w:rFonts w:ascii="Times New Roman" w:hAnsi="Times New Roman" w:cs="Times New Roman"/>
          <w:sz w:val="24"/>
          <w:szCs w:val="24"/>
        </w:rPr>
        <w:t xml:space="preserve"> in some way or other, clo</w:t>
      </w:r>
      <w:r w:rsidR="00155906">
        <w:rPr>
          <w:rFonts w:ascii="Times New Roman" w:hAnsi="Times New Roman" w:cs="Times New Roman"/>
          <w:sz w:val="24"/>
          <w:szCs w:val="24"/>
        </w:rPr>
        <w:t>ud</w:t>
      </w:r>
      <w:r w:rsidRPr="00654F4E">
        <w:rPr>
          <w:rFonts w:ascii="Times New Roman" w:hAnsi="Times New Roman" w:cs="Times New Roman"/>
          <w:sz w:val="24"/>
          <w:szCs w:val="24"/>
        </w:rPr>
        <w:t xml:space="preserve"> the mind of the court to a point where it would refrain from dealing with the real issues which it must determine.</w:t>
      </w:r>
      <w:r w:rsidR="004878E0" w:rsidRPr="00654F4E">
        <w:rPr>
          <w:rFonts w:ascii="Times New Roman" w:hAnsi="Times New Roman" w:cs="Times New Roman"/>
          <w:sz w:val="24"/>
          <w:szCs w:val="24"/>
        </w:rPr>
        <w:t xml:space="preserve"> This unwholesome conduct by litigants must stop forthwith. It serves no useful purpose other than to drag the court and the party who is a victim of the merry-go-round vexatious preliminary matter(s</w:t>
      </w:r>
      <w:r w:rsidR="00654F4E" w:rsidRPr="00654F4E">
        <w:rPr>
          <w:rFonts w:ascii="Times New Roman" w:hAnsi="Times New Roman" w:cs="Times New Roman"/>
          <w:sz w:val="24"/>
          <w:szCs w:val="24"/>
        </w:rPr>
        <w:t>) into</w:t>
      </w:r>
      <w:r w:rsidR="004878E0" w:rsidRPr="00654F4E">
        <w:rPr>
          <w:rFonts w:ascii="Times New Roman" w:hAnsi="Times New Roman" w:cs="Times New Roman"/>
          <w:sz w:val="24"/>
          <w:szCs w:val="24"/>
        </w:rPr>
        <w:t xml:space="preserve"> an unfathomed circuitous reasoning which leads to nowhere. Time is now at hand for the court to express its utmost displeasure in respect of this unpalatable conduct by ordering costs against litigants who continue to abuse the procedure of raising </w:t>
      </w:r>
      <w:r w:rsidR="004878E0" w:rsidRPr="00654F4E">
        <w:rPr>
          <w:rFonts w:ascii="Times New Roman" w:hAnsi="Times New Roman" w:cs="Times New Roman"/>
          <w:i/>
          <w:sz w:val="24"/>
          <w:szCs w:val="24"/>
        </w:rPr>
        <w:t>in limine</w:t>
      </w:r>
      <w:r w:rsidR="004878E0" w:rsidRPr="00654F4E">
        <w:rPr>
          <w:rFonts w:ascii="Times New Roman" w:hAnsi="Times New Roman" w:cs="Times New Roman"/>
          <w:sz w:val="24"/>
          <w:szCs w:val="24"/>
        </w:rPr>
        <w:t xml:space="preserve"> matters where none are called for.</w:t>
      </w:r>
      <w:r w:rsidR="009A5943" w:rsidRPr="00654F4E">
        <w:rPr>
          <w:rFonts w:ascii="Times New Roman" w:hAnsi="Times New Roman" w:cs="Times New Roman"/>
          <w:sz w:val="24"/>
          <w:szCs w:val="24"/>
        </w:rPr>
        <w:t xml:space="preserve"> Costs will, in future, be visited upon legal practitioners who refuse to assess the propriety or otherwise of the </w:t>
      </w:r>
      <w:r w:rsidR="009C4EA6" w:rsidRPr="00654F4E">
        <w:rPr>
          <w:rFonts w:ascii="Times New Roman" w:hAnsi="Times New Roman" w:cs="Times New Roman"/>
          <w:sz w:val="24"/>
          <w:szCs w:val="24"/>
        </w:rPr>
        <w:t>objections which they raise for</w:t>
      </w:r>
      <w:r w:rsidR="009A5943" w:rsidRPr="00654F4E">
        <w:rPr>
          <w:rFonts w:ascii="Times New Roman" w:hAnsi="Times New Roman" w:cs="Times New Roman"/>
          <w:sz w:val="24"/>
          <w:szCs w:val="24"/>
        </w:rPr>
        <w:t>, and on behalf of, those whom they represent. It is, after all, the legal practitioner and not the litigant whom he represents, who more often than not raise</w:t>
      </w:r>
      <w:r w:rsidR="009C4EA6" w:rsidRPr="00654F4E">
        <w:rPr>
          <w:rFonts w:ascii="Times New Roman" w:hAnsi="Times New Roman" w:cs="Times New Roman"/>
          <w:sz w:val="24"/>
          <w:szCs w:val="24"/>
        </w:rPr>
        <w:t>s</w:t>
      </w:r>
      <w:r w:rsidR="009A5943" w:rsidRPr="00654F4E">
        <w:rPr>
          <w:rFonts w:ascii="Times New Roman" w:hAnsi="Times New Roman" w:cs="Times New Roman"/>
          <w:sz w:val="24"/>
          <w:szCs w:val="24"/>
        </w:rPr>
        <w:t xml:space="preserve"> these </w:t>
      </w:r>
      <w:r w:rsidR="009A5943" w:rsidRPr="00654F4E">
        <w:rPr>
          <w:rFonts w:ascii="Times New Roman" w:hAnsi="Times New Roman" w:cs="Times New Roman"/>
          <w:i/>
          <w:sz w:val="24"/>
          <w:szCs w:val="24"/>
        </w:rPr>
        <w:t>in limine</w:t>
      </w:r>
      <w:r w:rsidR="009A5943" w:rsidRPr="00654F4E">
        <w:rPr>
          <w:rFonts w:ascii="Times New Roman" w:hAnsi="Times New Roman" w:cs="Times New Roman"/>
          <w:sz w:val="24"/>
          <w:szCs w:val="24"/>
        </w:rPr>
        <w:t xml:space="preserve"> matters.</w:t>
      </w:r>
    </w:p>
    <w:p w:rsidR="007F1A56" w:rsidRDefault="00FE73EB" w:rsidP="007952FC">
      <w:pPr>
        <w:spacing w:after="0" w:line="360" w:lineRule="auto"/>
        <w:ind w:firstLine="360"/>
        <w:jc w:val="both"/>
        <w:rPr>
          <w:rFonts w:ascii="Times New Roman" w:hAnsi="Times New Roman" w:cs="Times New Roman"/>
          <w:sz w:val="24"/>
          <w:szCs w:val="24"/>
        </w:rPr>
      </w:pPr>
      <w:r w:rsidRPr="00654F4E">
        <w:rPr>
          <w:rFonts w:ascii="Times New Roman" w:hAnsi="Times New Roman" w:cs="Times New Roman"/>
          <w:sz w:val="24"/>
          <w:szCs w:val="24"/>
        </w:rPr>
        <w:t>Whilst it is the right of the litigants or the latter’s legal practitioner</w:t>
      </w:r>
      <w:r w:rsidR="009C4EA6" w:rsidRPr="00654F4E">
        <w:rPr>
          <w:rFonts w:ascii="Times New Roman" w:hAnsi="Times New Roman" w:cs="Times New Roman"/>
          <w:sz w:val="24"/>
          <w:szCs w:val="24"/>
        </w:rPr>
        <w:t>s</w:t>
      </w:r>
      <w:r w:rsidRPr="00654F4E">
        <w:rPr>
          <w:rFonts w:ascii="Times New Roman" w:hAnsi="Times New Roman" w:cs="Times New Roman"/>
          <w:sz w:val="24"/>
          <w:szCs w:val="24"/>
        </w:rPr>
        <w:t xml:space="preserve"> to raise preliminary issues, the legal practitioner who raises such should objectively assess the appropriateness or otherwise of the preliminary point(s) which he intends to raise. Where, from an objective perspective, he remains of the view that the </w:t>
      </w:r>
      <w:r w:rsidRPr="00654F4E">
        <w:rPr>
          <w:rFonts w:ascii="Times New Roman" w:hAnsi="Times New Roman" w:cs="Times New Roman"/>
          <w:i/>
          <w:sz w:val="24"/>
          <w:szCs w:val="24"/>
        </w:rPr>
        <w:t>in limine</w:t>
      </w:r>
      <w:r w:rsidRPr="00654F4E">
        <w:rPr>
          <w:rFonts w:ascii="Times New Roman" w:hAnsi="Times New Roman" w:cs="Times New Roman"/>
          <w:sz w:val="24"/>
          <w:szCs w:val="24"/>
        </w:rPr>
        <w:t xml:space="preserve"> matter(s) which he seeks to raise is/are better not raised than raised, his adoption of the latter course of action remains his better option than otherwise. Legal practitioners are accordingly exhorted to bear in mind that to be forewarned is to be forearmed. </w:t>
      </w:r>
      <w:r w:rsidRPr="00654F4E">
        <w:rPr>
          <w:rFonts w:ascii="Times New Roman" w:hAnsi="Times New Roman" w:cs="Times New Roman"/>
          <w:sz w:val="24"/>
          <w:szCs w:val="24"/>
        </w:rPr>
        <w:lastRenderedPageBreak/>
        <w:t>They are forewarned that they should not cry foul when the court proceeds to censure them for their unwholesome conduct where they continue to remain unbridled.</w:t>
      </w:r>
    </w:p>
    <w:p w:rsidR="007F1A56" w:rsidRDefault="0080420F" w:rsidP="007952FC">
      <w:pPr>
        <w:spacing w:after="0" w:line="360" w:lineRule="auto"/>
        <w:ind w:firstLine="360"/>
        <w:jc w:val="both"/>
        <w:rPr>
          <w:rFonts w:ascii="Times New Roman" w:hAnsi="Times New Roman" w:cs="Times New Roman"/>
          <w:sz w:val="24"/>
          <w:szCs w:val="24"/>
        </w:rPr>
      </w:pPr>
      <w:r w:rsidRPr="00654F4E">
        <w:rPr>
          <w:rFonts w:ascii="Times New Roman" w:hAnsi="Times New Roman" w:cs="Times New Roman"/>
          <w:sz w:val="24"/>
          <w:szCs w:val="24"/>
        </w:rPr>
        <w:t xml:space="preserve">Whether or not the agreement of cession should remain undisturbed depends, in a large measure, upon the capacity of the cedent to </w:t>
      </w:r>
      <w:r w:rsidR="001E204E" w:rsidRPr="00654F4E">
        <w:rPr>
          <w:rFonts w:ascii="Times New Roman" w:hAnsi="Times New Roman" w:cs="Times New Roman"/>
          <w:sz w:val="24"/>
          <w:szCs w:val="24"/>
        </w:rPr>
        <w:t xml:space="preserve">cede as measured against that of the cessionary to receive the ceded right. Cession is a particular method of transferring a right. The transfer is effected by means of agreement. The agreement consists of a concurrence between the </w:t>
      </w:r>
      <w:r w:rsidR="001E204E" w:rsidRPr="00666577">
        <w:rPr>
          <w:rFonts w:ascii="Times New Roman" w:hAnsi="Times New Roman" w:cs="Times New Roman"/>
          <w:sz w:val="24"/>
          <w:szCs w:val="24"/>
        </w:rPr>
        <w:t>cedent’</w:t>
      </w:r>
      <w:r w:rsidR="009C4EA6" w:rsidRPr="00666577">
        <w:rPr>
          <w:rFonts w:ascii="Times New Roman" w:hAnsi="Times New Roman" w:cs="Times New Roman"/>
          <w:sz w:val="24"/>
          <w:szCs w:val="24"/>
        </w:rPr>
        <w:t>s</w:t>
      </w:r>
      <w:r w:rsidR="009C4EA6" w:rsidRPr="00654F4E">
        <w:rPr>
          <w:rFonts w:ascii="Times New Roman" w:hAnsi="Times New Roman" w:cs="Times New Roman"/>
          <w:i/>
          <w:sz w:val="24"/>
          <w:szCs w:val="24"/>
        </w:rPr>
        <w:t xml:space="preserve"> ani</w:t>
      </w:r>
      <w:r w:rsidR="001E204E" w:rsidRPr="00654F4E">
        <w:rPr>
          <w:rFonts w:ascii="Times New Roman" w:hAnsi="Times New Roman" w:cs="Times New Roman"/>
          <w:i/>
          <w:sz w:val="24"/>
          <w:szCs w:val="24"/>
        </w:rPr>
        <w:t>mus</w:t>
      </w:r>
      <w:r w:rsidR="001E204E" w:rsidRPr="00654F4E">
        <w:rPr>
          <w:rFonts w:ascii="Times New Roman" w:hAnsi="Times New Roman" w:cs="Times New Roman"/>
          <w:sz w:val="24"/>
          <w:szCs w:val="24"/>
        </w:rPr>
        <w:t xml:space="preserve"> </w:t>
      </w:r>
      <w:r w:rsidR="001E204E" w:rsidRPr="00654F4E">
        <w:rPr>
          <w:rFonts w:ascii="Times New Roman" w:hAnsi="Times New Roman" w:cs="Times New Roman"/>
          <w:i/>
          <w:sz w:val="24"/>
          <w:szCs w:val="24"/>
        </w:rPr>
        <w:t>transferendi</w:t>
      </w:r>
      <w:r w:rsidR="001E204E" w:rsidRPr="00654F4E">
        <w:rPr>
          <w:rFonts w:ascii="Times New Roman" w:hAnsi="Times New Roman" w:cs="Times New Roman"/>
          <w:sz w:val="24"/>
          <w:szCs w:val="24"/>
        </w:rPr>
        <w:t xml:space="preserve"> of the right and the cessionary’</w:t>
      </w:r>
      <w:r w:rsidR="009C4EA6" w:rsidRPr="00654F4E">
        <w:rPr>
          <w:rFonts w:ascii="Times New Roman" w:hAnsi="Times New Roman" w:cs="Times New Roman"/>
          <w:sz w:val="24"/>
          <w:szCs w:val="24"/>
        </w:rPr>
        <w:t xml:space="preserve">s corresponding </w:t>
      </w:r>
      <w:r w:rsidR="009C4EA6" w:rsidRPr="00654F4E">
        <w:rPr>
          <w:rFonts w:ascii="Times New Roman" w:hAnsi="Times New Roman" w:cs="Times New Roman"/>
          <w:i/>
          <w:sz w:val="24"/>
          <w:szCs w:val="24"/>
        </w:rPr>
        <w:t>ani</w:t>
      </w:r>
      <w:r w:rsidR="00654F4E" w:rsidRPr="00654F4E">
        <w:rPr>
          <w:rFonts w:ascii="Times New Roman" w:hAnsi="Times New Roman" w:cs="Times New Roman"/>
          <w:i/>
          <w:sz w:val="24"/>
          <w:szCs w:val="24"/>
        </w:rPr>
        <w:t>mus acquirendi</w:t>
      </w:r>
      <w:r w:rsidR="00654F4E">
        <w:rPr>
          <w:rFonts w:ascii="Times New Roman" w:hAnsi="Times New Roman" w:cs="Times New Roman"/>
          <w:sz w:val="24"/>
          <w:szCs w:val="24"/>
        </w:rPr>
        <w:t>:</w:t>
      </w:r>
      <w:r w:rsidR="001E204E" w:rsidRPr="00654F4E">
        <w:rPr>
          <w:rFonts w:ascii="Times New Roman" w:hAnsi="Times New Roman" w:cs="Times New Roman"/>
          <w:sz w:val="24"/>
          <w:szCs w:val="24"/>
        </w:rPr>
        <w:t xml:space="preserve"> </w:t>
      </w:r>
      <w:r w:rsidR="001E204E" w:rsidRPr="00654F4E">
        <w:rPr>
          <w:rFonts w:ascii="Times New Roman" w:hAnsi="Times New Roman" w:cs="Times New Roman"/>
          <w:i/>
          <w:sz w:val="24"/>
          <w:szCs w:val="24"/>
        </w:rPr>
        <w:t>Hippo Quaries</w:t>
      </w:r>
      <w:r w:rsidR="001E204E" w:rsidRPr="00654F4E">
        <w:rPr>
          <w:rFonts w:ascii="Times New Roman" w:hAnsi="Times New Roman" w:cs="Times New Roman"/>
          <w:sz w:val="24"/>
          <w:szCs w:val="24"/>
        </w:rPr>
        <w:t xml:space="preserve"> (</w:t>
      </w:r>
      <w:r w:rsidR="001E204E" w:rsidRPr="00654F4E">
        <w:rPr>
          <w:rFonts w:ascii="Times New Roman" w:hAnsi="Times New Roman" w:cs="Times New Roman"/>
          <w:i/>
          <w:sz w:val="24"/>
          <w:szCs w:val="24"/>
        </w:rPr>
        <w:t>TVL) (Pty) Ltd</w:t>
      </w:r>
      <w:r w:rsidR="001E204E" w:rsidRPr="00654F4E">
        <w:rPr>
          <w:rFonts w:ascii="Times New Roman" w:hAnsi="Times New Roman" w:cs="Times New Roman"/>
          <w:sz w:val="24"/>
          <w:szCs w:val="24"/>
        </w:rPr>
        <w:t xml:space="preserve"> v </w:t>
      </w:r>
      <w:r w:rsidR="001E204E" w:rsidRPr="00654F4E">
        <w:rPr>
          <w:rFonts w:ascii="Times New Roman" w:hAnsi="Times New Roman" w:cs="Times New Roman"/>
          <w:i/>
          <w:sz w:val="24"/>
          <w:szCs w:val="24"/>
        </w:rPr>
        <w:t>Eardley</w:t>
      </w:r>
      <w:r w:rsidR="001E204E" w:rsidRPr="00654F4E">
        <w:rPr>
          <w:rFonts w:ascii="Times New Roman" w:hAnsi="Times New Roman" w:cs="Times New Roman"/>
          <w:sz w:val="24"/>
          <w:szCs w:val="24"/>
        </w:rPr>
        <w:t>, 1992 (1) SA 867 (A) at 873 E-F. A cession that is intended to transfer immediately a rig</w:t>
      </w:r>
      <w:r w:rsidR="00C128E6" w:rsidRPr="00654F4E">
        <w:rPr>
          <w:rFonts w:ascii="Times New Roman" w:hAnsi="Times New Roman" w:cs="Times New Roman"/>
          <w:sz w:val="24"/>
          <w:szCs w:val="24"/>
        </w:rPr>
        <w:t>ht that is not (yet</w:t>
      </w:r>
      <w:r w:rsidR="009C4EA6" w:rsidRPr="00654F4E">
        <w:rPr>
          <w:rFonts w:ascii="Times New Roman" w:hAnsi="Times New Roman" w:cs="Times New Roman"/>
          <w:sz w:val="24"/>
          <w:szCs w:val="24"/>
        </w:rPr>
        <w:t>)</w:t>
      </w:r>
      <w:r w:rsidR="00C128E6" w:rsidRPr="00654F4E">
        <w:rPr>
          <w:rFonts w:ascii="Times New Roman" w:hAnsi="Times New Roman" w:cs="Times New Roman"/>
          <w:sz w:val="24"/>
          <w:szCs w:val="24"/>
        </w:rPr>
        <w:t xml:space="preserve"> an asset in</w:t>
      </w:r>
      <w:r w:rsidR="001E204E" w:rsidRPr="00654F4E">
        <w:rPr>
          <w:rFonts w:ascii="Times New Roman" w:hAnsi="Times New Roman" w:cs="Times New Roman"/>
          <w:sz w:val="24"/>
          <w:szCs w:val="24"/>
        </w:rPr>
        <w:t xml:space="preserve"> the estate of the </w:t>
      </w:r>
      <w:r w:rsidR="001E204E" w:rsidRPr="00666577">
        <w:rPr>
          <w:rFonts w:ascii="Times New Roman" w:hAnsi="Times New Roman" w:cs="Times New Roman"/>
          <w:i/>
          <w:sz w:val="24"/>
          <w:szCs w:val="24"/>
        </w:rPr>
        <w:t>c</w:t>
      </w:r>
      <w:r w:rsidR="001E204E" w:rsidRPr="00666577">
        <w:rPr>
          <w:rFonts w:ascii="Times New Roman" w:hAnsi="Times New Roman" w:cs="Times New Roman"/>
          <w:sz w:val="24"/>
          <w:szCs w:val="24"/>
        </w:rPr>
        <w:t>edent</w:t>
      </w:r>
      <w:r w:rsidR="001E204E" w:rsidRPr="00654F4E">
        <w:rPr>
          <w:rFonts w:ascii="Times New Roman" w:hAnsi="Times New Roman" w:cs="Times New Roman"/>
          <w:sz w:val="24"/>
          <w:szCs w:val="24"/>
        </w:rPr>
        <w:t xml:space="preserve"> is ineffective. This is so irrespective of whether the cedent mistakenly thinks that he has a right, or fraudulently purports to cede the right to some other person </w:t>
      </w:r>
      <w:r w:rsidR="001E204E" w:rsidRPr="00654F4E">
        <w:rPr>
          <w:rFonts w:ascii="Times New Roman" w:hAnsi="Times New Roman" w:cs="Times New Roman"/>
          <w:i/>
          <w:sz w:val="24"/>
          <w:szCs w:val="24"/>
        </w:rPr>
        <w:t>: FNB</w:t>
      </w:r>
      <w:r w:rsidR="001E204E" w:rsidRPr="00654F4E">
        <w:rPr>
          <w:rFonts w:ascii="Times New Roman" w:hAnsi="Times New Roman" w:cs="Times New Roman"/>
          <w:sz w:val="24"/>
          <w:szCs w:val="24"/>
        </w:rPr>
        <w:t xml:space="preserve"> v </w:t>
      </w:r>
      <w:r w:rsidR="001E204E" w:rsidRPr="00654F4E">
        <w:rPr>
          <w:rFonts w:ascii="Times New Roman" w:hAnsi="Times New Roman" w:cs="Times New Roman"/>
          <w:i/>
          <w:sz w:val="24"/>
          <w:szCs w:val="24"/>
        </w:rPr>
        <w:t>Lynn</w:t>
      </w:r>
      <w:r w:rsidR="001E204E" w:rsidRPr="00654F4E">
        <w:rPr>
          <w:rFonts w:ascii="Times New Roman" w:hAnsi="Times New Roman" w:cs="Times New Roman"/>
          <w:sz w:val="24"/>
          <w:szCs w:val="24"/>
        </w:rPr>
        <w:t>, 1996 (2) SA 339 (A).</w:t>
      </w:r>
    </w:p>
    <w:p w:rsidR="005C3FDA" w:rsidRPr="00654F4E" w:rsidRDefault="005C3FDA" w:rsidP="007952FC">
      <w:pPr>
        <w:spacing w:after="0" w:line="360" w:lineRule="auto"/>
        <w:ind w:firstLine="360"/>
        <w:jc w:val="both"/>
        <w:rPr>
          <w:rFonts w:ascii="Times New Roman" w:hAnsi="Times New Roman" w:cs="Times New Roman"/>
          <w:sz w:val="24"/>
          <w:szCs w:val="24"/>
        </w:rPr>
      </w:pPr>
      <w:r w:rsidRPr="00654F4E">
        <w:rPr>
          <w:rFonts w:ascii="Times New Roman" w:hAnsi="Times New Roman" w:cs="Times New Roman"/>
          <w:sz w:val="24"/>
          <w:szCs w:val="24"/>
        </w:rPr>
        <w:t xml:space="preserve">A thread which runs through the above-cited case authorities </w:t>
      </w:r>
      <w:r w:rsidR="00614116" w:rsidRPr="00654F4E">
        <w:rPr>
          <w:rFonts w:ascii="Times New Roman" w:hAnsi="Times New Roman" w:cs="Times New Roman"/>
          <w:sz w:val="24"/>
          <w:szCs w:val="24"/>
        </w:rPr>
        <w:t>is that the cedent should have a right in the thing which he is ceding. It is that right which he cedes. He cedes by way of an agreement which he enters into with the cessionary.</w:t>
      </w:r>
      <w:r w:rsidR="00C128E6" w:rsidRPr="00654F4E">
        <w:rPr>
          <w:rFonts w:ascii="Times New Roman" w:hAnsi="Times New Roman" w:cs="Times New Roman"/>
          <w:sz w:val="24"/>
          <w:szCs w:val="24"/>
        </w:rPr>
        <w:t xml:space="preserve"> It follows that, where the cedent does not have the right which he wants to cede, he cannot cede what he does not have. The statement is </w:t>
      </w:r>
      <w:r w:rsidR="00C128E6" w:rsidRPr="00177DD0">
        <w:rPr>
          <w:rFonts w:ascii="Times New Roman" w:hAnsi="Times New Roman" w:cs="Times New Roman"/>
          <w:i/>
          <w:sz w:val="24"/>
          <w:szCs w:val="24"/>
        </w:rPr>
        <w:t>in sync</w:t>
      </w:r>
      <w:r w:rsidR="00C128E6" w:rsidRPr="00654F4E">
        <w:rPr>
          <w:rFonts w:ascii="Times New Roman" w:hAnsi="Times New Roman" w:cs="Times New Roman"/>
          <w:sz w:val="24"/>
          <w:szCs w:val="24"/>
        </w:rPr>
        <w:t xml:space="preserve"> with what the court enunciated in </w:t>
      </w:r>
      <w:r w:rsidR="00C128E6" w:rsidRPr="00654F4E">
        <w:rPr>
          <w:rFonts w:ascii="Times New Roman" w:hAnsi="Times New Roman" w:cs="Times New Roman"/>
          <w:i/>
          <w:sz w:val="24"/>
          <w:szCs w:val="24"/>
        </w:rPr>
        <w:t>Mushave</w:t>
      </w:r>
      <w:r w:rsidR="00C128E6" w:rsidRPr="00654F4E">
        <w:rPr>
          <w:rFonts w:ascii="Times New Roman" w:hAnsi="Times New Roman" w:cs="Times New Roman"/>
          <w:sz w:val="24"/>
          <w:szCs w:val="24"/>
        </w:rPr>
        <w:t xml:space="preserve"> v </w:t>
      </w:r>
      <w:r w:rsidR="00C128E6" w:rsidRPr="00654F4E">
        <w:rPr>
          <w:rFonts w:ascii="Times New Roman" w:hAnsi="Times New Roman" w:cs="Times New Roman"/>
          <w:i/>
          <w:sz w:val="24"/>
          <w:szCs w:val="24"/>
        </w:rPr>
        <w:t>Standard Bank of South Africa Ltd</w:t>
      </w:r>
      <w:r w:rsidR="00C128E6" w:rsidRPr="00654F4E">
        <w:rPr>
          <w:rFonts w:ascii="Times New Roman" w:hAnsi="Times New Roman" w:cs="Times New Roman"/>
          <w:sz w:val="24"/>
          <w:szCs w:val="24"/>
        </w:rPr>
        <w:t>, 1998 (1) ZLR 436 which developed the principle in the following words:</w:t>
      </w:r>
    </w:p>
    <w:p w:rsidR="00C128E6" w:rsidRPr="00654F4E" w:rsidRDefault="00C128E6" w:rsidP="007952FC">
      <w:pPr>
        <w:spacing w:before="240" w:after="0" w:line="240" w:lineRule="auto"/>
        <w:ind w:left="720"/>
        <w:jc w:val="both"/>
        <w:rPr>
          <w:rFonts w:ascii="Times New Roman" w:hAnsi="Times New Roman" w:cs="Times New Roman"/>
          <w:sz w:val="24"/>
          <w:szCs w:val="24"/>
        </w:rPr>
      </w:pPr>
      <w:r w:rsidRPr="00654F4E">
        <w:rPr>
          <w:rFonts w:ascii="Times New Roman" w:hAnsi="Times New Roman" w:cs="Times New Roman"/>
          <w:sz w:val="24"/>
          <w:szCs w:val="24"/>
        </w:rPr>
        <w:t>“…..</w:t>
      </w:r>
      <w:r w:rsidRPr="00654F4E">
        <w:rPr>
          <w:rFonts w:ascii="Times New Roman" w:hAnsi="Times New Roman" w:cs="Times New Roman"/>
        </w:rPr>
        <w:t>no one can give what he does not have and no one can transfer any right greater than he himself possesses…Therefore, where a person is not the owner and possesses no mandate to do so purports to transfer property, such transfer is a nullity…”(</w:t>
      </w:r>
      <w:r w:rsidRPr="00654F4E">
        <w:rPr>
          <w:rFonts w:ascii="Times New Roman" w:hAnsi="Times New Roman" w:cs="Times New Roman"/>
          <w:sz w:val="24"/>
          <w:szCs w:val="24"/>
        </w:rPr>
        <w:t>emphasis added). See also Silberberge &amp; Schoeman</w:t>
      </w:r>
      <w:r w:rsidRPr="00177DD0">
        <w:rPr>
          <w:rFonts w:ascii="Times New Roman" w:hAnsi="Times New Roman" w:cs="Times New Roman"/>
          <w:i/>
          <w:sz w:val="24"/>
          <w:szCs w:val="24"/>
        </w:rPr>
        <w:t>, The Law of Property</w:t>
      </w:r>
      <w:r w:rsidRPr="00654F4E">
        <w:rPr>
          <w:rFonts w:ascii="Times New Roman" w:hAnsi="Times New Roman" w:cs="Times New Roman"/>
          <w:sz w:val="24"/>
          <w:szCs w:val="24"/>
        </w:rPr>
        <w:t>, 2</w:t>
      </w:r>
      <w:r w:rsidRPr="00654F4E">
        <w:rPr>
          <w:rFonts w:ascii="Times New Roman" w:hAnsi="Times New Roman" w:cs="Times New Roman"/>
          <w:sz w:val="24"/>
          <w:szCs w:val="24"/>
          <w:vertAlign w:val="superscript"/>
        </w:rPr>
        <w:t>nd</w:t>
      </w:r>
      <w:r w:rsidRPr="00654F4E">
        <w:rPr>
          <w:rFonts w:ascii="Times New Roman" w:hAnsi="Times New Roman" w:cs="Times New Roman"/>
          <w:sz w:val="24"/>
          <w:szCs w:val="24"/>
        </w:rPr>
        <w:t xml:space="preserve"> edition, p</w:t>
      </w:r>
      <w:r w:rsidR="00666577">
        <w:rPr>
          <w:rFonts w:ascii="Times New Roman" w:hAnsi="Times New Roman" w:cs="Times New Roman"/>
          <w:sz w:val="24"/>
          <w:szCs w:val="24"/>
        </w:rPr>
        <w:t>age</w:t>
      </w:r>
      <w:r w:rsidRPr="00654F4E">
        <w:rPr>
          <w:rFonts w:ascii="Times New Roman" w:hAnsi="Times New Roman" w:cs="Times New Roman"/>
          <w:sz w:val="24"/>
          <w:szCs w:val="24"/>
        </w:rPr>
        <w:t xml:space="preserve"> 72.</w:t>
      </w:r>
    </w:p>
    <w:p w:rsidR="00856D02" w:rsidRDefault="004B0ADB" w:rsidP="007952FC">
      <w:pPr>
        <w:spacing w:before="240" w:after="0" w:line="360" w:lineRule="auto"/>
        <w:ind w:firstLine="720"/>
        <w:jc w:val="both"/>
        <w:rPr>
          <w:rFonts w:ascii="Times New Roman" w:hAnsi="Times New Roman" w:cs="Times New Roman"/>
          <w:sz w:val="24"/>
          <w:szCs w:val="24"/>
        </w:rPr>
      </w:pPr>
      <w:r w:rsidRPr="00654F4E">
        <w:rPr>
          <w:rFonts w:ascii="Times New Roman" w:hAnsi="Times New Roman" w:cs="Times New Roman"/>
          <w:sz w:val="24"/>
          <w:szCs w:val="24"/>
        </w:rPr>
        <w:t>That th</w:t>
      </w:r>
      <w:r w:rsidR="00627A4A" w:rsidRPr="00654F4E">
        <w:rPr>
          <w:rFonts w:ascii="Times New Roman" w:hAnsi="Times New Roman" w:cs="Times New Roman"/>
          <w:sz w:val="24"/>
          <w:szCs w:val="24"/>
        </w:rPr>
        <w:t>e first applicant has a right to</w:t>
      </w:r>
      <w:r w:rsidRPr="00654F4E">
        <w:rPr>
          <w:rFonts w:ascii="Times New Roman" w:hAnsi="Times New Roman" w:cs="Times New Roman"/>
          <w:sz w:val="24"/>
          <w:szCs w:val="24"/>
        </w:rPr>
        <w:t xml:space="preserve"> the tobacco which is the subject</w:t>
      </w:r>
      <w:r w:rsidR="00CA367B" w:rsidRPr="00654F4E">
        <w:rPr>
          <w:rFonts w:ascii="Times New Roman" w:hAnsi="Times New Roman" w:cs="Times New Roman"/>
          <w:sz w:val="24"/>
          <w:szCs w:val="24"/>
        </w:rPr>
        <w:t xml:space="preserve"> - matter</w:t>
      </w:r>
      <w:r w:rsidRPr="00654F4E">
        <w:rPr>
          <w:rFonts w:ascii="Times New Roman" w:hAnsi="Times New Roman" w:cs="Times New Roman"/>
          <w:sz w:val="24"/>
          <w:szCs w:val="24"/>
        </w:rPr>
        <w:t xml:space="preserve"> of this application requires little, if any, debate. If it does not, the first respondent </w:t>
      </w:r>
      <w:r w:rsidR="00CA367B" w:rsidRPr="00654F4E">
        <w:rPr>
          <w:rFonts w:ascii="Times New Roman" w:hAnsi="Times New Roman" w:cs="Times New Roman"/>
          <w:sz w:val="24"/>
          <w:szCs w:val="24"/>
        </w:rPr>
        <w:t>would not have wasted its time and effort</w:t>
      </w:r>
      <w:r w:rsidRPr="00654F4E">
        <w:rPr>
          <w:rFonts w:ascii="Times New Roman" w:hAnsi="Times New Roman" w:cs="Times New Roman"/>
          <w:sz w:val="24"/>
          <w:szCs w:val="24"/>
        </w:rPr>
        <w:t xml:space="preserve"> entering into an agreement of cession with it. The very act of the first respondent entering into the agreement of cession with it confirms the first applicant’s right to the tobacco.</w:t>
      </w:r>
      <w:r w:rsidR="00627A4A" w:rsidRPr="00654F4E">
        <w:rPr>
          <w:rFonts w:ascii="Times New Roman" w:hAnsi="Times New Roman" w:cs="Times New Roman"/>
          <w:sz w:val="24"/>
          <w:szCs w:val="24"/>
        </w:rPr>
        <w:t xml:space="preserve"> Because the first applic</w:t>
      </w:r>
      <w:r w:rsidR="00CA367B" w:rsidRPr="00654F4E">
        <w:rPr>
          <w:rFonts w:ascii="Times New Roman" w:hAnsi="Times New Roman" w:cs="Times New Roman"/>
          <w:sz w:val="24"/>
          <w:szCs w:val="24"/>
        </w:rPr>
        <w:t>ant has a right to the tobacco,</w:t>
      </w:r>
      <w:r w:rsidR="00627A4A" w:rsidRPr="00654F4E">
        <w:rPr>
          <w:rFonts w:ascii="Times New Roman" w:hAnsi="Times New Roman" w:cs="Times New Roman"/>
          <w:sz w:val="24"/>
          <w:szCs w:val="24"/>
        </w:rPr>
        <w:t xml:space="preserve"> only it and it alone, could enter into a</w:t>
      </w:r>
      <w:r w:rsidR="00FC617B" w:rsidRPr="00654F4E">
        <w:rPr>
          <w:rFonts w:ascii="Times New Roman" w:hAnsi="Times New Roman" w:cs="Times New Roman"/>
          <w:sz w:val="24"/>
          <w:szCs w:val="24"/>
        </w:rPr>
        <w:t xml:space="preserve"> valid</w:t>
      </w:r>
      <w:r w:rsidR="00627A4A" w:rsidRPr="00654F4E">
        <w:rPr>
          <w:rFonts w:ascii="Times New Roman" w:hAnsi="Times New Roman" w:cs="Times New Roman"/>
          <w:sz w:val="24"/>
          <w:szCs w:val="24"/>
        </w:rPr>
        <w:t xml:space="preserve"> contract of cession with the first respondent. As a fictiti</w:t>
      </w:r>
      <w:r w:rsidR="00CA367B" w:rsidRPr="00654F4E">
        <w:rPr>
          <w:rFonts w:ascii="Times New Roman" w:hAnsi="Times New Roman" w:cs="Times New Roman"/>
          <w:sz w:val="24"/>
          <w:szCs w:val="24"/>
        </w:rPr>
        <w:t>ous person</w:t>
      </w:r>
      <w:r w:rsidR="00177DD0">
        <w:rPr>
          <w:rFonts w:ascii="Times New Roman" w:hAnsi="Times New Roman" w:cs="Times New Roman"/>
          <w:sz w:val="24"/>
          <w:szCs w:val="24"/>
        </w:rPr>
        <w:t>,</w:t>
      </w:r>
      <w:r w:rsidR="00CA367B" w:rsidRPr="00654F4E">
        <w:rPr>
          <w:rFonts w:ascii="Times New Roman" w:hAnsi="Times New Roman" w:cs="Times New Roman"/>
          <w:sz w:val="24"/>
          <w:szCs w:val="24"/>
        </w:rPr>
        <w:t xml:space="preserve"> which it is, it should</w:t>
      </w:r>
      <w:r w:rsidR="00627A4A" w:rsidRPr="00654F4E">
        <w:rPr>
          <w:rFonts w:ascii="Times New Roman" w:hAnsi="Times New Roman" w:cs="Times New Roman"/>
          <w:sz w:val="24"/>
          <w:szCs w:val="24"/>
        </w:rPr>
        <w:t xml:space="preserve"> have passed a resolution authorizing any of its directors to negotiate, conclude and sign the contract of cession on its behalf. By the same token, the first respondent</w:t>
      </w:r>
      <w:r w:rsidR="00177DD0">
        <w:rPr>
          <w:rFonts w:ascii="Times New Roman" w:hAnsi="Times New Roman" w:cs="Times New Roman"/>
          <w:sz w:val="24"/>
          <w:szCs w:val="24"/>
        </w:rPr>
        <w:t>,</w:t>
      </w:r>
      <w:r w:rsidR="00627A4A" w:rsidRPr="00654F4E">
        <w:rPr>
          <w:rFonts w:ascii="Times New Roman" w:hAnsi="Times New Roman" w:cs="Times New Roman"/>
          <w:sz w:val="24"/>
          <w:szCs w:val="24"/>
        </w:rPr>
        <w:t xml:space="preserve"> which is also a fictitious person</w:t>
      </w:r>
      <w:r w:rsidR="00177DD0">
        <w:rPr>
          <w:rFonts w:ascii="Times New Roman" w:hAnsi="Times New Roman" w:cs="Times New Roman"/>
          <w:sz w:val="24"/>
          <w:szCs w:val="24"/>
        </w:rPr>
        <w:t>,</w:t>
      </w:r>
      <w:r w:rsidR="00627A4A" w:rsidRPr="00654F4E">
        <w:rPr>
          <w:rFonts w:ascii="Times New Roman" w:hAnsi="Times New Roman" w:cs="Times New Roman"/>
          <w:sz w:val="24"/>
          <w:szCs w:val="24"/>
        </w:rPr>
        <w:t xml:space="preserve"> </w:t>
      </w:r>
      <w:r w:rsidR="00627A4A" w:rsidRPr="00654F4E">
        <w:rPr>
          <w:rFonts w:ascii="Times New Roman" w:hAnsi="Times New Roman" w:cs="Times New Roman"/>
          <w:sz w:val="24"/>
          <w:szCs w:val="24"/>
        </w:rPr>
        <w:lastRenderedPageBreak/>
        <w:t>should have passed a resolution authorizing one of its directors to negotiate, conclude and sign the contract of cession on its behalf.</w:t>
      </w:r>
    </w:p>
    <w:p w:rsidR="00A24EED" w:rsidRPr="00654F4E" w:rsidRDefault="00CA367B" w:rsidP="007952FC">
      <w:pPr>
        <w:spacing w:before="240" w:after="0" w:line="360" w:lineRule="auto"/>
        <w:ind w:firstLine="720"/>
        <w:jc w:val="both"/>
        <w:rPr>
          <w:rFonts w:ascii="Times New Roman" w:hAnsi="Times New Roman" w:cs="Times New Roman"/>
          <w:sz w:val="24"/>
          <w:szCs w:val="24"/>
        </w:rPr>
      </w:pPr>
      <w:r w:rsidRPr="00654F4E">
        <w:rPr>
          <w:rFonts w:ascii="Times New Roman" w:hAnsi="Times New Roman" w:cs="Times New Roman"/>
          <w:sz w:val="24"/>
          <w:szCs w:val="24"/>
        </w:rPr>
        <w:t>Resolutions of</w:t>
      </w:r>
      <w:r w:rsidR="00A24EED" w:rsidRPr="00654F4E">
        <w:rPr>
          <w:rFonts w:ascii="Times New Roman" w:hAnsi="Times New Roman" w:cs="Times New Roman"/>
          <w:sz w:val="24"/>
          <w:szCs w:val="24"/>
        </w:rPr>
        <w:t xml:space="preserve"> directors of the first applicant</w:t>
      </w:r>
      <w:r w:rsidRPr="00654F4E">
        <w:rPr>
          <w:rFonts w:ascii="Times New Roman" w:hAnsi="Times New Roman" w:cs="Times New Roman"/>
          <w:sz w:val="24"/>
          <w:szCs w:val="24"/>
        </w:rPr>
        <w:t xml:space="preserve"> and the first respondent were</w:t>
      </w:r>
      <w:r w:rsidR="00A24EED" w:rsidRPr="00654F4E">
        <w:rPr>
          <w:rFonts w:ascii="Times New Roman" w:hAnsi="Times New Roman" w:cs="Times New Roman"/>
          <w:sz w:val="24"/>
          <w:szCs w:val="24"/>
        </w:rPr>
        <w:t xml:space="preserve"> a </w:t>
      </w:r>
      <w:r w:rsidR="00A24EED" w:rsidRPr="00177DD0">
        <w:rPr>
          <w:rFonts w:ascii="Times New Roman" w:hAnsi="Times New Roman" w:cs="Times New Roman"/>
          <w:i/>
          <w:sz w:val="24"/>
          <w:szCs w:val="24"/>
        </w:rPr>
        <w:t>sine qua non</w:t>
      </w:r>
      <w:r w:rsidR="00A24EED" w:rsidRPr="00654F4E">
        <w:rPr>
          <w:rFonts w:ascii="Times New Roman" w:hAnsi="Times New Roman" w:cs="Times New Roman"/>
          <w:sz w:val="24"/>
          <w:szCs w:val="24"/>
        </w:rPr>
        <w:t xml:space="preserve"> aspect of the validity of the contract of cession. Absent those, the contract cannot remain valid. It is a nullity which cannot be resurrected from its dead state. Hahlo brings out the importance of the directors’ resolutions when he states in his </w:t>
      </w:r>
      <w:r w:rsidR="00A24EED" w:rsidRPr="003E6E3D">
        <w:rPr>
          <w:rFonts w:ascii="Times New Roman" w:hAnsi="Times New Roman" w:cs="Times New Roman"/>
          <w:i/>
          <w:sz w:val="24"/>
          <w:szCs w:val="24"/>
        </w:rPr>
        <w:t>South African Company Law through cases</w:t>
      </w:r>
      <w:r w:rsidR="00A24EED" w:rsidRPr="00654F4E">
        <w:rPr>
          <w:rFonts w:ascii="Times New Roman" w:hAnsi="Times New Roman" w:cs="Times New Roman"/>
          <w:sz w:val="24"/>
          <w:szCs w:val="24"/>
        </w:rPr>
        <w:t>. 6</w:t>
      </w:r>
      <w:r w:rsidR="00A24EED" w:rsidRPr="00654F4E">
        <w:rPr>
          <w:rFonts w:ascii="Times New Roman" w:hAnsi="Times New Roman" w:cs="Times New Roman"/>
          <w:sz w:val="24"/>
          <w:szCs w:val="24"/>
          <w:vertAlign w:val="superscript"/>
        </w:rPr>
        <w:t>th</w:t>
      </w:r>
      <w:r w:rsidR="00A24EED" w:rsidRPr="00654F4E">
        <w:rPr>
          <w:rFonts w:ascii="Times New Roman" w:hAnsi="Times New Roman" w:cs="Times New Roman"/>
          <w:sz w:val="24"/>
          <w:szCs w:val="24"/>
        </w:rPr>
        <w:t xml:space="preserve"> edition, p</w:t>
      </w:r>
      <w:r w:rsidR="00302059">
        <w:rPr>
          <w:rFonts w:ascii="Times New Roman" w:hAnsi="Times New Roman" w:cs="Times New Roman"/>
          <w:sz w:val="24"/>
          <w:szCs w:val="24"/>
        </w:rPr>
        <w:t>age</w:t>
      </w:r>
      <w:r w:rsidR="00A24EED" w:rsidRPr="00654F4E">
        <w:rPr>
          <w:rFonts w:ascii="Times New Roman" w:hAnsi="Times New Roman" w:cs="Times New Roman"/>
          <w:sz w:val="24"/>
          <w:szCs w:val="24"/>
        </w:rPr>
        <w:t xml:space="preserve"> 343 that:</w:t>
      </w:r>
    </w:p>
    <w:p w:rsidR="00CA367B" w:rsidRPr="007F1A56" w:rsidRDefault="00CA367B" w:rsidP="007952FC">
      <w:pPr>
        <w:spacing w:before="240" w:after="0" w:line="240" w:lineRule="auto"/>
        <w:ind w:left="720"/>
        <w:jc w:val="both"/>
        <w:rPr>
          <w:rFonts w:ascii="Times New Roman" w:hAnsi="Times New Roman" w:cs="Times New Roman"/>
        </w:rPr>
      </w:pPr>
      <w:r w:rsidRPr="007F1A56">
        <w:rPr>
          <w:rFonts w:ascii="Times New Roman" w:hAnsi="Times New Roman" w:cs="Times New Roman"/>
        </w:rPr>
        <w:t>“The powers of the company vest in the directors as a board, and not as individuals. Directors exercise their powers by passing resolution</w:t>
      </w:r>
      <w:r w:rsidR="00FC617B" w:rsidRPr="007F1A56">
        <w:rPr>
          <w:rFonts w:ascii="Times New Roman" w:hAnsi="Times New Roman" w:cs="Times New Roman"/>
        </w:rPr>
        <w:t>s</w:t>
      </w:r>
      <w:r w:rsidRPr="007F1A56">
        <w:rPr>
          <w:rFonts w:ascii="Times New Roman" w:hAnsi="Times New Roman" w:cs="Times New Roman"/>
        </w:rPr>
        <w:t xml:space="preserve"> at board meetings; of which proper notice must be given to all directors and at which a quorum must be present”.</w:t>
      </w:r>
    </w:p>
    <w:p w:rsidR="00CA367B" w:rsidRPr="00654F4E" w:rsidRDefault="00DF43F8" w:rsidP="007952FC">
      <w:pPr>
        <w:spacing w:before="240" w:after="0" w:line="360" w:lineRule="auto"/>
        <w:jc w:val="both"/>
        <w:rPr>
          <w:rFonts w:ascii="Times New Roman" w:hAnsi="Times New Roman" w:cs="Times New Roman"/>
          <w:sz w:val="24"/>
          <w:szCs w:val="24"/>
        </w:rPr>
      </w:pPr>
      <w:r w:rsidRPr="00654F4E">
        <w:rPr>
          <w:rFonts w:ascii="Times New Roman" w:hAnsi="Times New Roman" w:cs="Times New Roman"/>
          <w:sz w:val="24"/>
          <w:szCs w:val="24"/>
        </w:rPr>
        <w:t>The agreement of cession which the parties placed before me shows that the second respondent negotiated and signed the same for, and on behalf of, the first applicant. The first applicant describes the second respondent as its employee who, as such, did not have the authority to enter into the contact of cession with the first respondent. The second respondent’s statement is to an equal effect.</w:t>
      </w:r>
      <w:r w:rsidR="00CC1E14" w:rsidRPr="00654F4E">
        <w:rPr>
          <w:rFonts w:ascii="Times New Roman" w:hAnsi="Times New Roman" w:cs="Times New Roman"/>
          <w:sz w:val="24"/>
          <w:szCs w:val="24"/>
        </w:rPr>
        <w:t xml:space="preserve"> She states</w:t>
      </w:r>
      <w:r w:rsidR="00FC617B" w:rsidRPr="00654F4E">
        <w:rPr>
          <w:rFonts w:ascii="Times New Roman" w:hAnsi="Times New Roman" w:cs="Times New Roman"/>
          <w:sz w:val="24"/>
          <w:szCs w:val="24"/>
        </w:rPr>
        <w:t>,</w:t>
      </w:r>
      <w:r w:rsidR="00CC1E14" w:rsidRPr="00654F4E">
        <w:rPr>
          <w:rFonts w:ascii="Times New Roman" w:hAnsi="Times New Roman" w:cs="Times New Roman"/>
          <w:sz w:val="24"/>
          <w:szCs w:val="24"/>
        </w:rPr>
        <w:t xml:space="preserve"> in para 1 of her opposing affidavit</w:t>
      </w:r>
      <w:r w:rsidR="00FC617B" w:rsidRPr="00654F4E">
        <w:rPr>
          <w:rFonts w:ascii="Times New Roman" w:hAnsi="Times New Roman" w:cs="Times New Roman"/>
          <w:sz w:val="24"/>
          <w:szCs w:val="24"/>
        </w:rPr>
        <w:t>,</w:t>
      </w:r>
      <w:r w:rsidR="00CC1E14" w:rsidRPr="00654F4E">
        <w:rPr>
          <w:rFonts w:ascii="Times New Roman" w:hAnsi="Times New Roman" w:cs="Times New Roman"/>
          <w:sz w:val="24"/>
          <w:szCs w:val="24"/>
        </w:rPr>
        <w:t xml:space="preserve"> that she is an employee of the first </w:t>
      </w:r>
      <w:r w:rsidR="00FC617B" w:rsidRPr="00654F4E">
        <w:rPr>
          <w:rFonts w:ascii="Times New Roman" w:hAnsi="Times New Roman" w:cs="Times New Roman"/>
          <w:sz w:val="24"/>
          <w:szCs w:val="24"/>
        </w:rPr>
        <w:t>applicant. Her statement which leads</w:t>
      </w:r>
      <w:r w:rsidR="00CC1E14" w:rsidRPr="00654F4E">
        <w:rPr>
          <w:rFonts w:ascii="Times New Roman" w:hAnsi="Times New Roman" w:cs="Times New Roman"/>
          <w:sz w:val="24"/>
          <w:szCs w:val="24"/>
        </w:rPr>
        <w:t xml:space="preserve"> to the negotiation and signing of the agreement of cession is very revealing. She states in </w:t>
      </w:r>
      <w:r w:rsidR="00302059" w:rsidRPr="00654F4E">
        <w:rPr>
          <w:rFonts w:ascii="Times New Roman" w:hAnsi="Times New Roman" w:cs="Times New Roman"/>
          <w:sz w:val="24"/>
          <w:szCs w:val="24"/>
        </w:rPr>
        <w:t>para</w:t>
      </w:r>
      <w:r w:rsidR="00302059">
        <w:rPr>
          <w:rFonts w:ascii="Times New Roman" w:hAnsi="Times New Roman" w:cs="Times New Roman"/>
          <w:sz w:val="24"/>
          <w:szCs w:val="24"/>
        </w:rPr>
        <w:t>graph</w:t>
      </w:r>
      <w:r w:rsidR="00302059" w:rsidRPr="00654F4E">
        <w:rPr>
          <w:rFonts w:ascii="Times New Roman" w:hAnsi="Times New Roman" w:cs="Times New Roman"/>
          <w:sz w:val="24"/>
          <w:szCs w:val="24"/>
        </w:rPr>
        <w:t>s</w:t>
      </w:r>
      <w:r w:rsidR="00CC1E14" w:rsidRPr="00654F4E">
        <w:rPr>
          <w:rFonts w:ascii="Times New Roman" w:hAnsi="Times New Roman" w:cs="Times New Roman"/>
          <w:sz w:val="24"/>
          <w:szCs w:val="24"/>
        </w:rPr>
        <w:t xml:space="preserve"> 8, 11 and 14 of her notice of opposition as </w:t>
      </w:r>
      <w:r w:rsidR="007F1A56" w:rsidRPr="00654F4E">
        <w:rPr>
          <w:rFonts w:ascii="Times New Roman" w:hAnsi="Times New Roman" w:cs="Times New Roman"/>
          <w:sz w:val="24"/>
          <w:szCs w:val="24"/>
        </w:rPr>
        <w:t>follows:</w:t>
      </w:r>
    </w:p>
    <w:p w:rsidR="00CC1E14" w:rsidRPr="007F1A56" w:rsidRDefault="00CC1E14" w:rsidP="007952FC">
      <w:pPr>
        <w:spacing w:before="240" w:after="0" w:line="240" w:lineRule="auto"/>
        <w:ind w:left="720"/>
        <w:jc w:val="both"/>
        <w:rPr>
          <w:rFonts w:ascii="Times New Roman" w:hAnsi="Times New Roman" w:cs="Times New Roman"/>
        </w:rPr>
      </w:pPr>
      <w:r w:rsidRPr="007F1A56">
        <w:rPr>
          <w:rFonts w:ascii="Times New Roman" w:hAnsi="Times New Roman" w:cs="Times New Roman"/>
        </w:rPr>
        <w:t>“8…..all my conduct in respect of these allegations were occasioned by compulsion of the law…the police made it clear that I had to comply with the various warrants and directives.</w:t>
      </w:r>
    </w:p>
    <w:p w:rsidR="00CC1E14" w:rsidRPr="007F1A56" w:rsidRDefault="00CC1E14" w:rsidP="007952FC">
      <w:pPr>
        <w:spacing w:before="240" w:after="0" w:line="240" w:lineRule="auto"/>
        <w:ind w:left="720"/>
        <w:jc w:val="both"/>
        <w:rPr>
          <w:rFonts w:ascii="Times New Roman" w:hAnsi="Times New Roman" w:cs="Times New Roman"/>
        </w:rPr>
      </w:pPr>
      <w:r w:rsidRPr="007F1A56">
        <w:rPr>
          <w:rFonts w:ascii="Times New Roman" w:hAnsi="Times New Roman" w:cs="Times New Roman"/>
        </w:rPr>
        <w:t xml:space="preserve">11. I had been granted permission by one of the </w:t>
      </w:r>
      <w:r w:rsidR="00654F4E" w:rsidRPr="007F1A56">
        <w:rPr>
          <w:rFonts w:ascii="Times New Roman" w:hAnsi="Times New Roman" w:cs="Times New Roman"/>
        </w:rPr>
        <w:t>a</w:t>
      </w:r>
      <w:r w:rsidRPr="007F1A56">
        <w:rPr>
          <w:rFonts w:ascii="Times New Roman" w:hAnsi="Times New Roman" w:cs="Times New Roman"/>
        </w:rPr>
        <w:t>pplicant’s directors</w:t>
      </w:r>
      <w:r w:rsidR="00FC617B" w:rsidRPr="007F1A56">
        <w:rPr>
          <w:rFonts w:ascii="Times New Roman" w:hAnsi="Times New Roman" w:cs="Times New Roman"/>
        </w:rPr>
        <w:t>,</w:t>
      </w:r>
      <w:r w:rsidRPr="007F1A56">
        <w:rPr>
          <w:rFonts w:ascii="Times New Roman" w:hAnsi="Times New Roman" w:cs="Times New Roman"/>
        </w:rPr>
        <w:t xml:space="preserve"> a certain DENIS SEAH who advised me that I should sign the cession agreement due to the fact that the </w:t>
      </w:r>
      <w:r w:rsidR="00654F4E" w:rsidRPr="007F1A56">
        <w:rPr>
          <w:rFonts w:ascii="Times New Roman" w:hAnsi="Times New Roman" w:cs="Times New Roman"/>
        </w:rPr>
        <w:t>second a</w:t>
      </w:r>
      <w:r w:rsidRPr="007F1A56">
        <w:rPr>
          <w:rFonts w:ascii="Times New Roman" w:hAnsi="Times New Roman" w:cs="Times New Roman"/>
        </w:rPr>
        <w:t xml:space="preserve">pplicant was on the run and could not give </w:t>
      </w:r>
      <w:r w:rsidR="00654F4E" w:rsidRPr="007F1A56">
        <w:rPr>
          <w:rFonts w:ascii="Times New Roman" w:hAnsi="Times New Roman" w:cs="Times New Roman"/>
        </w:rPr>
        <w:t>first</w:t>
      </w:r>
      <w:r w:rsidRPr="007F1A56">
        <w:rPr>
          <w:rFonts w:ascii="Times New Roman" w:hAnsi="Times New Roman" w:cs="Times New Roman"/>
        </w:rPr>
        <w:t xml:space="preserve"> </w:t>
      </w:r>
      <w:r w:rsidR="00654F4E" w:rsidRPr="007F1A56">
        <w:rPr>
          <w:rFonts w:ascii="Times New Roman" w:hAnsi="Times New Roman" w:cs="Times New Roman"/>
        </w:rPr>
        <w:t>a</w:t>
      </w:r>
      <w:r w:rsidRPr="007F1A56">
        <w:rPr>
          <w:rFonts w:ascii="Times New Roman" w:hAnsi="Times New Roman" w:cs="Times New Roman"/>
        </w:rPr>
        <w:t>pplicant any meaningful direction(s).</w:t>
      </w:r>
    </w:p>
    <w:p w:rsidR="00CC1E14" w:rsidRDefault="00CC1E14" w:rsidP="007952FC">
      <w:pPr>
        <w:spacing w:before="240" w:after="0" w:line="240" w:lineRule="auto"/>
        <w:ind w:left="720"/>
        <w:jc w:val="both"/>
        <w:rPr>
          <w:rFonts w:ascii="Times New Roman" w:hAnsi="Times New Roman" w:cs="Times New Roman"/>
        </w:rPr>
      </w:pPr>
      <w:r w:rsidRPr="007F1A56">
        <w:rPr>
          <w:rFonts w:ascii="Times New Roman" w:hAnsi="Times New Roman" w:cs="Times New Roman"/>
        </w:rPr>
        <w:t>14. It is only after m</w:t>
      </w:r>
      <w:r w:rsidR="00FC617B" w:rsidRPr="007F1A56">
        <w:rPr>
          <w:rFonts w:ascii="Times New Roman" w:hAnsi="Times New Roman" w:cs="Times New Roman"/>
        </w:rPr>
        <w:t>y consultations with DENIS SEAH</w:t>
      </w:r>
      <w:r w:rsidRPr="007F1A56">
        <w:rPr>
          <w:rFonts w:ascii="Times New Roman" w:hAnsi="Times New Roman" w:cs="Times New Roman"/>
        </w:rPr>
        <w:t xml:space="preserve"> that I signed the cession agreement at the behest of the </w:t>
      </w:r>
      <w:r w:rsidR="00654F4E" w:rsidRPr="007F1A56">
        <w:rPr>
          <w:rFonts w:ascii="Times New Roman" w:hAnsi="Times New Roman" w:cs="Times New Roman"/>
        </w:rPr>
        <w:t>first applicant</w:t>
      </w:r>
      <w:r w:rsidRPr="007F1A56">
        <w:rPr>
          <w:rFonts w:ascii="Times New Roman" w:hAnsi="Times New Roman" w:cs="Times New Roman"/>
        </w:rPr>
        <w:t xml:space="preserve"> who had been abandoned by the </w:t>
      </w:r>
      <w:r w:rsidR="00654F4E" w:rsidRPr="007F1A56">
        <w:rPr>
          <w:rFonts w:ascii="Times New Roman" w:hAnsi="Times New Roman" w:cs="Times New Roman"/>
        </w:rPr>
        <w:t>second</w:t>
      </w:r>
      <w:r w:rsidRPr="007F1A56">
        <w:rPr>
          <w:rFonts w:ascii="Times New Roman" w:hAnsi="Times New Roman" w:cs="Times New Roman"/>
        </w:rPr>
        <w:t xml:space="preserve"> </w:t>
      </w:r>
      <w:r w:rsidR="00654F4E" w:rsidRPr="007F1A56">
        <w:rPr>
          <w:rFonts w:ascii="Times New Roman" w:hAnsi="Times New Roman" w:cs="Times New Roman"/>
        </w:rPr>
        <w:t>a</w:t>
      </w:r>
      <w:r w:rsidRPr="007F1A56">
        <w:rPr>
          <w:rFonts w:ascii="Times New Roman" w:hAnsi="Times New Roman" w:cs="Times New Roman"/>
        </w:rPr>
        <w:t>pplicant</w:t>
      </w:r>
      <w:r w:rsidR="00CF3B62" w:rsidRPr="007F1A56">
        <w:rPr>
          <w:rFonts w:ascii="Times New Roman" w:hAnsi="Times New Roman" w:cs="Times New Roman"/>
        </w:rPr>
        <w:t>”.</w:t>
      </w:r>
    </w:p>
    <w:p w:rsidR="0084026E" w:rsidRPr="007F1A56" w:rsidRDefault="0084026E" w:rsidP="007952FC">
      <w:pPr>
        <w:spacing w:before="240" w:after="0" w:line="240" w:lineRule="auto"/>
        <w:ind w:left="720"/>
        <w:jc w:val="both"/>
        <w:rPr>
          <w:rFonts w:ascii="Times New Roman" w:hAnsi="Times New Roman" w:cs="Times New Roman"/>
        </w:rPr>
      </w:pPr>
    </w:p>
    <w:p w:rsidR="00D46ADE" w:rsidRDefault="00CF3B62" w:rsidP="00D46ADE">
      <w:pPr>
        <w:spacing w:after="0" w:line="360" w:lineRule="auto"/>
        <w:ind w:firstLine="720"/>
        <w:jc w:val="both"/>
        <w:rPr>
          <w:rFonts w:ascii="Times New Roman" w:hAnsi="Times New Roman" w:cs="Times New Roman"/>
          <w:sz w:val="24"/>
          <w:szCs w:val="24"/>
        </w:rPr>
      </w:pPr>
      <w:r w:rsidRPr="00654F4E">
        <w:rPr>
          <w:rFonts w:ascii="Times New Roman" w:hAnsi="Times New Roman" w:cs="Times New Roman"/>
          <w:sz w:val="24"/>
          <w:szCs w:val="24"/>
        </w:rPr>
        <w:t xml:space="preserve">The second respondent does not assert that she had the authority of the first applicant to negotiate let alone sign the contract of cession. She, in fact, alleges coercion by the police and instruction by a </w:t>
      </w:r>
      <w:r w:rsidR="000503FE" w:rsidRPr="00654F4E">
        <w:rPr>
          <w:rFonts w:ascii="Times New Roman" w:hAnsi="Times New Roman" w:cs="Times New Roman"/>
          <w:sz w:val="24"/>
          <w:szCs w:val="24"/>
        </w:rPr>
        <w:t>director of the first applicant</w:t>
      </w:r>
      <w:r w:rsidRPr="00654F4E">
        <w:rPr>
          <w:rFonts w:ascii="Times New Roman" w:hAnsi="Times New Roman" w:cs="Times New Roman"/>
          <w:sz w:val="24"/>
          <w:szCs w:val="24"/>
        </w:rPr>
        <w:t xml:space="preserve"> as the reason for her signing the contract.</w:t>
      </w:r>
      <w:r w:rsidR="00446AAC" w:rsidRPr="00654F4E">
        <w:rPr>
          <w:rFonts w:ascii="Times New Roman" w:hAnsi="Times New Roman" w:cs="Times New Roman"/>
          <w:sz w:val="24"/>
          <w:szCs w:val="24"/>
        </w:rPr>
        <w:t xml:space="preserve"> She could not give to the first respondent a right which she herself did not hold. Her act of ceding to the first respondent a right which she did not have was not only void. It was, in the words of Lord Denning, </w:t>
      </w:r>
      <w:r w:rsidR="00446AAC" w:rsidRPr="00654F4E">
        <w:rPr>
          <w:rFonts w:ascii="Times New Roman" w:hAnsi="Times New Roman" w:cs="Times New Roman"/>
          <w:sz w:val="24"/>
          <w:szCs w:val="24"/>
        </w:rPr>
        <w:lastRenderedPageBreak/>
        <w:t xml:space="preserve">incurably bad: </w:t>
      </w:r>
      <w:r w:rsidR="00446AAC" w:rsidRPr="00BC0B75">
        <w:rPr>
          <w:rFonts w:ascii="Times New Roman" w:hAnsi="Times New Roman" w:cs="Times New Roman"/>
          <w:i/>
          <w:sz w:val="24"/>
          <w:szCs w:val="24"/>
        </w:rPr>
        <w:t>MacFoy</w:t>
      </w:r>
      <w:r w:rsidR="00446AAC" w:rsidRPr="00654F4E">
        <w:rPr>
          <w:rFonts w:ascii="Times New Roman" w:hAnsi="Times New Roman" w:cs="Times New Roman"/>
          <w:sz w:val="24"/>
          <w:szCs w:val="24"/>
        </w:rPr>
        <w:t xml:space="preserve"> v </w:t>
      </w:r>
      <w:r w:rsidR="00446AAC" w:rsidRPr="00BC0B75">
        <w:rPr>
          <w:rFonts w:ascii="Times New Roman" w:hAnsi="Times New Roman" w:cs="Times New Roman"/>
          <w:i/>
          <w:sz w:val="24"/>
          <w:szCs w:val="24"/>
        </w:rPr>
        <w:t>United Africa Co. Ltd</w:t>
      </w:r>
      <w:r w:rsidR="00446AAC" w:rsidRPr="00654F4E">
        <w:rPr>
          <w:rFonts w:ascii="Times New Roman" w:hAnsi="Times New Roman" w:cs="Times New Roman"/>
          <w:sz w:val="24"/>
          <w:szCs w:val="24"/>
        </w:rPr>
        <w:t xml:space="preserve"> (1961) 3 All E R 1169 (PC) at 1172.</w:t>
      </w:r>
      <w:r w:rsidRPr="00654F4E">
        <w:rPr>
          <w:rFonts w:ascii="Times New Roman" w:hAnsi="Times New Roman" w:cs="Times New Roman"/>
          <w:sz w:val="24"/>
          <w:szCs w:val="24"/>
        </w:rPr>
        <w:t xml:space="preserve"> As an employee of the first applicant, she had had no right to the tobacco. She could not, therefore, transfer a right which she did not have. She no doubt did not have the authority of the first applicant to cede anything to anyone. </w:t>
      </w:r>
    </w:p>
    <w:p w:rsidR="007F1A56" w:rsidRDefault="00CF3B62" w:rsidP="007952FC">
      <w:pPr>
        <w:spacing w:after="0" w:line="360" w:lineRule="auto"/>
        <w:ind w:firstLine="720"/>
        <w:jc w:val="both"/>
        <w:rPr>
          <w:rFonts w:ascii="Times New Roman" w:hAnsi="Times New Roman" w:cs="Times New Roman"/>
          <w:sz w:val="24"/>
          <w:szCs w:val="24"/>
        </w:rPr>
      </w:pPr>
      <w:r w:rsidRPr="00654F4E">
        <w:rPr>
          <w:rFonts w:ascii="Times New Roman" w:hAnsi="Times New Roman" w:cs="Times New Roman"/>
          <w:sz w:val="24"/>
          <w:szCs w:val="24"/>
        </w:rPr>
        <w:t xml:space="preserve">The purported cession which, as is known, was induced by coercion and instruction from a single director of the first applicant is no cession at all. This a </w:t>
      </w:r>
      <w:r w:rsidRPr="003E6E3D">
        <w:rPr>
          <w:rFonts w:ascii="Times New Roman" w:hAnsi="Times New Roman" w:cs="Times New Roman"/>
          <w:i/>
          <w:sz w:val="24"/>
          <w:szCs w:val="24"/>
        </w:rPr>
        <w:t>fortiori</w:t>
      </w:r>
      <w:r w:rsidR="000503FE" w:rsidRPr="00654F4E">
        <w:rPr>
          <w:rFonts w:ascii="Times New Roman" w:hAnsi="Times New Roman" w:cs="Times New Roman"/>
          <w:sz w:val="24"/>
          <w:szCs w:val="24"/>
        </w:rPr>
        <w:t xml:space="preserve"> the case</w:t>
      </w:r>
      <w:r w:rsidRPr="00654F4E">
        <w:rPr>
          <w:rFonts w:ascii="Times New Roman" w:hAnsi="Times New Roman" w:cs="Times New Roman"/>
          <w:sz w:val="24"/>
          <w:szCs w:val="24"/>
        </w:rPr>
        <w:t xml:space="preserve"> given the position that neither the first applicant nor the first respondent passed a resolution to negotiate, conclude and/or sign the contract of cession.</w:t>
      </w:r>
    </w:p>
    <w:p w:rsidR="00D10A28" w:rsidRPr="00654F4E" w:rsidRDefault="00D10A28" w:rsidP="007952FC">
      <w:pPr>
        <w:spacing w:after="0" w:line="360" w:lineRule="auto"/>
        <w:ind w:firstLine="720"/>
        <w:jc w:val="both"/>
        <w:rPr>
          <w:rFonts w:ascii="Times New Roman" w:hAnsi="Times New Roman" w:cs="Times New Roman"/>
          <w:sz w:val="24"/>
          <w:szCs w:val="24"/>
        </w:rPr>
      </w:pPr>
      <w:r w:rsidRPr="00654F4E">
        <w:rPr>
          <w:rFonts w:ascii="Times New Roman" w:hAnsi="Times New Roman" w:cs="Times New Roman"/>
          <w:sz w:val="24"/>
          <w:szCs w:val="24"/>
        </w:rPr>
        <w:t xml:space="preserve">The contract of cession stands on no leg. Neither signatory to it had the authority of the legal entity whom he/she represented to negotiate let alone sign the same for, and on behalf of, the legal </w:t>
      </w:r>
      <w:r w:rsidR="00654F4E" w:rsidRPr="00654F4E">
        <w:rPr>
          <w:rFonts w:ascii="Times New Roman" w:hAnsi="Times New Roman" w:cs="Times New Roman"/>
          <w:sz w:val="24"/>
          <w:szCs w:val="24"/>
        </w:rPr>
        <w:t>entity whom</w:t>
      </w:r>
      <w:r w:rsidRPr="00654F4E">
        <w:rPr>
          <w:rFonts w:ascii="Times New Roman" w:hAnsi="Times New Roman" w:cs="Times New Roman"/>
          <w:sz w:val="24"/>
          <w:szCs w:val="24"/>
        </w:rPr>
        <w:t xml:space="preserve"> he/she purported to represent. The agreement cannot therefore stand.  This makes the first applicant’s first prayer not</w:t>
      </w:r>
      <w:r w:rsidR="00FC617B" w:rsidRPr="00654F4E">
        <w:rPr>
          <w:rFonts w:ascii="Times New Roman" w:hAnsi="Times New Roman" w:cs="Times New Roman"/>
          <w:sz w:val="24"/>
          <w:szCs w:val="24"/>
        </w:rPr>
        <w:t xml:space="preserve"> to</w:t>
      </w:r>
      <w:r w:rsidRPr="00654F4E">
        <w:rPr>
          <w:rFonts w:ascii="Times New Roman" w:hAnsi="Times New Roman" w:cs="Times New Roman"/>
          <w:sz w:val="24"/>
          <w:szCs w:val="24"/>
        </w:rPr>
        <w:t xml:space="preserve"> be without merit.</w:t>
      </w:r>
    </w:p>
    <w:p w:rsidR="00870CB9" w:rsidRDefault="004D204B" w:rsidP="007952FC">
      <w:pPr>
        <w:spacing w:after="0" w:line="360" w:lineRule="auto"/>
        <w:ind w:firstLine="720"/>
        <w:jc w:val="both"/>
        <w:rPr>
          <w:rFonts w:ascii="Times New Roman" w:hAnsi="Times New Roman" w:cs="Times New Roman"/>
          <w:sz w:val="24"/>
          <w:szCs w:val="24"/>
        </w:rPr>
      </w:pPr>
      <w:r w:rsidRPr="00654F4E">
        <w:rPr>
          <w:rFonts w:ascii="Times New Roman" w:hAnsi="Times New Roman" w:cs="Times New Roman"/>
          <w:sz w:val="24"/>
          <w:szCs w:val="24"/>
        </w:rPr>
        <w:t>The first applicant’s second prayer is contained in paragraphs 28 and 32 of its founding affidavit. The</w:t>
      </w:r>
      <w:r w:rsidR="00FC617B" w:rsidRPr="00654F4E">
        <w:rPr>
          <w:rFonts w:ascii="Times New Roman" w:hAnsi="Times New Roman" w:cs="Times New Roman"/>
          <w:sz w:val="24"/>
          <w:szCs w:val="24"/>
        </w:rPr>
        <w:t>se</w:t>
      </w:r>
      <w:r w:rsidRPr="00654F4E">
        <w:rPr>
          <w:rFonts w:ascii="Times New Roman" w:hAnsi="Times New Roman" w:cs="Times New Roman"/>
          <w:sz w:val="24"/>
          <w:szCs w:val="24"/>
        </w:rPr>
        <w:t xml:space="preserve"> respectively appear at pages 9 and 11 of the record. It states</w:t>
      </w:r>
      <w:r w:rsidR="004C332B">
        <w:rPr>
          <w:rFonts w:ascii="Times New Roman" w:hAnsi="Times New Roman" w:cs="Times New Roman"/>
          <w:sz w:val="24"/>
          <w:szCs w:val="24"/>
        </w:rPr>
        <w:t>,</w:t>
      </w:r>
      <w:r w:rsidRPr="00654F4E">
        <w:rPr>
          <w:rFonts w:ascii="Times New Roman" w:hAnsi="Times New Roman" w:cs="Times New Roman"/>
          <w:sz w:val="24"/>
          <w:szCs w:val="24"/>
        </w:rPr>
        <w:t xml:space="preserve"> in the first of the two paragraphs</w:t>
      </w:r>
      <w:r w:rsidR="004C332B">
        <w:rPr>
          <w:rFonts w:ascii="Times New Roman" w:hAnsi="Times New Roman" w:cs="Times New Roman"/>
          <w:sz w:val="24"/>
          <w:szCs w:val="24"/>
        </w:rPr>
        <w:t>,</w:t>
      </w:r>
      <w:r w:rsidRPr="00654F4E">
        <w:rPr>
          <w:rFonts w:ascii="Times New Roman" w:hAnsi="Times New Roman" w:cs="Times New Roman"/>
          <w:sz w:val="24"/>
          <w:szCs w:val="24"/>
        </w:rPr>
        <w:t xml:space="preserve"> that Rambanapasi took 340 bales of tobacco from the warehouse where the tobacco was being kept. The bales of tobacco, it asserts, have not been recovered. The tobacco, it insists, was in police custody when the bales were taken. It repeats its sentiments in paragraph 32 wherein it accuses the third respondent whom it alleges was the custodian of the tobacco after she (</w:t>
      </w:r>
      <w:r w:rsidR="007F1A56">
        <w:rPr>
          <w:rFonts w:ascii="Times New Roman" w:hAnsi="Times New Roman" w:cs="Times New Roman"/>
          <w:sz w:val="24"/>
          <w:szCs w:val="24"/>
        </w:rPr>
        <w:t xml:space="preserve">third </w:t>
      </w:r>
      <w:r w:rsidRPr="00654F4E">
        <w:rPr>
          <w:rFonts w:ascii="Times New Roman" w:hAnsi="Times New Roman" w:cs="Times New Roman"/>
          <w:sz w:val="24"/>
          <w:szCs w:val="24"/>
        </w:rPr>
        <w:t>respondent) seized the same</w:t>
      </w:r>
      <w:r w:rsidR="00FC617B" w:rsidRPr="00654F4E">
        <w:rPr>
          <w:rFonts w:ascii="Times New Roman" w:hAnsi="Times New Roman" w:cs="Times New Roman"/>
          <w:sz w:val="24"/>
          <w:szCs w:val="24"/>
        </w:rPr>
        <w:t xml:space="preserve"> in terms of the warrant of search and seizure which she applied for from the court of the magistrate</w:t>
      </w:r>
      <w:r w:rsidRPr="00654F4E">
        <w:rPr>
          <w:rFonts w:ascii="Times New Roman" w:hAnsi="Times New Roman" w:cs="Times New Roman"/>
          <w:sz w:val="24"/>
          <w:szCs w:val="24"/>
        </w:rPr>
        <w:t>. The third respondent, it asserts, remains accountable for the bales of tobacco which the first respondent allegedly took pursuant to the agreement of cession. The first, second and third respondents, it insists, should return the bales of tobacco which were unlawfully removed from the warehouse</w:t>
      </w:r>
      <w:r w:rsidR="009409E6" w:rsidRPr="00654F4E">
        <w:rPr>
          <w:rFonts w:ascii="Times New Roman" w:hAnsi="Times New Roman" w:cs="Times New Roman"/>
          <w:sz w:val="24"/>
          <w:szCs w:val="24"/>
        </w:rPr>
        <w:t xml:space="preserve"> where the third respondent kept the tobacco she seized from stand numbers 1252 and 1253 , 24</w:t>
      </w:r>
      <w:r w:rsidR="009409E6" w:rsidRPr="00654F4E">
        <w:rPr>
          <w:rFonts w:ascii="Times New Roman" w:hAnsi="Times New Roman" w:cs="Times New Roman"/>
          <w:sz w:val="24"/>
          <w:szCs w:val="24"/>
          <w:vertAlign w:val="superscript"/>
        </w:rPr>
        <w:t>th</w:t>
      </w:r>
      <w:r w:rsidR="009409E6" w:rsidRPr="00654F4E">
        <w:rPr>
          <w:rFonts w:ascii="Times New Roman" w:hAnsi="Times New Roman" w:cs="Times New Roman"/>
          <w:sz w:val="24"/>
          <w:szCs w:val="24"/>
        </w:rPr>
        <w:t xml:space="preserve"> Road, Light Industrial Area, Tynwald South, Harare.</w:t>
      </w:r>
    </w:p>
    <w:p w:rsidR="00FE4E35" w:rsidRPr="00654F4E" w:rsidRDefault="00FE4E35" w:rsidP="007952FC">
      <w:pPr>
        <w:spacing w:after="0" w:line="360" w:lineRule="auto"/>
        <w:ind w:firstLine="720"/>
        <w:jc w:val="both"/>
        <w:rPr>
          <w:rFonts w:ascii="Times New Roman" w:hAnsi="Times New Roman" w:cs="Times New Roman"/>
          <w:sz w:val="24"/>
          <w:szCs w:val="24"/>
        </w:rPr>
      </w:pPr>
      <w:r w:rsidRPr="00654F4E">
        <w:rPr>
          <w:rFonts w:ascii="Times New Roman" w:hAnsi="Times New Roman" w:cs="Times New Roman"/>
          <w:sz w:val="24"/>
          <w:szCs w:val="24"/>
        </w:rPr>
        <w:t>The first respondent’s response to the allegations of the first applicant is a bald denial. It denies that Rambanapasi took 340 bales of tobacco. It challenges the first applicant to prove the allegation that he too</w:t>
      </w:r>
      <w:r w:rsidR="00FC617B" w:rsidRPr="00654F4E">
        <w:rPr>
          <w:rFonts w:ascii="Times New Roman" w:hAnsi="Times New Roman" w:cs="Times New Roman"/>
          <w:sz w:val="24"/>
          <w:szCs w:val="24"/>
        </w:rPr>
        <w:t>k</w:t>
      </w:r>
      <w:r w:rsidRPr="00654F4E">
        <w:rPr>
          <w:rFonts w:ascii="Times New Roman" w:hAnsi="Times New Roman" w:cs="Times New Roman"/>
          <w:sz w:val="24"/>
          <w:szCs w:val="24"/>
        </w:rPr>
        <w:t xml:space="preserve"> 340 bales of tobacco from the warehouse. The second respondent made no comment on the issue of the 340 bales of tobacco. The third respondent under whose custody the tobacco remains as seized by her on or about 24</w:t>
      </w:r>
      <w:r w:rsidRPr="00654F4E">
        <w:rPr>
          <w:rFonts w:ascii="Times New Roman" w:hAnsi="Times New Roman" w:cs="Times New Roman"/>
          <w:sz w:val="24"/>
          <w:szCs w:val="24"/>
          <w:vertAlign w:val="superscript"/>
        </w:rPr>
        <w:t>th</w:t>
      </w:r>
      <w:r w:rsidRPr="00654F4E">
        <w:rPr>
          <w:rFonts w:ascii="Times New Roman" w:hAnsi="Times New Roman" w:cs="Times New Roman"/>
          <w:sz w:val="24"/>
          <w:szCs w:val="24"/>
        </w:rPr>
        <w:t xml:space="preserve"> May 2019 denies that 340 bales of tobacco were stolen from the warehouse. Both respondents place the </w:t>
      </w:r>
      <w:r w:rsidRPr="003E6E3D">
        <w:rPr>
          <w:rFonts w:ascii="Times New Roman" w:hAnsi="Times New Roman" w:cs="Times New Roman"/>
          <w:i/>
          <w:sz w:val="24"/>
          <w:szCs w:val="24"/>
        </w:rPr>
        <w:t xml:space="preserve">onus </w:t>
      </w:r>
      <w:r w:rsidRPr="00654F4E">
        <w:rPr>
          <w:rFonts w:ascii="Times New Roman" w:hAnsi="Times New Roman" w:cs="Times New Roman"/>
          <w:sz w:val="24"/>
          <w:szCs w:val="24"/>
        </w:rPr>
        <w:t xml:space="preserve">of proving that the bales of tobacco </w:t>
      </w:r>
      <w:r w:rsidRPr="00654F4E">
        <w:rPr>
          <w:rFonts w:ascii="Times New Roman" w:hAnsi="Times New Roman" w:cs="Times New Roman"/>
          <w:sz w:val="24"/>
          <w:szCs w:val="24"/>
        </w:rPr>
        <w:lastRenderedPageBreak/>
        <w:t>were stolen</w:t>
      </w:r>
      <w:r w:rsidR="00C53A29" w:rsidRPr="00654F4E">
        <w:rPr>
          <w:rFonts w:ascii="Times New Roman" w:hAnsi="Times New Roman" w:cs="Times New Roman"/>
          <w:sz w:val="24"/>
          <w:szCs w:val="24"/>
        </w:rPr>
        <w:t xml:space="preserve"> from the warehouse</w:t>
      </w:r>
      <w:r w:rsidRPr="00654F4E">
        <w:rPr>
          <w:rFonts w:ascii="Times New Roman" w:hAnsi="Times New Roman" w:cs="Times New Roman"/>
          <w:sz w:val="24"/>
          <w:szCs w:val="24"/>
        </w:rPr>
        <w:t xml:space="preserve"> upon the first applicant. They, in the process, move for what is normally referred to as material disputes of fact which, as is known, cannot be resolved on the papers.</w:t>
      </w:r>
    </w:p>
    <w:p w:rsidR="003128B3" w:rsidRDefault="00762F5A" w:rsidP="007952FC">
      <w:pPr>
        <w:spacing w:after="0" w:line="360" w:lineRule="auto"/>
        <w:ind w:firstLine="720"/>
        <w:jc w:val="both"/>
        <w:rPr>
          <w:rFonts w:ascii="Times New Roman" w:hAnsi="Times New Roman" w:cs="Times New Roman"/>
          <w:sz w:val="24"/>
          <w:szCs w:val="24"/>
        </w:rPr>
      </w:pPr>
      <w:r w:rsidRPr="00654F4E">
        <w:rPr>
          <w:rFonts w:ascii="Times New Roman" w:hAnsi="Times New Roman" w:cs="Times New Roman"/>
          <w:sz w:val="24"/>
          <w:szCs w:val="24"/>
        </w:rPr>
        <w:t>The question which begs the answer is : does a material dispute of fact exist in this application and, if it does, the second question</w:t>
      </w:r>
      <w:r w:rsidR="00FC617B" w:rsidRPr="00654F4E">
        <w:rPr>
          <w:rFonts w:ascii="Times New Roman" w:hAnsi="Times New Roman" w:cs="Times New Roman"/>
          <w:sz w:val="24"/>
          <w:szCs w:val="24"/>
        </w:rPr>
        <w:t xml:space="preserve"> which flows from the first</w:t>
      </w:r>
      <w:r w:rsidR="00B464EA" w:rsidRPr="00654F4E">
        <w:rPr>
          <w:rFonts w:ascii="Times New Roman" w:hAnsi="Times New Roman" w:cs="Times New Roman"/>
          <w:sz w:val="24"/>
          <w:szCs w:val="24"/>
        </w:rPr>
        <w:t xml:space="preserve"> is whether or not the application</w:t>
      </w:r>
      <w:r w:rsidRPr="00654F4E">
        <w:rPr>
          <w:rFonts w:ascii="Times New Roman" w:hAnsi="Times New Roman" w:cs="Times New Roman"/>
          <w:sz w:val="24"/>
          <w:szCs w:val="24"/>
        </w:rPr>
        <w:t xml:space="preserve"> cannot, on a robust and common-sense approach, be resolved on the papers which are before me.</w:t>
      </w:r>
      <w:r w:rsidR="00B87BA0" w:rsidRPr="00654F4E">
        <w:rPr>
          <w:rFonts w:ascii="Times New Roman" w:hAnsi="Times New Roman" w:cs="Times New Roman"/>
          <w:sz w:val="24"/>
          <w:szCs w:val="24"/>
        </w:rPr>
        <w:t xml:space="preserve"> I remain satisfied that there are no material disputes of fact in so far as the issue of the 340 ba</w:t>
      </w:r>
      <w:r w:rsidR="00B464EA" w:rsidRPr="00654F4E">
        <w:rPr>
          <w:rFonts w:ascii="Times New Roman" w:hAnsi="Times New Roman" w:cs="Times New Roman"/>
          <w:sz w:val="24"/>
          <w:szCs w:val="24"/>
        </w:rPr>
        <w:t>les of tobacco is</w:t>
      </w:r>
      <w:r w:rsidR="00B87BA0" w:rsidRPr="00654F4E">
        <w:rPr>
          <w:rFonts w:ascii="Times New Roman" w:hAnsi="Times New Roman" w:cs="Times New Roman"/>
          <w:sz w:val="24"/>
          <w:szCs w:val="24"/>
        </w:rPr>
        <w:t xml:space="preserve"> concerned.</w:t>
      </w:r>
    </w:p>
    <w:p w:rsidR="00776B6E" w:rsidRPr="00654F4E" w:rsidRDefault="00776B6E" w:rsidP="007952FC">
      <w:pPr>
        <w:spacing w:before="240" w:after="0" w:line="360" w:lineRule="auto"/>
        <w:ind w:firstLine="720"/>
        <w:jc w:val="both"/>
        <w:rPr>
          <w:rFonts w:ascii="Times New Roman" w:hAnsi="Times New Roman" w:cs="Times New Roman"/>
          <w:sz w:val="24"/>
          <w:szCs w:val="24"/>
        </w:rPr>
      </w:pPr>
      <w:r w:rsidRPr="00654F4E">
        <w:rPr>
          <w:rFonts w:ascii="Times New Roman" w:hAnsi="Times New Roman" w:cs="Times New Roman"/>
          <w:sz w:val="24"/>
          <w:szCs w:val="24"/>
        </w:rPr>
        <w:t xml:space="preserve">Material dispute of fact was defined by </w:t>
      </w:r>
      <w:r w:rsidR="00B464EA" w:rsidRPr="00654F4E">
        <w:rPr>
          <w:rFonts w:ascii="Times New Roman" w:hAnsi="Times New Roman" w:cs="Times New Roman"/>
          <w:sz w:val="24"/>
          <w:szCs w:val="24"/>
        </w:rPr>
        <w:t>Hebstein and van Winsen in</w:t>
      </w:r>
      <w:r w:rsidRPr="00654F4E">
        <w:rPr>
          <w:rFonts w:ascii="Times New Roman" w:hAnsi="Times New Roman" w:cs="Times New Roman"/>
          <w:sz w:val="24"/>
          <w:szCs w:val="24"/>
        </w:rPr>
        <w:t xml:space="preserve"> </w:t>
      </w:r>
      <w:r w:rsidRPr="003E6E3D">
        <w:rPr>
          <w:rFonts w:ascii="Times New Roman" w:hAnsi="Times New Roman" w:cs="Times New Roman"/>
          <w:i/>
          <w:sz w:val="24"/>
          <w:szCs w:val="24"/>
        </w:rPr>
        <w:t>The Civil Practice of the High Court of South Africa</w:t>
      </w:r>
      <w:r w:rsidRPr="00654F4E">
        <w:rPr>
          <w:rFonts w:ascii="Times New Roman" w:hAnsi="Times New Roman" w:cs="Times New Roman"/>
          <w:sz w:val="24"/>
          <w:szCs w:val="24"/>
        </w:rPr>
        <w:t>, 5</w:t>
      </w:r>
      <w:r w:rsidRPr="00654F4E">
        <w:rPr>
          <w:rFonts w:ascii="Times New Roman" w:hAnsi="Times New Roman" w:cs="Times New Roman"/>
          <w:sz w:val="24"/>
          <w:szCs w:val="24"/>
          <w:vertAlign w:val="superscript"/>
        </w:rPr>
        <w:t>th</w:t>
      </w:r>
      <w:r w:rsidRPr="00654F4E">
        <w:rPr>
          <w:rFonts w:ascii="Times New Roman" w:hAnsi="Times New Roman" w:cs="Times New Roman"/>
          <w:sz w:val="24"/>
          <w:szCs w:val="24"/>
        </w:rPr>
        <w:t xml:space="preserve"> edition, Volume 1, page 296 in the following words:</w:t>
      </w:r>
    </w:p>
    <w:p w:rsidR="00776B6E" w:rsidRPr="00654F4E" w:rsidRDefault="00776B6E" w:rsidP="007952FC">
      <w:pPr>
        <w:spacing w:before="240" w:after="0" w:line="240" w:lineRule="auto"/>
        <w:ind w:left="720"/>
        <w:jc w:val="both"/>
        <w:rPr>
          <w:rFonts w:ascii="Times New Roman" w:hAnsi="Times New Roman" w:cs="Times New Roman"/>
          <w:sz w:val="24"/>
          <w:szCs w:val="24"/>
        </w:rPr>
      </w:pPr>
      <w:r w:rsidRPr="003128B3">
        <w:rPr>
          <w:rFonts w:ascii="Times New Roman" w:hAnsi="Times New Roman" w:cs="Times New Roman"/>
        </w:rPr>
        <w:t>“…the respondent denies material allegations made by the deponent on the applicant’s behalf and produces positive evidence to the contrary”</w:t>
      </w:r>
      <w:r w:rsidRPr="00654F4E">
        <w:rPr>
          <w:rFonts w:ascii="Times New Roman" w:hAnsi="Times New Roman" w:cs="Times New Roman"/>
          <w:sz w:val="24"/>
          <w:szCs w:val="24"/>
        </w:rPr>
        <w:t xml:space="preserve"> (emphasis added).</w:t>
      </w:r>
    </w:p>
    <w:p w:rsidR="00776B6E" w:rsidRPr="00654F4E" w:rsidRDefault="00776B6E" w:rsidP="007952FC">
      <w:pPr>
        <w:spacing w:before="240" w:after="0" w:line="360" w:lineRule="auto"/>
        <w:ind w:firstLine="720"/>
        <w:jc w:val="both"/>
        <w:rPr>
          <w:rFonts w:ascii="Times New Roman" w:hAnsi="Times New Roman" w:cs="Times New Roman"/>
          <w:sz w:val="24"/>
          <w:szCs w:val="24"/>
        </w:rPr>
      </w:pPr>
      <w:r w:rsidRPr="00654F4E">
        <w:rPr>
          <w:rFonts w:ascii="Times New Roman" w:hAnsi="Times New Roman" w:cs="Times New Roman"/>
          <w:sz w:val="24"/>
          <w:szCs w:val="24"/>
        </w:rPr>
        <w:t>The long and short of the statement of the learned authors is that, once an allegation of impropriety has been made against</w:t>
      </w:r>
      <w:r w:rsidR="00C53A29" w:rsidRPr="00654F4E">
        <w:rPr>
          <w:rFonts w:ascii="Times New Roman" w:hAnsi="Times New Roman" w:cs="Times New Roman"/>
          <w:sz w:val="24"/>
          <w:szCs w:val="24"/>
        </w:rPr>
        <w:t xml:space="preserve"> the respondent, the </w:t>
      </w:r>
      <w:r w:rsidR="00C53A29" w:rsidRPr="003E6E3D">
        <w:rPr>
          <w:rFonts w:ascii="Times New Roman" w:hAnsi="Times New Roman" w:cs="Times New Roman"/>
          <w:i/>
          <w:sz w:val="24"/>
          <w:szCs w:val="24"/>
        </w:rPr>
        <w:t>onus</w:t>
      </w:r>
      <w:r w:rsidR="00C53A29" w:rsidRPr="00654F4E">
        <w:rPr>
          <w:rFonts w:ascii="Times New Roman" w:hAnsi="Times New Roman" w:cs="Times New Roman"/>
          <w:sz w:val="24"/>
          <w:szCs w:val="24"/>
        </w:rPr>
        <w:t xml:space="preserve"> shifts onto</w:t>
      </w:r>
      <w:r w:rsidRPr="00654F4E">
        <w:rPr>
          <w:rFonts w:ascii="Times New Roman" w:hAnsi="Times New Roman" w:cs="Times New Roman"/>
          <w:sz w:val="24"/>
          <w:szCs w:val="24"/>
        </w:rPr>
        <w:t xml:space="preserve"> the latter to produce positive evidence which rebuts the allegation of the applicant. The respondent does not rebut the allegation by making a bare denial as the respondent</w:t>
      </w:r>
      <w:r w:rsidR="00C53A29" w:rsidRPr="00654F4E">
        <w:rPr>
          <w:rFonts w:ascii="Times New Roman" w:hAnsi="Times New Roman" w:cs="Times New Roman"/>
          <w:sz w:val="24"/>
          <w:szCs w:val="24"/>
        </w:rPr>
        <w:t>s</w:t>
      </w:r>
      <w:r w:rsidRPr="00654F4E">
        <w:rPr>
          <w:rFonts w:ascii="Times New Roman" w:hAnsi="Times New Roman" w:cs="Times New Roman"/>
          <w:sz w:val="24"/>
          <w:szCs w:val="24"/>
        </w:rPr>
        <w:t xml:space="preserve"> </w:t>
      </w:r>
      <w:r w:rsidRPr="003E6E3D">
        <w:rPr>
          <w:rFonts w:ascii="Times New Roman" w:hAnsi="Times New Roman" w:cs="Times New Roman"/>
          <w:i/>
          <w:sz w:val="24"/>
          <w:szCs w:val="24"/>
        </w:rPr>
        <w:t>in casu</w:t>
      </w:r>
      <w:r w:rsidRPr="00654F4E">
        <w:rPr>
          <w:rFonts w:ascii="Times New Roman" w:hAnsi="Times New Roman" w:cs="Times New Roman"/>
          <w:sz w:val="24"/>
          <w:szCs w:val="24"/>
        </w:rPr>
        <w:t xml:space="preserve"> are doing. He rebuts the allegation by producing positive evidence which points to the contrary of the allegation of the applicant. Reference is made in this regard to </w:t>
      </w:r>
      <w:r w:rsidR="000179E5" w:rsidRPr="003128B3">
        <w:rPr>
          <w:rFonts w:ascii="Times New Roman" w:hAnsi="Times New Roman" w:cs="Times New Roman"/>
          <w:i/>
          <w:sz w:val="24"/>
          <w:szCs w:val="24"/>
        </w:rPr>
        <w:t>Van Niekerk</w:t>
      </w:r>
      <w:r w:rsidR="000179E5" w:rsidRPr="00654F4E">
        <w:rPr>
          <w:rFonts w:ascii="Times New Roman" w:hAnsi="Times New Roman" w:cs="Times New Roman"/>
          <w:sz w:val="24"/>
          <w:szCs w:val="24"/>
        </w:rPr>
        <w:t xml:space="preserve"> v </w:t>
      </w:r>
      <w:r w:rsidR="000179E5" w:rsidRPr="003128B3">
        <w:rPr>
          <w:rFonts w:ascii="Times New Roman" w:hAnsi="Times New Roman" w:cs="Times New Roman"/>
          <w:i/>
          <w:sz w:val="24"/>
          <w:szCs w:val="24"/>
        </w:rPr>
        <w:t>Van Niekerk &amp; Ors,</w:t>
      </w:r>
      <w:r w:rsidR="000179E5" w:rsidRPr="00654F4E">
        <w:rPr>
          <w:rFonts w:ascii="Times New Roman" w:hAnsi="Times New Roman" w:cs="Times New Roman"/>
          <w:sz w:val="24"/>
          <w:szCs w:val="24"/>
        </w:rPr>
        <w:t xml:space="preserve"> 199</w:t>
      </w:r>
      <w:r w:rsidR="00C53A29" w:rsidRPr="00654F4E">
        <w:rPr>
          <w:rFonts w:ascii="Times New Roman" w:hAnsi="Times New Roman" w:cs="Times New Roman"/>
          <w:sz w:val="24"/>
          <w:szCs w:val="24"/>
        </w:rPr>
        <w:t>9(1) ZLR 421 at 428-429 wherein</w:t>
      </w:r>
      <w:r w:rsidR="000179E5" w:rsidRPr="00654F4E">
        <w:rPr>
          <w:rFonts w:ascii="Times New Roman" w:hAnsi="Times New Roman" w:cs="Times New Roman"/>
          <w:sz w:val="24"/>
          <w:szCs w:val="24"/>
        </w:rPr>
        <w:t xml:space="preserve"> </w:t>
      </w:r>
      <w:r w:rsidR="000179E5" w:rsidRPr="003128B3">
        <w:rPr>
          <w:rFonts w:ascii="Times New Roman" w:hAnsi="Times New Roman" w:cs="Times New Roman"/>
          <w:i/>
          <w:sz w:val="24"/>
          <w:szCs w:val="24"/>
        </w:rPr>
        <w:t>Sandura JA citing  da Mata</w:t>
      </w:r>
      <w:r w:rsidR="000179E5" w:rsidRPr="00654F4E">
        <w:rPr>
          <w:rFonts w:ascii="Times New Roman" w:hAnsi="Times New Roman" w:cs="Times New Roman"/>
          <w:sz w:val="24"/>
          <w:szCs w:val="24"/>
        </w:rPr>
        <w:t xml:space="preserve"> v </w:t>
      </w:r>
      <w:r w:rsidR="000179E5" w:rsidRPr="003128B3">
        <w:rPr>
          <w:rFonts w:ascii="Times New Roman" w:hAnsi="Times New Roman" w:cs="Times New Roman"/>
          <w:i/>
          <w:sz w:val="24"/>
          <w:szCs w:val="24"/>
        </w:rPr>
        <w:t>Otto NO</w:t>
      </w:r>
      <w:r w:rsidR="000179E5" w:rsidRPr="00654F4E">
        <w:rPr>
          <w:rFonts w:ascii="Times New Roman" w:hAnsi="Times New Roman" w:cs="Times New Roman"/>
          <w:sz w:val="24"/>
          <w:szCs w:val="24"/>
        </w:rPr>
        <w:t xml:space="preserve">,  1972 (3) SA 858 (A) at 882 F-H  and </w:t>
      </w:r>
      <w:r w:rsidR="000179E5" w:rsidRPr="003128B3">
        <w:rPr>
          <w:rFonts w:ascii="Times New Roman" w:hAnsi="Times New Roman" w:cs="Times New Roman"/>
          <w:i/>
          <w:sz w:val="24"/>
          <w:szCs w:val="24"/>
        </w:rPr>
        <w:t>Room Hire Co (Pvt) Ltd</w:t>
      </w:r>
      <w:r w:rsidR="000179E5" w:rsidRPr="00654F4E">
        <w:rPr>
          <w:rFonts w:ascii="Times New Roman" w:hAnsi="Times New Roman" w:cs="Times New Roman"/>
          <w:sz w:val="24"/>
          <w:szCs w:val="24"/>
        </w:rPr>
        <w:t xml:space="preserve"> v </w:t>
      </w:r>
      <w:r w:rsidR="000179E5" w:rsidRPr="003128B3">
        <w:rPr>
          <w:rFonts w:ascii="Times New Roman" w:hAnsi="Times New Roman" w:cs="Times New Roman"/>
          <w:i/>
          <w:sz w:val="24"/>
          <w:szCs w:val="24"/>
        </w:rPr>
        <w:t>Jeppe Street Pensions (Pvt ) L</w:t>
      </w:r>
      <w:r w:rsidR="003128B3">
        <w:rPr>
          <w:rFonts w:ascii="Times New Roman" w:hAnsi="Times New Roman" w:cs="Times New Roman"/>
          <w:i/>
          <w:sz w:val="24"/>
          <w:szCs w:val="24"/>
        </w:rPr>
        <w:t>t</w:t>
      </w:r>
      <w:r w:rsidR="000179E5" w:rsidRPr="003128B3">
        <w:rPr>
          <w:rFonts w:ascii="Times New Roman" w:hAnsi="Times New Roman" w:cs="Times New Roman"/>
          <w:i/>
          <w:sz w:val="24"/>
          <w:szCs w:val="24"/>
        </w:rPr>
        <w:t>d</w:t>
      </w:r>
      <w:r w:rsidR="000179E5" w:rsidRPr="00654F4E">
        <w:rPr>
          <w:rFonts w:ascii="Times New Roman" w:hAnsi="Times New Roman" w:cs="Times New Roman"/>
          <w:sz w:val="24"/>
          <w:szCs w:val="24"/>
        </w:rPr>
        <w:t>, 1949 (3) SA 1155 (T) remarked that:</w:t>
      </w:r>
    </w:p>
    <w:p w:rsidR="00892B6B" w:rsidRDefault="00892B6B" w:rsidP="007952FC">
      <w:pPr>
        <w:spacing w:before="240" w:after="0" w:line="240" w:lineRule="auto"/>
        <w:ind w:left="720"/>
        <w:jc w:val="both"/>
        <w:rPr>
          <w:rFonts w:ascii="Times New Roman" w:hAnsi="Times New Roman" w:cs="Times New Roman"/>
        </w:rPr>
      </w:pPr>
      <w:r w:rsidRPr="003128B3">
        <w:rPr>
          <w:rFonts w:ascii="Times New Roman" w:hAnsi="Times New Roman" w:cs="Times New Roman"/>
        </w:rPr>
        <w:t xml:space="preserve">“…as to the question of whether or not a real dispute of fact has arisen, it is important to bear in mind that, if a respondent intends disputing a material fact deposed to on </w:t>
      </w:r>
      <w:r w:rsidR="00F55A67" w:rsidRPr="003128B3">
        <w:rPr>
          <w:rFonts w:ascii="Times New Roman" w:hAnsi="Times New Roman" w:cs="Times New Roman"/>
        </w:rPr>
        <w:t>oath by the applicant in his founding affidavit or in any other affidavit filed by him, it is not sufficient for a respondent to resort to bare denials of the applicant’s material averments, as if he were filing a plea to a plaintiff’s particulars of claim in a trial action. The respondent’s affidavit must</w:t>
      </w:r>
      <w:r w:rsidR="00B464EA" w:rsidRPr="003128B3">
        <w:rPr>
          <w:rFonts w:ascii="Times New Roman" w:hAnsi="Times New Roman" w:cs="Times New Roman"/>
        </w:rPr>
        <w:t>,</w:t>
      </w:r>
      <w:r w:rsidR="00F55A67" w:rsidRPr="003128B3">
        <w:rPr>
          <w:rFonts w:ascii="Times New Roman" w:hAnsi="Times New Roman" w:cs="Times New Roman"/>
        </w:rPr>
        <w:t xml:space="preserve"> at least</w:t>
      </w:r>
      <w:r w:rsidR="00B464EA" w:rsidRPr="003128B3">
        <w:rPr>
          <w:rFonts w:ascii="Times New Roman" w:hAnsi="Times New Roman" w:cs="Times New Roman"/>
        </w:rPr>
        <w:t>,</w:t>
      </w:r>
      <w:r w:rsidR="00F55A67" w:rsidRPr="003128B3">
        <w:rPr>
          <w:rFonts w:ascii="Times New Roman" w:hAnsi="Times New Roman" w:cs="Times New Roman"/>
        </w:rPr>
        <w:t xml:space="preserve"> disclose that there are material issues in which there is a bona fide dispute of fact capable of being properly decided after viva voce evidence has been heard”.</w:t>
      </w:r>
    </w:p>
    <w:p w:rsidR="0084026E" w:rsidRPr="003128B3" w:rsidRDefault="0084026E" w:rsidP="007952FC">
      <w:pPr>
        <w:spacing w:before="240" w:after="0" w:line="240" w:lineRule="auto"/>
        <w:ind w:left="720"/>
        <w:jc w:val="both"/>
        <w:rPr>
          <w:rFonts w:ascii="Times New Roman" w:hAnsi="Times New Roman" w:cs="Times New Roman"/>
        </w:rPr>
      </w:pPr>
    </w:p>
    <w:p w:rsidR="00AB2661" w:rsidRDefault="00331C0B" w:rsidP="007952FC">
      <w:pPr>
        <w:spacing w:after="0" w:line="360" w:lineRule="auto"/>
        <w:ind w:firstLine="720"/>
        <w:jc w:val="both"/>
        <w:rPr>
          <w:rFonts w:ascii="Times New Roman" w:hAnsi="Times New Roman" w:cs="Times New Roman"/>
          <w:sz w:val="24"/>
          <w:szCs w:val="24"/>
        </w:rPr>
      </w:pPr>
      <w:r w:rsidRPr="00654F4E">
        <w:rPr>
          <w:rFonts w:ascii="Times New Roman" w:hAnsi="Times New Roman" w:cs="Times New Roman"/>
          <w:sz w:val="24"/>
          <w:szCs w:val="24"/>
        </w:rPr>
        <w:t xml:space="preserve">The respondents, it is observed, did not produce positive evidence to the contrary. All what they did was to deny the allegation. They persisted on the point that the first applicant bore the burden of proving the theft of the bales of tobacco. They, in the process, missed the </w:t>
      </w:r>
      <w:r w:rsidR="004C332B">
        <w:rPr>
          <w:rFonts w:ascii="Times New Roman" w:hAnsi="Times New Roman" w:cs="Times New Roman"/>
          <w:sz w:val="24"/>
          <w:szCs w:val="24"/>
        </w:rPr>
        <w:t>point</w:t>
      </w:r>
      <w:r w:rsidRPr="00654F4E">
        <w:rPr>
          <w:rFonts w:ascii="Times New Roman" w:hAnsi="Times New Roman" w:cs="Times New Roman"/>
          <w:sz w:val="24"/>
          <w:szCs w:val="24"/>
        </w:rPr>
        <w:t xml:space="preserve"> much to </w:t>
      </w:r>
      <w:r w:rsidRPr="00654F4E">
        <w:rPr>
          <w:rFonts w:ascii="Times New Roman" w:hAnsi="Times New Roman" w:cs="Times New Roman"/>
          <w:sz w:val="24"/>
          <w:szCs w:val="24"/>
        </w:rPr>
        <w:lastRenderedPageBreak/>
        <w:t>their embarrassment. They failed to realize that they bore the burden of proving what they were stating in their respective notices of opposition. The tobacco is, after all, in the cus</w:t>
      </w:r>
      <w:r w:rsidR="00B464EA" w:rsidRPr="00654F4E">
        <w:rPr>
          <w:rFonts w:ascii="Times New Roman" w:hAnsi="Times New Roman" w:cs="Times New Roman"/>
          <w:sz w:val="24"/>
          <w:szCs w:val="24"/>
        </w:rPr>
        <w:t xml:space="preserve">tody not of the first applicant.  It is in the custody of </w:t>
      </w:r>
      <w:r w:rsidRPr="00654F4E">
        <w:rPr>
          <w:rFonts w:ascii="Times New Roman" w:hAnsi="Times New Roman" w:cs="Times New Roman"/>
          <w:sz w:val="24"/>
          <w:szCs w:val="24"/>
        </w:rPr>
        <w:t>the third respondent. Proof</w:t>
      </w:r>
      <w:r w:rsidR="00B464EA" w:rsidRPr="00654F4E">
        <w:rPr>
          <w:rFonts w:ascii="Times New Roman" w:hAnsi="Times New Roman" w:cs="Times New Roman"/>
          <w:sz w:val="24"/>
          <w:szCs w:val="24"/>
        </w:rPr>
        <w:t xml:space="preserve"> of the where</w:t>
      </w:r>
      <w:r w:rsidR="003E6E3D">
        <w:rPr>
          <w:rFonts w:ascii="Times New Roman" w:hAnsi="Times New Roman" w:cs="Times New Roman"/>
          <w:sz w:val="24"/>
          <w:szCs w:val="24"/>
        </w:rPr>
        <w:t>-</w:t>
      </w:r>
      <w:r w:rsidR="00B464EA" w:rsidRPr="00654F4E">
        <w:rPr>
          <w:rFonts w:ascii="Times New Roman" w:hAnsi="Times New Roman" w:cs="Times New Roman"/>
          <w:sz w:val="24"/>
          <w:szCs w:val="24"/>
        </w:rPr>
        <w:t>about</w:t>
      </w:r>
      <w:r w:rsidR="003E6E3D">
        <w:rPr>
          <w:rFonts w:ascii="Times New Roman" w:hAnsi="Times New Roman" w:cs="Times New Roman"/>
          <w:sz w:val="24"/>
          <w:szCs w:val="24"/>
        </w:rPr>
        <w:t>s</w:t>
      </w:r>
      <w:r w:rsidR="00B464EA" w:rsidRPr="00654F4E">
        <w:rPr>
          <w:rFonts w:ascii="Times New Roman" w:hAnsi="Times New Roman" w:cs="Times New Roman"/>
          <w:sz w:val="24"/>
          <w:szCs w:val="24"/>
        </w:rPr>
        <w:t xml:space="preserve"> of the 340 bales of tobacco would,</w:t>
      </w:r>
      <w:r w:rsidRPr="00654F4E">
        <w:rPr>
          <w:rFonts w:ascii="Times New Roman" w:hAnsi="Times New Roman" w:cs="Times New Roman"/>
          <w:sz w:val="24"/>
          <w:szCs w:val="24"/>
        </w:rPr>
        <w:t xml:space="preserve"> under the obs</w:t>
      </w:r>
      <w:r w:rsidR="00B464EA" w:rsidRPr="00654F4E">
        <w:rPr>
          <w:rFonts w:ascii="Times New Roman" w:hAnsi="Times New Roman" w:cs="Times New Roman"/>
          <w:sz w:val="24"/>
          <w:szCs w:val="24"/>
        </w:rPr>
        <w:t>erved set of circumstances,</w:t>
      </w:r>
      <w:r w:rsidRPr="00654F4E">
        <w:rPr>
          <w:rFonts w:ascii="Times New Roman" w:hAnsi="Times New Roman" w:cs="Times New Roman"/>
          <w:sz w:val="24"/>
          <w:szCs w:val="24"/>
        </w:rPr>
        <w:t xml:space="preserve"> have been as easy as night follows day.</w:t>
      </w:r>
    </w:p>
    <w:p w:rsidR="000A27F3" w:rsidRPr="00654F4E" w:rsidRDefault="000A27F3" w:rsidP="007952FC">
      <w:pPr>
        <w:spacing w:after="0" w:line="360" w:lineRule="auto"/>
        <w:ind w:firstLine="720"/>
        <w:jc w:val="both"/>
        <w:rPr>
          <w:rFonts w:ascii="Times New Roman" w:hAnsi="Times New Roman" w:cs="Times New Roman"/>
          <w:sz w:val="24"/>
          <w:szCs w:val="24"/>
        </w:rPr>
      </w:pPr>
      <w:r w:rsidRPr="00654F4E">
        <w:rPr>
          <w:rFonts w:ascii="Times New Roman" w:hAnsi="Times New Roman" w:cs="Times New Roman"/>
          <w:sz w:val="24"/>
          <w:szCs w:val="24"/>
        </w:rPr>
        <w:t>The issue of the stolen 340 bags of tobacco should not be considered in isolation. It should be considered in light of the vein effort of the first respondent to enter into an</w:t>
      </w:r>
      <w:r w:rsidR="00B464EA" w:rsidRPr="00654F4E">
        <w:rPr>
          <w:rFonts w:ascii="Times New Roman" w:hAnsi="Times New Roman" w:cs="Times New Roman"/>
          <w:sz w:val="24"/>
          <w:szCs w:val="24"/>
        </w:rPr>
        <w:t xml:space="preserve"> invalid</w:t>
      </w:r>
      <w:r w:rsidRPr="00654F4E">
        <w:rPr>
          <w:rFonts w:ascii="Times New Roman" w:hAnsi="Times New Roman" w:cs="Times New Roman"/>
          <w:sz w:val="24"/>
          <w:szCs w:val="24"/>
        </w:rPr>
        <w:t xml:space="preserve"> agreement of cession with the first applicant’s employee whom it knew had no capacity to cede any right in the tobacco to it. The said effort of the first respondent evinces its intention to acquire rights in the tobacco to which the first applicant had/has rights. The effort of the first respondent as read with </w:t>
      </w:r>
      <w:r w:rsidR="00CB0755" w:rsidRPr="00654F4E">
        <w:rPr>
          <w:rFonts w:ascii="Times New Roman" w:hAnsi="Times New Roman" w:cs="Times New Roman"/>
          <w:sz w:val="24"/>
          <w:szCs w:val="24"/>
        </w:rPr>
        <w:t>the four applications which the third respondent filed in quick succession with the court of the magistrate whom she moved to allow her to dispose of the tobacco which she had s</w:t>
      </w:r>
      <w:r w:rsidR="00B464EA" w:rsidRPr="00654F4E">
        <w:rPr>
          <w:rFonts w:ascii="Times New Roman" w:hAnsi="Times New Roman" w:cs="Times New Roman"/>
          <w:sz w:val="24"/>
          <w:szCs w:val="24"/>
        </w:rPr>
        <w:t>eized and was under her custody</w:t>
      </w:r>
      <w:r w:rsidR="00CB0755" w:rsidRPr="00654F4E">
        <w:rPr>
          <w:rFonts w:ascii="Times New Roman" w:hAnsi="Times New Roman" w:cs="Times New Roman"/>
          <w:sz w:val="24"/>
          <w:szCs w:val="24"/>
        </w:rPr>
        <w:t xml:space="preserve"> points to the probability that the first and third respondents connived between them to steal the bales of tobacco.</w:t>
      </w:r>
      <w:r w:rsidR="00B464EA" w:rsidRPr="00654F4E">
        <w:rPr>
          <w:rFonts w:ascii="Times New Roman" w:hAnsi="Times New Roman" w:cs="Times New Roman"/>
          <w:sz w:val="24"/>
          <w:szCs w:val="24"/>
        </w:rPr>
        <w:t xml:space="preserve"> The first applicant’s statement is, in fact, to an equal effect.</w:t>
      </w:r>
    </w:p>
    <w:p w:rsidR="00C81DC6" w:rsidRPr="00654F4E" w:rsidRDefault="00C81DC6" w:rsidP="007952FC">
      <w:pPr>
        <w:spacing w:after="0" w:line="360" w:lineRule="auto"/>
        <w:ind w:firstLine="720"/>
        <w:jc w:val="both"/>
        <w:rPr>
          <w:rFonts w:ascii="Times New Roman" w:hAnsi="Times New Roman" w:cs="Times New Roman"/>
          <w:sz w:val="24"/>
          <w:szCs w:val="24"/>
        </w:rPr>
      </w:pPr>
      <w:r w:rsidRPr="00654F4E">
        <w:rPr>
          <w:rFonts w:ascii="Times New Roman" w:hAnsi="Times New Roman" w:cs="Times New Roman"/>
          <w:sz w:val="24"/>
          <w:szCs w:val="24"/>
        </w:rPr>
        <w:t>The first applicant mentions 340 bales of tobacco as having been stolen from the warehouse. It did not mention more or less bales than the cited figure. It did not do so as it has no reason to lie against the first, second or third respondent. Neither of the three respondents suggests that the first applicant is lying against it or her. The probabilities of this matter is that the first applicant mentioned the figure which it knew was/is the number of bales of tobacco which the respondents stole from the warehouse where the tobacco remain</w:t>
      </w:r>
      <w:r w:rsidR="00B464EA" w:rsidRPr="00654F4E">
        <w:rPr>
          <w:rFonts w:ascii="Times New Roman" w:hAnsi="Times New Roman" w:cs="Times New Roman"/>
          <w:sz w:val="24"/>
          <w:szCs w:val="24"/>
        </w:rPr>
        <w:t>s</w:t>
      </w:r>
      <w:r w:rsidRPr="00654F4E">
        <w:rPr>
          <w:rFonts w:ascii="Times New Roman" w:hAnsi="Times New Roman" w:cs="Times New Roman"/>
          <w:sz w:val="24"/>
          <w:szCs w:val="24"/>
        </w:rPr>
        <w:t xml:space="preserve"> kept. The first applicant, the probabilities show, told the truth of</w:t>
      </w:r>
      <w:r w:rsidR="00B464EA" w:rsidRPr="00654F4E">
        <w:rPr>
          <w:rFonts w:ascii="Times New Roman" w:hAnsi="Times New Roman" w:cs="Times New Roman"/>
          <w:sz w:val="24"/>
          <w:szCs w:val="24"/>
        </w:rPr>
        <w:t xml:space="preserve"> what the respondents did to its</w:t>
      </w:r>
      <w:r w:rsidRPr="00654F4E">
        <w:rPr>
          <w:rFonts w:ascii="Times New Roman" w:hAnsi="Times New Roman" w:cs="Times New Roman"/>
          <w:sz w:val="24"/>
          <w:szCs w:val="24"/>
        </w:rPr>
        <w:t xml:space="preserve"> bales of tobacco. Its motion which is to the effect that they return the bales of tobacco to the place from where they were taken is, therefore, not without merit.</w:t>
      </w:r>
    </w:p>
    <w:p w:rsidR="00F80F04" w:rsidRDefault="00FA3C5A" w:rsidP="007952FC">
      <w:pPr>
        <w:spacing w:after="0" w:line="360" w:lineRule="auto"/>
        <w:ind w:firstLine="720"/>
        <w:jc w:val="both"/>
        <w:rPr>
          <w:rFonts w:ascii="Times New Roman" w:hAnsi="Times New Roman" w:cs="Times New Roman"/>
          <w:sz w:val="24"/>
          <w:szCs w:val="24"/>
        </w:rPr>
      </w:pPr>
      <w:r w:rsidRPr="00654F4E">
        <w:rPr>
          <w:rFonts w:ascii="Times New Roman" w:hAnsi="Times New Roman" w:cs="Times New Roman"/>
          <w:sz w:val="24"/>
          <w:szCs w:val="24"/>
        </w:rPr>
        <w:t>The applicant proved its case on a balance of probabilities.</w:t>
      </w:r>
      <w:r w:rsidR="00E7353A" w:rsidRPr="00654F4E">
        <w:rPr>
          <w:rFonts w:ascii="Times New Roman" w:hAnsi="Times New Roman" w:cs="Times New Roman"/>
          <w:sz w:val="24"/>
          <w:szCs w:val="24"/>
        </w:rPr>
        <w:t xml:space="preserve"> The application is, therefore, granted as prayed.</w:t>
      </w:r>
    </w:p>
    <w:p w:rsidR="000D7A9D" w:rsidRDefault="000D7A9D" w:rsidP="007952FC">
      <w:pPr>
        <w:spacing w:before="240" w:after="0" w:line="240" w:lineRule="auto"/>
        <w:jc w:val="both"/>
        <w:rPr>
          <w:rFonts w:ascii="Times New Roman" w:hAnsi="Times New Roman" w:cs="Times New Roman"/>
          <w:i/>
          <w:sz w:val="24"/>
          <w:szCs w:val="24"/>
        </w:rPr>
      </w:pPr>
    </w:p>
    <w:p w:rsidR="000D7A9D" w:rsidRDefault="000D7A9D" w:rsidP="007952FC">
      <w:pPr>
        <w:spacing w:before="240" w:after="0" w:line="240" w:lineRule="auto"/>
        <w:jc w:val="both"/>
        <w:rPr>
          <w:rFonts w:ascii="Times New Roman" w:hAnsi="Times New Roman" w:cs="Times New Roman"/>
          <w:i/>
          <w:sz w:val="24"/>
          <w:szCs w:val="24"/>
        </w:rPr>
      </w:pPr>
    </w:p>
    <w:p w:rsidR="003E6E3D" w:rsidRDefault="003E6E3D" w:rsidP="007952FC">
      <w:pPr>
        <w:spacing w:before="240" w:after="0" w:line="240" w:lineRule="auto"/>
        <w:jc w:val="both"/>
        <w:rPr>
          <w:rFonts w:ascii="Times New Roman" w:hAnsi="Times New Roman" w:cs="Times New Roman"/>
          <w:sz w:val="24"/>
          <w:szCs w:val="24"/>
        </w:rPr>
      </w:pPr>
      <w:r w:rsidRPr="00F80F04">
        <w:rPr>
          <w:rFonts w:ascii="Times New Roman" w:hAnsi="Times New Roman" w:cs="Times New Roman"/>
          <w:i/>
          <w:sz w:val="24"/>
          <w:szCs w:val="24"/>
        </w:rPr>
        <w:t>Mhishi, Nkomo legal practice</w:t>
      </w:r>
      <w:r>
        <w:rPr>
          <w:rFonts w:ascii="Times New Roman" w:hAnsi="Times New Roman" w:cs="Times New Roman"/>
          <w:sz w:val="24"/>
          <w:szCs w:val="24"/>
        </w:rPr>
        <w:t xml:space="preserve">, for </w:t>
      </w:r>
      <w:r w:rsidR="00084EDE">
        <w:rPr>
          <w:rFonts w:ascii="Times New Roman" w:hAnsi="Times New Roman" w:cs="Times New Roman"/>
          <w:sz w:val="24"/>
          <w:szCs w:val="24"/>
        </w:rPr>
        <w:t>first</w:t>
      </w:r>
      <w:r>
        <w:rPr>
          <w:rFonts w:ascii="Times New Roman" w:hAnsi="Times New Roman" w:cs="Times New Roman"/>
          <w:sz w:val="24"/>
          <w:szCs w:val="24"/>
        </w:rPr>
        <w:t xml:space="preserve"> and</w:t>
      </w:r>
      <w:r w:rsidR="00084EDE">
        <w:rPr>
          <w:rFonts w:ascii="Times New Roman" w:hAnsi="Times New Roman" w:cs="Times New Roman"/>
          <w:sz w:val="24"/>
          <w:szCs w:val="24"/>
        </w:rPr>
        <w:t xml:space="preserve"> second</w:t>
      </w:r>
      <w:r>
        <w:rPr>
          <w:rFonts w:ascii="Times New Roman" w:hAnsi="Times New Roman" w:cs="Times New Roman"/>
          <w:sz w:val="24"/>
          <w:szCs w:val="24"/>
        </w:rPr>
        <w:t xml:space="preserve"> </w:t>
      </w:r>
      <w:r w:rsidR="00F80F04">
        <w:rPr>
          <w:rFonts w:ascii="Times New Roman" w:hAnsi="Times New Roman" w:cs="Times New Roman"/>
          <w:sz w:val="24"/>
          <w:szCs w:val="24"/>
        </w:rPr>
        <w:t>applicant’s</w:t>
      </w:r>
      <w:r>
        <w:rPr>
          <w:rFonts w:ascii="Times New Roman" w:hAnsi="Times New Roman" w:cs="Times New Roman"/>
          <w:sz w:val="24"/>
          <w:szCs w:val="24"/>
        </w:rPr>
        <w:t xml:space="preserve"> legal practitioners</w:t>
      </w:r>
    </w:p>
    <w:p w:rsidR="003E6E3D" w:rsidRDefault="003E6E3D" w:rsidP="007952FC">
      <w:pPr>
        <w:spacing w:after="0" w:line="240" w:lineRule="auto"/>
        <w:jc w:val="both"/>
        <w:rPr>
          <w:rFonts w:ascii="Times New Roman" w:hAnsi="Times New Roman" w:cs="Times New Roman"/>
          <w:sz w:val="24"/>
          <w:szCs w:val="24"/>
        </w:rPr>
      </w:pPr>
      <w:r w:rsidRPr="00F80F04">
        <w:rPr>
          <w:rFonts w:ascii="Times New Roman" w:hAnsi="Times New Roman" w:cs="Times New Roman"/>
          <w:i/>
          <w:sz w:val="24"/>
          <w:szCs w:val="24"/>
        </w:rPr>
        <w:t>Lunga Attorneys</w:t>
      </w:r>
      <w:r>
        <w:rPr>
          <w:rFonts w:ascii="Times New Roman" w:hAnsi="Times New Roman" w:cs="Times New Roman"/>
          <w:sz w:val="24"/>
          <w:szCs w:val="24"/>
        </w:rPr>
        <w:t xml:space="preserve">, </w:t>
      </w:r>
      <w:r w:rsidR="00084EDE">
        <w:rPr>
          <w:rFonts w:ascii="Times New Roman" w:hAnsi="Times New Roman" w:cs="Times New Roman"/>
          <w:sz w:val="24"/>
          <w:szCs w:val="24"/>
        </w:rPr>
        <w:t>first</w:t>
      </w:r>
      <w:r>
        <w:rPr>
          <w:rFonts w:ascii="Times New Roman" w:hAnsi="Times New Roman" w:cs="Times New Roman"/>
          <w:sz w:val="24"/>
          <w:szCs w:val="24"/>
        </w:rPr>
        <w:t xml:space="preserve"> respondent legal practitioner</w:t>
      </w:r>
    </w:p>
    <w:p w:rsidR="003E6E3D" w:rsidRPr="00654F4E" w:rsidRDefault="003E6E3D" w:rsidP="007952FC">
      <w:pPr>
        <w:spacing w:after="0" w:line="240" w:lineRule="auto"/>
        <w:jc w:val="both"/>
        <w:rPr>
          <w:rFonts w:ascii="Times New Roman" w:hAnsi="Times New Roman" w:cs="Times New Roman"/>
          <w:sz w:val="24"/>
          <w:szCs w:val="24"/>
        </w:rPr>
      </w:pPr>
      <w:r w:rsidRPr="00F80F04">
        <w:rPr>
          <w:rFonts w:ascii="Times New Roman" w:hAnsi="Times New Roman" w:cs="Times New Roman"/>
          <w:i/>
          <w:sz w:val="24"/>
          <w:szCs w:val="24"/>
        </w:rPr>
        <w:t>Civil Division of the Attorney General’s Office</w:t>
      </w:r>
      <w:r>
        <w:rPr>
          <w:rFonts w:ascii="Times New Roman" w:hAnsi="Times New Roman" w:cs="Times New Roman"/>
          <w:sz w:val="24"/>
          <w:szCs w:val="24"/>
        </w:rPr>
        <w:t>,</w:t>
      </w:r>
      <w:r w:rsidR="00084EDE">
        <w:rPr>
          <w:rFonts w:ascii="Times New Roman" w:hAnsi="Times New Roman" w:cs="Times New Roman"/>
          <w:sz w:val="24"/>
          <w:szCs w:val="24"/>
        </w:rPr>
        <w:t xml:space="preserve"> third</w:t>
      </w:r>
      <w:r>
        <w:rPr>
          <w:rFonts w:ascii="Times New Roman" w:hAnsi="Times New Roman" w:cs="Times New Roman"/>
          <w:sz w:val="24"/>
          <w:szCs w:val="24"/>
        </w:rPr>
        <w:t xml:space="preserve"> and </w:t>
      </w:r>
      <w:r w:rsidR="00084EDE">
        <w:rPr>
          <w:rFonts w:ascii="Times New Roman" w:hAnsi="Times New Roman" w:cs="Times New Roman"/>
          <w:sz w:val="24"/>
          <w:szCs w:val="24"/>
        </w:rPr>
        <w:t>fourth</w:t>
      </w:r>
      <w:r>
        <w:rPr>
          <w:rFonts w:ascii="Times New Roman" w:hAnsi="Times New Roman" w:cs="Times New Roman"/>
          <w:sz w:val="24"/>
          <w:szCs w:val="24"/>
        </w:rPr>
        <w:t xml:space="preserve"> respondent’s legal practitioners</w:t>
      </w:r>
    </w:p>
    <w:sectPr w:rsidR="003E6E3D" w:rsidRPr="00654F4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3C8F" w:rsidRDefault="00383C8F" w:rsidP="000E5F69">
      <w:pPr>
        <w:spacing w:after="0" w:line="240" w:lineRule="auto"/>
      </w:pPr>
      <w:r>
        <w:separator/>
      </w:r>
    </w:p>
  </w:endnote>
  <w:endnote w:type="continuationSeparator" w:id="0">
    <w:p w:rsidR="00383C8F" w:rsidRDefault="00383C8F" w:rsidP="000E5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3C8F" w:rsidRDefault="00383C8F" w:rsidP="000E5F69">
      <w:pPr>
        <w:spacing w:after="0" w:line="240" w:lineRule="auto"/>
      </w:pPr>
      <w:r>
        <w:separator/>
      </w:r>
    </w:p>
  </w:footnote>
  <w:footnote w:type="continuationSeparator" w:id="0">
    <w:p w:rsidR="00383C8F" w:rsidRDefault="00383C8F" w:rsidP="000E5F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289865"/>
      <w:docPartObj>
        <w:docPartGallery w:val="Page Numbers (Top of Page)"/>
        <w:docPartUnique/>
      </w:docPartObj>
    </w:sdtPr>
    <w:sdtEndPr>
      <w:rPr>
        <w:rFonts w:ascii="Times New Roman" w:hAnsi="Times New Roman" w:cs="Times New Roman"/>
        <w:noProof/>
        <w:sz w:val="24"/>
        <w:szCs w:val="24"/>
      </w:rPr>
    </w:sdtEndPr>
    <w:sdtContent>
      <w:p w:rsidR="000E5F69" w:rsidRPr="00B72805" w:rsidRDefault="000E5F69">
        <w:pPr>
          <w:pStyle w:val="Header"/>
          <w:jc w:val="right"/>
          <w:rPr>
            <w:rFonts w:ascii="Times New Roman" w:hAnsi="Times New Roman" w:cs="Times New Roman"/>
            <w:noProof/>
            <w:sz w:val="24"/>
            <w:szCs w:val="24"/>
          </w:rPr>
        </w:pPr>
        <w:r w:rsidRPr="00B72805">
          <w:rPr>
            <w:rFonts w:ascii="Times New Roman" w:hAnsi="Times New Roman" w:cs="Times New Roman"/>
            <w:sz w:val="24"/>
            <w:szCs w:val="24"/>
          </w:rPr>
          <w:fldChar w:fldCharType="begin"/>
        </w:r>
        <w:r w:rsidRPr="00B72805">
          <w:rPr>
            <w:rFonts w:ascii="Times New Roman" w:hAnsi="Times New Roman" w:cs="Times New Roman"/>
            <w:sz w:val="24"/>
            <w:szCs w:val="24"/>
          </w:rPr>
          <w:instrText xml:space="preserve"> PAGE   \* MERGEFORMAT </w:instrText>
        </w:r>
        <w:r w:rsidRPr="00B72805">
          <w:rPr>
            <w:rFonts w:ascii="Times New Roman" w:hAnsi="Times New Roman" w:cs="Times New Roman"/>
            <w:sz w:val="24"/>
            <w:szCs w:val="24"/>
          </w:rPr>
          <w:fldChar w:fldCharType="separate"/>
        </w:r>
        <w:r w:rsidR="00FF0B1B">
          <w:rPr>
            <w:rFonts w:ascii="Times New Roman" w:hAnsi="Times New Roman" w:cs="Times New Roman"/>
            <w:noProof/>
            <w:sz w:val="24"/>
            <w:szCs w:val="24"/>
          </w:rPr>
          <w:t>1</w:t>
        </w:r>
        <w:r w:rsidRPr="00B72805">
          <w:rPr>
            <w:rFonts w:ascii="Times New Roman" w:hAnsi="Times New Roman" w:cs="Times New Roman"/>
            <w:noProof/>
            <w:sz w:val="24"/>
            <w:szCs w:val="24"/>
          </w:rPr>
          <w:fldChar w:fldCharType="end"/>
        </w:r>
      </w:p>
      <w:p w:rsidR="000E5F69" w:rsidRPr="00B72805" w:rsidRDefault="00FC30CF">
        <w:pPr>
          <w:pStyle w:val="Header"/>
          <w:jc w:val="right"/>
          <w:rPr>
            <w:rFonts w:ascii="Times New Roman" w:hAnsi="Times New Roman" w:cs="Times New Roman"/>
            <w:noProof/>
            <w:sz w:val="24"/>
            <w:szCs w:val="24"/>
          </w:rPr>
        </w:pPr>
        <w:r>
          <w:rPr>
            <w:rFonts w:ascii="Times New Roman" w:hAnsi="Times New Roman" w:cs="Times New Roman"/>
            <w:noProof/>
            <w:sz w:val="24"/>
            <w:szCs w:val="24"/>
          </w:rPr>
          <w:t>HH 142-22</w:t>
        </w:r>
      </w:p>
      <w:p w:rsidR="000E5F69" w:rsidRPr="00B72805" w:rsidRDefault="000E5F69">
        <w:pPr>
          <w:pStyle w:val="Header"/>
          <w:jc w:val="right"/>
          <w:rPr>
            <w:rFonts w:ascii="Times New Roman" w:hAnsi="Times New Roman" w:cs="Times New Roman"/>
            <w:sz w:val="24"/>
            <w:szCs w:val="24"/>
          </w:rPr>
        </w:pPr>
        <w:r w:rsidRPr="00B72805">
          <w:rPr>
            <w:rFonts w:ascii="Times New Roman" w:hAnsi="Times New Roman" w:cs="Times New Roman"/>
            <w:noProof/>
            <w:sz w:val="24"/>
            <w:szCs w:val="24"/>
          </w:rPr>
          <w:t>HC</w:t>
        </w:r>
        <w:r w:rsidR="007E1633" w:rsidRPr="00B72805">
          <w:rPr>
            <w:rFonts w:ascii="Times New Roman" w:hAnsi="Times New Roman" w:cs="Times New Roman"/>
            <w:noProof/>
            <w:sz w:val="24"/>
            <w:szCs w:val="24"/>
          </w:rPr>
          <w:t xml:space="preserve"> </w:t>
        </w:r>
        <w:r w:rsidRPr="00B72805">
          <w:rPr>
            <w:rFonts w:ascii="Times New Roman" w:hAnsi="Times New Roman" w:cs="Times New Roman"/>
            <w:noProof/>
            <w:sz w:val="24"/>
            <w:szCs w:val="24"/>
          </w:rPr>
          <w:t>8127/19</w:t>
        </w:r>
      </w:p>
    </w:sdtContent>
  </w:sdt>
  <w:p w:rsidR="000E5F69" w:rsidRPr="00B72805" w:rsidRDefault="000E5F69">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7B07ED"/>
    <w:multiLevelType w:val="hybridMultilevel"/>
    <w:tmpl w:val="6FF2FD7C"/>
    <w:lvl w:ilvl="0" w:tplc="03AC2A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C01F5E"/>
    <w:multiLevelType w:val="hybridMultilevel"/>
    <w:tmpl w:val="0CB266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214"/>
    <w:rsid w:val="000179E5"/>
    <w:rsid w:val="00030A1A"/>
    <w:rsid w:val="000465A2"/>
    <w:rsid w:val="000503FE"/>
    <w:rsid w:val="00084EDE"/>
    <w:rsid w:val="00086BED"/>
    <w:rsid w:val="00093801"/>
    <w:rsid w:val="000A27F3"/>
    <w:rsid w:val="000D7A9D"/>
    <w:rsid w:val="000E5F69"/>
    <w:rsid w:val="000F3CC4"/>
    <w:rsid w:val="00132633"/>
    <w:rsid w:val="00155906"/>
    <w:rsid w:val="00177DD0"/>
    <w:rsid w:val="00192A4D"/>
    <w:rsid w:val="001E204E"/>
    <w:rsid w:val="001F29ED"/>
    <w:rsid w:val="001F507E"/>
    <w:rsid w:val="002640CB"/>
    <w:rsid w:val="00272295"/>
    <w:rsid w:val="002F3208"/>
    <w:rsid w:val="00302059"/>
    <w:rsid w:val="003128B3"/>
    <w:rsid w:val="0032628D"/>
    <w:rsid w:val="00331C0B"/>
    <w:rsid w:val="00380207"/>
    <w:rsid w:val="00383C8F"/>
    <w:rsid w:val="003E6E3D"/>
    <w:rsid w:val="00433152"/>
    <w:rsid w:val="0044178C"/>
    <w:rsid w:val="00446AAC"/>
    <w:rsid w:val="0044740B"/>
    <w:rsid w:val="0046214B"/>
    <w:rsid w:val="00477A22"/>
    <w:rsid w:val="00480EDC"/>
    <w:rsid w:val="004878E0"/>
    <w:rsid w:val="004959C1"/>
    <w:rsid w:val="004B0ADB"/>
    <w:rsid w:val="004C332B"/>
    <w:rsid w:val="004D204B"/>
    <w:rsid w:val="004E2AFF"/>
    <w:rsid w:val="004F3D81"/>
    <w:rsid w:val="0051292F"/>
    <w:rsid w:val="00523785"/>
    <w:rsid w:val="00524E55"/>
    <w:rsid w:val="00525AFF"/>
    <w:rsid w:val="005C3FDA"/>
    <w:rsid w:val="00601870"/>
    <w:rsid w:val="00614116"/>
    <w:rsid w:val="006174C1"/>
    <w:rsid w:val="00627A4A"/>
    <w:rsid w:val="00636BAA"/>
    <w:rsid w:val="00654F4E"/>
    <w:rsid w:val="0066294E"/>
    <w:rsid w:val="00666577"/>
    <w:rsid w:val="00677CD0"/>
    <w:rsid w:val="007256C2"/>
    <w:rsid w:val="007374C8"/>
    <w:rsid w:val="00762F5A"/>
    <w:rsid w:val="00776B6E"/>
    <w:rsid w:val="00791277"/>
    <w:rsid w:val="007952FC"/>
    <w:rsid w:val="007E1633"/>
    <w:rsid w:val="007F1A56"/>
    <w:rsid w:val="0080420F"/>
    <w:rsid w:val="008056CB"/>
    <w:rsid w:val="0084026E"/>
    <w:rsid w:val="00856D02"/>
    <w:rsid w:val="00870CB9"/>
    <w:rsid w:val="00892B6B"/>
    <w:rsid w:val="008C3E41"/>
    <w:rsid w:val="008E4B10"/>
    <w:rsid w:val="009409E6"/>
    <w:rsid w:val="00972AA0"/>
    <w:rsid w:val="009A2629"/>
    <w:rsid w:val="009A5943"/>
    <w:rsid w:val="009A748A"/>
    <w:rsid w:val="009B0E7F"/>
    <w:rsid w:val="009C4DFD"/>
    <w:rsid w:val="009C4EA6"/>
    <w:rsid w:val="00A125A7"/>
    <w:rsid w:val="00A24EED"/>
    <w:rsid w:val="00A549DB"/>
    <w:rsid w:val="00A6455D"/>
    <w:rsid w:val="00AB2661"/>
    <w:rsid w:val="00B46214"/>
    <w:rsid w:val="00B464EA"/>
    <w:rsid w:val="00B72805"/>
    <w:rsid w:val="00B87BA0"/>
    <w:rsid w:val="00BB384E"/>
    <w:rsid w:val="00BC0B75"/>
    <w:rsid w:val="00BD6F95"/>
    <w:rsid w:val="00BD721A"/>
    <w:rsid w:val="00C128E6"/>
    <w:rsid w:val="00C25267"/>
    <w:rsid w:val="00C2592E"/>
    <w:rsid w:val="00C40EFB"/>
    <w:rsid w:val="00C53A29"/>
    <w:rsid w:val="00C81DC6"/>
    <w:rsid w:val="00C85FD3"/>
    <w:rsid w:val="00CA367B"/>
    <w:rsid w:val="00CA5E7F"/>
    <w:rsid w:val="00CB0755"/>
    <w:rsid w:val="00CC1E14"/>
    <w:rsid w:val="00CF3B62"/>
    <w:rsid w:val="00D10A28"/>
    <w:rsid w:val="00D46ADE"/>
    <w:rsid w:val="00D655AD"/>
    <w:rsid w:val="00DD0096"/>
    <w:rsid w:val="00DF43F8"/>
    <w:rsid w:val="00E14BD7"/>
    <w:rsid w:val="00E2399B"/>
    <w:rsid w:val="00E7353A"/>
    <w:rsid w:val="00E83695"/>
    <w:rsid w:val="00F07F84"/>
    <w:rsid w:val="00F55A67"/>
    <w:rsid w:val="00F75245"/>
    <w:rsid w:val="00F80F04"/>
    <w:rsid w:val="00FA3C5A"/>
    <w:rsid w:val="00FA4062"/>
    <w:rsid w:val="00FC061B"/>
    <w:rsid w:val="00FC30CF"/>
    <w:rsid w:val="00FC617B"/>
    <w:rsid w:val="00FE4E35"/>
    <w:rsid w:val="00FE73EB"/>
    <w:rsid w:val="00FF0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70DACE-1766-4B94-A431-628A8F800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0096"/>
    <w:pPr>
      <w:ind w:left="720"/>
      <w:contextualSpacing/>
    </w:pPr>
  </w:style>
  <w:style w:type="paragraph" w:styleId="Header">
    <w:name w:val="header"/>
    <w:basedOn w:val="Normal"/>
    <w:link w:val="HeaderChar"/>
    <w:uiPriority w:val="99"/>
    <w:unhideWhenUsed/>
    <w:rsid w:val="000E5F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5F69"/>
  </w:style>
  <w:style w:type="paragraph" w:styleId="Footer">
    <w:name w:val="footer"/>
    <w:basedOn w:val="Normal"/>
    <w:link w:val="FooterChar"/>
    <w:uiPriority w:val="99"/>
    <w:unhideWhenUsed/>
    <w:rsid w:val="000E5F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5F69"/>
  </w:style>
  <w:style w:type="paragraph" w:styleId="BalloonText">
    <w:name w:val="Balloon Text"/>
    <w:basedOn w:val="Normal"/>
    <w:link w:val="BalloonTextChar"/>
    <w:uiPriority w:val="99"/>
    <w:semiHidden/>
    <w:unhideWhenUsed/>
    <w:rsid w:val="007E16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6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4229</Words>
  <Characters>24108</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Justice Mangota</dc:creator>
  <cp:keywords/>
  <dc:description/>
  <cp:lastModifiedBy>JSC</cp:lastModifiedBy>
  <cp:revision>2</cp:revision>
  <cp:lastPrinted>2022-02-14T07:40:00Z</cp:lastPrinted>
  <dcterms:created xsi:type="dcterms:W3CDTF">2022-03-11T10:11:00Z</dcterms:created>
  <dcterms:modified xsi:type="dcterms:W3CDTF">2022-03-11T10:11:00Z</dcterms:modified>
</cp:coreProperties>
</file>