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837" w:rsidRDefault="00E42837" w:rsidP="002E719A">
      <w:pPr>
        <w:spacing w:after="0" w:line="240" w:lineRule="auto"/>
        <w:rPr>
          <w:rFonts w:ascii="Times New Roman" w:hAnsi="Times New Roman" w:cs="Times New Roman"/>
          <w:sz w:val="24"/>
          <w:szCs w:val="24"/>
        </w:rPr>
      </w:pPr>
      <w:bookmarkStart w:id="0" w:name="_GoBack"/>
      <w:bookmarkEnd w:id="0"/>
    </w:p>
    <w:p w:rsidR="00E42837" w:rsidRDefault="00E42837" w:rsidP="002E719A">
      <w:pPr>
        <w:spacing w:after="0" w:line="240" w:lineRule="auto"/>
        <w:rPr>
          <w:rFonts w:ascii="Times New Roman" w:hAnsi="Times New Roman" w:cs="Times New Roman"/>
          <w:sz w:val="24"/>
          <w:szCs w:val="24"/>
        </w:rPr>
      </w:pPr>
    </w:p>
    <w:p w:rsidR="00317EF8" w:rsidRDefault="0069378E" w:rsidP="002E719A">
      <w:pPr>
        <w:spacing w:after="0" w:line="240" w:lineRule="auto"/>
        <w:rPr>
          <w:rFonts w:ascii="Times New Roman" w:hAnsi="Times New Roman" w:cs="Times New Roman"/>
          <w:sz w:val="24"/>
          <w:szCs w:val="24"/>
        </w:rPr>
      </w:pPr>
      <w:r>
        <w:rPr>
          <w:rFonts w:ascii="Times New Roman" w:hAnsi="Times New Roman" w:cs="Times New Roman"/>
          <w:sz w:val="24"/>
          <w:szCs w:val="24"/>
        </w:rPr>
        <w:t>AJARA TRUCKING LOGISTICS (PVT) LT</w:t>
      </w:r>
      <w:r w:rsidR="00CA7A58" w:rsidRPr="00AB331B">
        <w:rPr>
          <w:rFonts w:ascii="Times New Roman" w:hAnsi="Times New Roman" w:cs="Times New Roman"/>
          <w:sz w:val="24"/>
          <w:szCs w:val="24"/>
        </w:rPr>
        <w:t>D</w:t>
      </w:r>
    </w:p>
    <w:p w:rsidR="00CA7A58" w:rsidRPr="00317EF8" w:rsidRDefault="007B380B" w:rsidP="002E719A">
      <w:pPr>
        <w:spacing w:after="0" w:line="240" w:lineRule="auto"/>
        <w:rPr>
          <w:rFonts w:ascii="Times New Roman" w:hAnsi="Times New Roman" w:cs="Times New Roman"/>
          <w:sz w:val="24"/>
          <w:szCs w:val="24"/>
        </w:rPr>
      </w:pPr>
      <w:r w:rsidRPr="00317EF8">
        <w:rPr>
          <w:rFonts w:ascii="Times New Roman" w:hAnsi="Times New Roman" w:cs="Times New Roman"/>
          <w:sz w:val="24"/>
          <w:szCs w:val="24"/>
        </w:rPr>
        <w:t>versus</w:t>
      </w:r>
    </w:p>
    <w:p w:rsidR="00CA7A58" w:rsidRDefault="00CA7A58" w:rsidP="002E719A">
      <w:pPr>
        <w:spacing w:after="0" w:line="240" w:lineRule="auto"/>
        <w:rPr>
          <w:rFonts w:ascii="Times New Roman" w:hAnsi="Times New Roman" w:cs="Times New Roman"/>
          <w:sz w:val="24"/>
          <w:szCs w:val="24"/>
        </w:rPr>
      </w:pPr>
      <w:r w:rsidRPr="00AB331B">
        <w:rPr>
          <w:rFonts w:ascii="Times New Roman" w:hAnsi="Times New Roman" w:cs="Times New Roman"/>
          <w:sz w:val="24"/>
          <w:szCs w:val="24"/>
        </w:rPr>
        <w:t>ZIMBABWE REVENUE AUTHORITY</w:t>
      </w:r>
    </w:p>
    <w:p w:rsidR="00FA2107" w:rsidRDefault="00FA2107" w:rsidP="002E719A">
      <w:pPr>
        <w:spacing w:after="0" w:line="240" w:lineRule="auto"/>
        <w:rPr>
          <w:rFonts w:ascii="Times New Roman" w:hAnsi="Times New Roman" w:cs="Times New Roman"/>
          <w:sz w:val="24"/>
          <w:szCs w:val="24"/>
        </w:rPr>
      </w:pPr>
    </w:p>
    <w:p w:rsidR="00FA2107" w:rsidRPr="00AB331B" w:rsidRDefault="00FA2107" w:rsidP="00FA2107">
      <w:pPr>
        <w:spacing w:after="0" w:line="240" w:lineRule="auto"/>
        <w:rPr>
          <w:rFonts w:ascii="Times New Roman" w:hAnsi="Times New Roman" w:cs="Times New Roman"/>
          <w:sz w:val="24"/>
          <w:szCs w:val="24"/>
        </w:rPr>
      </w:pPr>
    </w:p>
    <w:p w:rsidR="00CA7A58" w:rsidRPr="00AB331B" w:rsidRDefault="00CA7A58" w:rsidP="00AB331B">
      <w:pPr>
        <w:spacing w:after="0" w:line="240" w:lineRule="auto"/>
        <w:rPr>
          <w:rFonts w:ascii="Times New Roman" w:hAnsi="Times New Roman" w:cs="Times New Roman"/>
          <w:sz w:val="24"/>
          <w:szCs w:val="24"/>
        </w:rPr>
      </w:pPr>
      <w:r w:rsidRPr="00AB331B">
        <w:rPr>
          <w:rFonts w:ascii="Times New Roman" w:hAnsi="Times New Roman" w:cs="Times New Roman"/>
          <w:sz w:val="24"/>
          <w:szCs w:val="24"/>
        </w:rPr>
        <w:t>HIGH COURT OF ZIMBABWE</w:t>
      </w:r>
    </w:p>
    <w:p w:rsidR="00CA7A58" w:rsidRPr="00AB331B" w:rsidRDefault="001A6FB4" w:rsidP="00AB331B">
      <w:pPr>
        <w:spacing w:after="0" w:line="240" w:lineRule="auto"/>
        <w:rPr>
          <w:rFonts w:ascii="Times New Roman" w:hAnsi="Times New Roman" w:cs="Times New Roman"/>
          <w:sz w:val="24"/>
          <w:szCs w:val="24"/>
        </w:rPr>
      </w:pPr>
      <w:r>
        <w:rPr>
          <w:rFonts w:ascii="Times New Roman" w:hAnsi="Times New Roman" w:cs="Times New Roman"/>
          <w:sz w:val="24"/>
          <w:szCs w:val="24"/>
        </w:rPr>
        <w:t>CHINAMORA</w:t>
      </w:r>
      <w:r w:rsidR="00CA7A58" w:rsidRPr="00AB331B">
        <w:rPr>
          <w:rFonts w:ascii="Times New Roman" w:hAnsi="Times New Roman" w:cs="Times New Roman"/>
          <w:sz w:val="24"/>
          <w:szCs w:val="24"/>
        </w:rPr>
        <w:t xml:space="preserve"> J</w:t>
      </w:r>
    </w:p>
    <w:p w:rsidR="00CA7A58" w:rsidRPr="00AB331B" w:rsidRDefault="00FA11FD" w:rsidP="00AB33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617FCF">
        <w:rPr>
          <w:rFonts w:ascii="Times New Roman" w:hAnsi="Times New Roman" w:cs="Times New Roman"/>
          <w:sz w:val="24"/>
          <w:szCs w:val="24"/>
        </w:rPr>
        <w:t>28</w:t>
      </w:r>
      <w:r>
        <w:rPr>
          <w:rFonts w:ascii="Times New Roman" w:hAnsi="Times New Roman" w:cs="Times New Roman"/>
          <w:sz w:val="24"/>
          <w:szCs w:val="24"/>
        </w:rPr>
        <w:t xml:space="preserve"> December</w:t>
      </w:r>
      <w:r w:rsidR="00CA7A58" w:rsidRPr="00AB331B">
        <w:rPr>
          <w:rFonts w:ascii="Times New Roman" w:hAnsi="Times New Roman" w:cs="Times New Roman"/>
          <w:sz w:val="24"/>
          <w:szCs w:val="24"/>
        </w:rPr>
        <w:t xml:space="preserve"> 2022</w:t>
      </w:r>
      <w:r w:rsidR="00942275">
        <w:rPr>
          <w:rFonts w:ascii="Times New Roman" w:hAnsi="Times New Roman" w:cs="Times New Roman"/>
          <w:sz w:val="24"/>
          <w:szCs w:val="24"/>
        </w:rPr>
        <w:t xml:space="preserve"> and 10</w:t>
      </w:r>
      <w:r>
        <w:rPr>
          <w:rFonts w:ascii="Times New Roman" w:hAnsi="Times New Roman" w:cs="Times New Roman"/>
          <w:sz w:val="24"/>
          <w:szCs w:val="24"/>
        </w:rPr>
        <w:t xml:space="preserve"> January 2023</w:t>
      </w:r>
    </w:p>
    <w:p w:rsidR="00FA6DD8" w:rsidRPr="004637E2" w:rsidRDefault="00FA6DD8" w:rsidP="00D25F61">
      <w:pPr>
        <w:spacing w:line="360" w:lineRule="auto"/>
        <w:rPr>
          <w:rFonts w:ascii="Times New Roman" w:hAnsi="Times New Roman" w:cs="Times New Roman"/>
          <w:sz w:val="8"/>
          <w:szCs w:val="8"/>
        </w:rPr>
      </w:pPr>
    </w:p>
    <w:p w:rsidR="004637E2" w:rsidRPr="00FA6DD8" w:rsidRDefault="004637E2" w:rsidP="00D25F61">
      <w:pPr>
        <w:spacing w:line="360" w:lineRule="auto"/>
        <w:rPr>
          <w:rFonts w:ascii="Times New Roman" w:hAnsi="Times New Roman" w:cs="Times New Roman"/>
          <w:sz w:val="4"/>
          <w:szCs w:val="4"/>
        </w:rPr>
      </w:pPr>
    </w:p>
    <w:p w:rsidR="00AB331B" w:rsidRPr="00AB331B" w:rsidRDefault="00CA7A58" w:rsidP="00D25F61">
      <w:pPr>
        <w:spacing w:line="360" w:lineRule="auto"/>
        <w:rPr>
          <w:rFonts w:ascii="Times New Roman" w:hAnsi="Times New Roman" w:cs="Times New Roman"/>
          <w:b/>
          <w:sz w:val="24"/>
          <w:szCs w:val="24"/>
        </w:rPr>
      </w:pPr>
      <w:r w:rsidRPr="00AB331B">
        <w:rPr>
          <w:rFonts w:ascii="Times New Roman" w:hAnsi="Times New Roman" w:cs="Times New Roman"/>
          <w:b/>
          <w:sz w:val="24"/>
          <w:szCs w:val="24"/>
        </w:rPr>
        <w:t>Urgent Chamber Application</w:t>
      </w:r>
    </w:p>
    <w:p w:rsidR="00FA6DD8" w:rsidRPr="00E76D51" w:rsidRDefault="00FA6DD8" w:rsidP="00AB331B">
      <w:pPr>
        <w:spacing w:after="0" w:line="240" w:lineRule="auto"/>
        <w:rPr>
          <w:rFonts w:ascii="Times New Roman" w:hAnsi="Times New Roman" w:cs="Times New Roman"/>
          <w:sz w:val="6"/>
          <w:szCs w:val="6"/>
        </w:rPr>
      </w:pPr>
    </w:p>
    <w:p w:rsidR="00FA6DD8" w:rsidRDefault="00FA6DD8" w:rsidP="00AB331B">
      <w:pPr>
        <w:spacing w:after="0" w:line="240" w:lineRule="auto"/>
        <w:rPr>
          <w:rFonts w:ascii="Times New Roman" w:hAnsi="Times New Roman" w:cs="Times New Roman"/>
          <w:sz w:val="24"/>
          <w:szCs w:val="24"/>
        </w:rPr>
      </w:pPr>
    </w:p>
    <w:p w:rsidR="00CA7A58" w:rsidRPr="00AB331B" w:rsidRDefault="000E63C6" w:rsidP="00AB331B">
      <w:pPr>
        <w:spacing w:after="0" w:line="240" w:lineRule="auto"/>
        <w:rPr>
          <w:rFonts w:ascii="Times New Roman" w:hAnsi="Times New Roman" w:cs="Times New Roman"/>
          <w:sz w:val="24"/>
          <w:szCs w:val="24"/>
        </w:rPr>
      </w:pPr>
      <w:r w:rsidRPr="000E63C6">
        <w:rPr>
          <w:rFonts w:ascii="Times New Roman" w:hAnsi="Times New Roman" w:cs="Times New Roman"/>
          <w:i/>
          <w:sz w:val="24"/>
          <w:szCs w:val="24"/>
        </w:rPr>
        <w:t>Mr S Ushewokunze</w:t>
      </w:r>
      <w:r w:rsidR="00CA7A58" w:rsidRPr="00AB331B">
        <w:rPr>
          <w:rFonts w:ascii="Times New Roman" w:hAnsi="Times New Roman" w:cs="Times New Roman"/>
          <w:sz w:val="24"/>
          <w:szCs w:val="24"/>
        </w:rPr>
        <w:t>, for the applicant</w:t>
      </w:r>
    </w:p>
    <w:p w:rsidR="00CA7A58" w:rsidRPr="00AB331B" w:rsidRDefault="000E63C6" w:rsidP="00AB331B">
      <w:pPr>
        <w:spacing w:after="0" w:line="240" w:lineRule="auto"/>
        <w:rPr>
          <w:rFonts w:ascii="Times New Roman" w:hAnsi="Times New Roman" w:cs="Times New Roman"/>
          <w:sz w:val="24"/>
          <w:szCs w:val="24"/>
        </w:rPr>
      </w:pPr>
      <w:r w:rsidRPr="000E63C6">
        <w:rPr>
          <w:rFonts w:ascii="Times New Roman" w:hAnsi="Times New Roman" w:cs="Times New Roman"/>
          <w:i/>
          <w:sz w:val="24"/>
          <w:szCs w:val="24"/>
        </w:rPr>
        <w:t>Mr K Manika</w:t>
      </w:r>
      <w:r w:rsidR="00CA7A58" w:rsidRPr="00AB331B">
        <w:rPr>
          <w:rFonts w:ascii="Times New Roman" w:hAnsi="Times New Roman" w:cs="Times New Roman"/>
          <w:sz w:val="24"/>
          <w:szCs w:val="24"/>
        </w:rPr>
        <w:t xml:space="preserve">, </w:t>
      </w:r>
      <w:r w:rsidR="00FA2107" w:rsidRPr="00AB331B">
        <w:rPr>
          <w:rFonts w:ascii="Times New Roman" w:hAnsi="Times New Roman" w:cs="Times New Roman"/>
          <w:sz w:val="24"/>
          <w:szCs w:val="24"/>
        </w:rPr>
        <w:t xml:space="preserve">for </w:t>
      </w:r>
      <w:r w:rsidR="00FA2107">
        <w:rPr>
          <w:rFonts w:ascii="Times New Roman" w:hAnsi="Times New Roman" w:cs="Times New Roman"/>
          <w:sz w:val="24"/>
          <w:szCs w:val="24"/>
        </w:rPr>
        <w:t xml:space="preserve">the </w:t>
      </w:r>
      <w:r w:rsidR="00CA7A58" w:rsidRPr="00AB331B">
        <w:rPr>
          <w:rFonts w:ascii="Times New Roman" w:hAnsi="Times New Roman" w:cs="Times New Roman"/>
          <w:sz w:val="24"/>
          <w:szCs w:val="24"/>
        </w:rPr>
        <w:t>respondent</w:t>
      </w:r>
    </w:p>
    <w:p w:rsidR="00CA7A58" w:rsidRPr="00AB331B" w:rsidRDefault="00CA7A58" w:rsidP="00D25F61">
      <w:pPr>
        <w:spacing w:line="360" w:lineRule="auto"/>
        <w:rPr>
          <w:rFonts w:ascii="Times New Roman" w:hAnsi="Times New Roman" w:cs="Times New Roman"/>
          <w:sz w:val="24"/>
          <w:szCs w:val="24"/>
        </w:rPr>
      </w:pPr>
    </w:p>
    <w:p w:rsidR="00F06C86" w:rsidRDefault="00E81650" w:rsidP="006B6AA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F06C86">
        <w:rPr>
          <w:rFonts w:ascii="Times New Roman" w:hAnsi="Times New Roman" w:cs="Times New Roman"/>
          <w:b/>
          <w:sz w:val="24"/>
          <w:szCs w:val="24"/>
        </w:rPr>
        <w:t>CHINAMORA</w:t>
      </w:r>
      <w:r w:rsidR="00AB331B" w:rsidRPr="00AB331B">
        <w:rPr>
          <w:rFonts w:ascii="Times New Roman" w:hAnsi="Times New Roman" w:cs="Times New Roman"/>
          <w:b/>
          <w:sz w:val="24"/>
          <w:szCs w:val="24"/>
        </w:rPr>
        <w:t xml:space="preserve"> J:</w:t>
      </w:r>
      <w:r w:rsidR="00AB331B">
        <w:rPr>
          <w:rFonts w:ascii="Times New Roman" w:hAnsi="Times New Roman" w:cs="Times New Roman"/>
          <w:sz w:val="24"/>
          <w:szCs w:val="24"/>
        </w:rPr>
        <w:t xml:space="preserve">   </w:t>
      </w:r>
    </w:p>
    <w:p w:rsidR="00F06C86" w:rsidRPr="00F06C86" w:rsidRDefault="00F06C86" w:rsidP="006B6AAE">
      <w:pPr>
        <w:spacing w:after="0" w:line="360" w:lineRule="auto"/>
        <w:jc w:val="both"/>
        <w:rPr>
          <w:rFonts w:ascii="Times New Roman" w:hAnsi="Times New Roman" w:cs="Times New Roman"/>
          <w:b/>
          <w:sz w:val="24"/>
          <w:szCs w:val="24"/>
        </w:rPr>
      </w:pPr>
      <w:r w:rsidRPr="00F06C86">
        <w:rPr>
          <w:rFonts w:ascii="Times New Roman" w:hAnsi="Times New Roman" w:cs="Times New Roman"/>
          <w:b/>
          <w:sz w:val="24"/>
          <w:szCs w:val="24"/>
        </w:rPr>
        <w:t>Background</w:t>
      </w:r>
    </w:p>
    <w:p w:rsidR="002D75AF" w:rsidRDefault="00CA7A58" w:rsidP="002D75AF">
      <w:pPr>
        <w:spacing w:after="0" w:line="360" w:lineRule="auto"/>
        <w:ind w:firstLine="720"/>
        <w:jc w:val="both"/>
        <w:rPr>
          <w:rFonts w:ascii="Times New Roman" w:hAnsi="Times New Roman" w:cs="Times New Roman"/>
          <w:sz w:val="24"/>
          <w:szCs w:val="24"/>
        </w:rPr>
      </w:pPr>
      <w:r w:rsidRPr="00AB331B">
        <w:rPr>
          <w:rFonts w:ascii="Times New Roman" w:hAnsi="Times New Roman" w:cs="Times New Roman"/>
          <w:sz w:val="24"/>
          <w:szCs w:val="24"/>
        </w:rPr>
        <w:t>This is an urgent chamb</w:t>
      </w:r>
      <w:r w:rsidR="00E76D51">
        <w:rPr>
          <w:rFonts w:ascii="Times New Roman" w:hAnsi="Times New Roman" w:cs="Times New Roman"/>
          <w:sz w:val="24"/>
          <w:szCs w:val="24"/>
        </w:rPr>
        <w:t>er application based on spoliat</w:t>
      </w:r>
      <w:r w:rsidR="00107F22">
        <w:rPr>
          <w:rFonts w:ascii="Times New Roman" w:hAnsi="Times New Roman" w:cs="Times New Roman"/>
          <w:sz w:val="24"/>
          <w:szCs w:val="24"/>
        </w:rPr>
        <w:t>ion as well as breach of s</w:t>
      </w:r>
      <w:r w:rsidR="00E76D51">
        <w:rPr>
          <w:rFonts w:ascii="Times New Roman" w:hAnsi="Times New Roman" w:cs="Times New Roman"/>
          <w:sz w:val="24"/>
          <w:szCs w:val="24"/>
        </w:rPr>
        <w:t xml:space="preserve"> 68</w:t>
      </w:r>
      <w:r w:rsidR="00107F22">
        <w:rPr>
          <w:rFonts w:ascii="Times New Roman" w:hAnsi="Times New Roman" w:cs="Times New Roman"/>
          <w:sz w:val="24"/>
          <w:szCs w:val="24"/>
        </w:rPr>
        <w:t xml:space="preserve"> of the Constitution and s</w:t>
      </w:r>
      <w:r w:rsidR="00E76D51">
        <w:rPr>
          <w:rFonts w:ascii="Times New Roman" w:hAnsi="Times New Roman" w:cs="Times New Roman"/>
          <w:sz w:val="24"/>
          <w:szCs w:val="24"/>
        </w:rPr>
        <w:t xml:space="preserve"> 3 (1) (a) of the AJA</w:t>
      </w:r>
      <w:r w:rsidR="00D83005">
        <w:rPr>
          <w:rFonts w:ascii="Times New Roman" w:hAnsi="Times New Roman" w:cs="Times New Roman"/>
          <w:sz w:val="24"/>
          <w:szCs w:val="24"/>
        </w:rPr>
        <w:t xml:space="preserve">. </w:t>
      </w:r>
      <w:r w:rsidR="00E12FAA">
        <w:rPr>
          <w:rFonts w:ascii="Times New Roman" w:hAnsi="Times New Roman" w:cs="Times New Roman"/>
          <w:sz w:val="24"/>
          <w:szCs w:val="24"/>
        </w:rPr>
        <w:t>It bears giving the</w:t>
      </w:r>
      <w:r w:rsidR="006E4761" w:rsidRPr="00AB331B">
        <w:rPr>
          <w:rFonts w:ascii="Times New Roman" w:hAnsi="Times New Roman" w:cs="Times New Roman"/>
          <w:sz w:val="24"/>
          <w:szCs w:val="24"/>
        </w:rPr>
        <w:t xml:space="preserve"> backgroun</w:t>
      </w:r>
      <w:r w:rsidR="00E12FAA">
        <w:rPr>
          <w:rFonts w:ascii="Times New Roman" w:hAnsi="Times New Roman" w:cs="Times New Roman"/>
          <w:sz w:val="24"/>
          <w:szCs w:val="24"/>
        </w:rPr>
        <w:t xml:space="preserve">d to this </w:t>
      </w:r>
      <w:r w:rsidR="006F3E2B">
        <w:rPr>
          <w:rFonts w:ascii="Times New Roman" w:hAnsi="Times New Roman" w:cs="Times New Roman"/>
          <w:sz w:val="24"/>
          <w:szCs w:val="24"/>
        </w:rPr>
        <w:t xml:space="preserve">matter so as to put the relief being sought </w:t>
      </w:r>
      <w:r w:rsidR="004473EE">
        <w:rPr>
          <w:rFonts w:ascii="Times New Roman" w:hAnsi="Times New Roman" w:cs="Times New Roman"/>
          <w:sz w:val="24"/>
          <w:szCs w:val="24"/>
        </w:rPr>
        <w:t>in context.</w:t>
      </w:r>
      <w:r w:rsidR="006F3E2B">
        <w:rPr>
          <w:rFonts w:ascii="Times New Roman" w:hAnsi="Times New Roman" w:cs="Times New Roman"/>
          <w:sz w:val="24"/>
          <w:szCs w:val="24"/>
        </w:rPr>
        <w:t xml:space="preserve"> </w:t>
      </w:r>
      <w:r w:rsidR="00C6219C">
        <w:rPr>
          <w:rFonts w:ascii="Times New Roman" w:hAnsi="Times New Roman" w:cs="Times New Roman"/>
          <w:sz w:val="24"/>
          <w:szCs w:val="24"/>
        </w:rPr>
        <w:t xml:space="preserve">The applicant is a transporter </w:t>
      </w:r>
      <w:r w:rsidR="00485832">
        <w:rPr>
          <w:rFonts w:ascii="Times New Roman" w:hAnsi="Times New Roman" w:cs="Times New Roman"/>
          <w:sz w:val="24"/>
          <w:szCs w:val="24"/>
        </w:rPr>
        <w:t>whose business involves ferrying various goods including petrol and diesel.</w:t>
      </w:r>
      <w:r w:rsidR="00D93629">
        <w:rPr>
          <w:rFonts w:ascii="Times New Roman" w:hAnsi="Times New Roman" w:cs="Times New Roman"/>
          <w:sz w:val="24"/>
          <w:szCs w:val="24"/>
        </w:rPr>
        <w:t xml:space="preserve"> Sometime at the end of </w:t>
      </w:r>
      <w:r w:rsidR="00D316B3">
        <w:rPr>
          <w:rFonts w:ascii="Times New Roman" w:hAnsi="Times New Roman" w:cs="Times New Roman"/>
          <w:sz w:val="24"/>
          <w:szCs w:val="24"/>
        </w:rPr>
        <w:t xml:space="preserve">November 2022, the applicant </w:t>
      </w:r>
      <w:r w:rsidR="00D93629">
        <w:rPr>
          <w:rFonts w:ascii="Times New Roman" w:hAnsi="Times New Roman" w:cs="Times New Roman"/>
          <w:sz w:val="24"/>
          <w:szCs w:val="24"/>
        </w:rPr>
        <w:t xml:space="preserve">was contracted </w:t>
      </w:r>
      <w:r w:rsidR="00093E4F">
        <w:rPr>
          <w:rFonts w:ascii="Times New Roman" w:hAnsi="Times New Roman" w:cs="Times New Roman"/>
          <w:sz w:val="24"/>
          <w:szCs w:val="24"/>
        </w:rPr>
        <w:t>by Pioneer Petroleum &amp; Gas Limited</w:t>
      </w:r>
      <w:r w:rsidR="00122721">
        <w:rPr>
          <w:rFonts w:ascii="Times New Roman" w:hAnsi="Times New Roman" w:cs="Times New Roman"/>
          <w:sz w:val="24"/>
          <w:szCs w:val="24"/>
        </w:rPr>
        <w:t>,</w:t>
      </w:r>
      <w:r w:rsidR="00093E4F">
        <w:rPr>
          <w:rFonts w:ascii="Times New Roman" w:hAnsi="Times New Roman" w:cs="Times New Roman"/>
          <w:sz w:val="24"/>
          <w:szCs w:val="24"/>
        </w:rPr>
        <w:t xml:space="preserve"> in Zambia</w:t>
      </w:r>
      <w:r w:rsidR="00122721">
        <w:rPr>
          <w:rFonts w:ascii="Times New Roman" w:hAnsi="Times New Roman" w:cs="Times New Roman"/>
          <w:sz w:val="24"/>
          <w:szCs w:val="24"/>
        </w:rPr>
        <w:t>,</w:t>
      </w:r>
      <w:r w:rsidR="00093E4F">
        <w:rPr>
          <w:rFonts w:ascii="Times New Roman" w:hAnsi="Times New Roman" w:cs="Times New Roman"/>
          <w:sz w:val="24"/>
          <w:szCs w:val="24"/>
        </w:rPr>
        <w:t xml:space="preserve"> </w:t>
      </w:r>
      <w:r w:rsidR="00122721">
        <w:rPr>
          <w:rFonts w:ascii="Times New Roman" w:hAnsi="Times New Roman" w:cs="Times New Roman"/>
          <w:sz w:val="24"/>
          <w:szCs w:val="24"/>
        </w:rPr>
        <w:t xml:space="preserve">to carry </w:t>
      </w:r>
      <w:r w:rsidR="00070975">
        <w:rPr>
          <w:rFonts w:ascii="Times New Roman" w:hAnsi="Times New Roman" w:cs="Times New Roman"/>
          <w:sz w:val="24"/>
          <w:szCs w:val="24"/>
        </w:rPr>
        <w:t xml:space="preserve">petrol </w:t>
      </w:r>
      <w:r w:rsidR="00D93629">
        <w:rPr>
          <w:rFonts w:ascii="Times New Roman" w:hAnsi="Times New Roman" w:cs="Times New Roman"/>
          <w:sz w:val="24"/>
          <w:szCs w:val="24"/>
        </w:rPr>
        <w:t>from Mozambique to Zambi</w:t>
      </w:r>
      <w:r w:rsidR="00B34E53">
        <w:rPr>
          <w:rFonts w:ascii="Times New Roman" w:hAnsi="Times New Roman" w:cs="Times New Roman"/>
          <w:sz w:val="24"/>
          <w:szCs w:val="24"/>
        </w:rPr>
        <w:t>a via Zimbabwe, w</w:t>
      </w:r>
      <w:r w:rsidR="001D2860">
        <w:rPr>
          <w:rFonts w:ascii="Times New Roman" w:hAnsi="Times New Roman" w:cs="Times New Roman"/>
          <w:sz w:val="24"/>
          <w:szCs w:val="24"/>
        </w:rPr>
        <w:t>hich consignment was ferried in</w:t>
      </w:r>
      <w:r w:rsidR="00B34E53">
        <w:rPr>
          <w:rFonts w:ascii="Times New Roman" w:hAnsi="Times New Roman" w:cs="Times New Roman"/>
          <w:sz w:val="24"/>
          <w:szCs w:val="24"/>
        </w:rPr>
        <w:t xml:space="preserve"> two trucks.</w:t>
      </w:r>
      <w:r w:rsidR="00CA3D39">
        <w:rPr>
          <w:rFonts w:ascii="Times New Roman" w:hAnsi="Times New Roman" w:cs="Times New Roman"/>
          <w:sz w:val="24"/>
          <w:szCs w:val="24"/>
        </w:rPr>
        <w:t xml:space="preserve"> </w:t>
      </w:r>
      <w:r w:rsidR="002845CA">
        <w:rPr>
          <w:rFonts w:ascii="Times New Roman" w:hAnsi="Times New Roman" w:cs="Times New Roman"/>
          <w:sz w:val="24"/>
          <w:szCs w:val="24"/>
        </w:rPr>
        <w:t xml:space="preserve">The trucks entered Zimbabwe on 20 November 2022 </w:t>
      </w:r>
      <w:r w:rsidR="00ED1350">
        <w:rPr>
          <w:rFonts w:ascii="Times New Roman" w:hAnsi="Times New Roman" w:cs="Times New Roman"/>
          <w:sz w:val="24"/>
          <w:szCs w:val="24"/>
        </w:rPr>
        <w:t xml:space="preserve">through Forbes Border Post (Mutare). </w:t>
      </w:r>
      <w:r w:rsidR="00875D60">
        <w:rPr>
          <w:rFonts w:ascii="Times New Roman" w:hAnsi="Times New Roman" w:cs="Times New Roman"/>
          <w:sz w:val="24"/>
          <w:szCs w:val="24"/>
        </w:rPr>
        <w:t xml:space="preserve">Bills of Entry </w:t>
      </w:r>
      <w:r w:rsidR="0012108C">
        <w:rPr>
          <w:rFonts w:ascii="Times New Roman" w:hAnsi="Times New Roman" w:cs="Times New Roman"/>
          <w:sz w:val="24"/>
          <w:szCs w:val="24"/>
        </w:rPr>
        <w:t>marked Annexure “A” and Annexure “B”</w:t>
      </w:r>
      <w:r w:rsidR="00746972">
        <w:rPr>
          <w:rFonts w:ascii="Times New Roman" w:hAnsi="Times New Roman" w:cs="Times New Roman"/>
          <w:sz w:val="24"/>
          <w:szCs w:val="24"/>
        </w:rPr>
        <w:t>, which appear on pp</w:t>
      </w:r>
      <w:r w:rsidR="00A832B4">
        <w:rPr>
          <w:rFonts w:ascii="Times New Roman" w:hAnsi="Times New Roman" w:cs="Times New Roman"/>
          <w:sz w:val="24"/>
          <w:szCs w:val="24"/>
        </w:rPr>
        <w:t xml:space="preserve"> 14 to 25 of t</w:t>
      </w:r>
      <w:r w:rsidR="00DD02D0">
        <w:rPr>
          <w:rFonts w:ascii="Times New Roman" w:hAnsi="Times New Roman" w:cs="Times New Roman"/>
          <w:sz w:val="24"/>
          <w:szCs w:val="24"/>
        </w:rPr>
        <w:t>he record were completed declaring the trucks and fuel were transiting to Zambia</w:t>
      </w:r>
      <w:r w:rsidR="001D1F1B">
        <w:rPr>
          <w:rFonts w:ascii="Times New Roman" w:hAnsi="Times New Roman" w:cs="Times New Roman"/>
          <w:sz w:val="24"/>
          <w:szCs w:val="24"/>
        </w:rPr>
        <w:t>.</w:t>
      </w:r>
      <w:r w:rsidR="0080223D">
        <w:rPr>
          <w:rFonts w:ascii="Times New Roman" w:hAnsi="Times New Roman" w:cs="Times New Roman"/>
          <w:sz w:val="24"/>
          <w:szCs w:val="24"/>
        </w:rPr>
        <w:t xml:space="preserve"> The vehicles proceeded to Chirundu </w:t>
      </w:r>
      <w:r w:rsidR="00070975">
        <w:rPr>
          <w:rFonts w:ascii="Times New Roman" w:hAnsi="Times New Roman" w:cs="Times New Roman"/>
          <w:sz w:val="24"/>
          <w:szCs w:val="24"/>
        </w:rPr>
        <w:t xml:space="preserve">and, on 1 December 2022, </w:t>
      </w:r>
      <w:r w:rsidR="00490D56">
        <w:rPr>
          <w:rFonts w:ascii="Times New Roman" w:hAnsi="Times New Roman" w:cs="Times New Roman"/>
          <w:sz w:val="24"/>
          <w:szCs w:val="24"/>
        </w:rPr>
        <w:t xml:space="preserve">fuel amounting to 53,664 litres was </w:t>
      </w:r>
      <w:r w:rsidR="00304ADE">
        <w:rPr>
          <w:rFonts w:ascii="Times New Roman" w:hAnsi="Times New Roman" w:cs="Times New Roman"/>
          <w:sz w:val="24"/>
          <w:szCs w:val="24"/>
        </w:rPr>
        <w:t>seized by</w:t>
      </w:r>
      <w:r w:rsidR="009268EC">
        <w:rPr>
          <w:rFonts w:ascii="Times New Roman" w:hAnsi="Times New Roman" w:cs="Times New Roman"/>
          <w:sz w:val="24"/>
          <w:szCs w:val="24"/>
        </w:rPr>
        <w:t xml:space="preserve"> respondent </w:t>
      </w:r>
      <w:r w:rsidR="00304ADE">
        <w:rPr>
          <w:rFonts w:ascii="Times New Roman" w:hAnsi="Times New Roman" w:cs="Times New Roman"/>
          <w:sz w:val="24"/>
          <w:szCs w:val="24"/>
        </w:rPr>
        <w:t>under Notice of Seizure No. 00</w:t>
      </w:r>
      <w:r w:rsidR="00034CFE">
        <w:rPr>
          <w:rFonts w:ascii="Times New Roman" w:hAnsi="Times New Roman" w:cs="Times New Roman"/>
          <w:sz w:val="24"/>
          <w:szCs w:val="24"/>
        </w:rPr>
        <w:t>5685</w:t>
      </w:r>
      <w:r w:rsidR="00304ADE">
        <w:rPr>
          <w:rFonts w:ascii="Times New Roman" w:hAnsi="Times New Roman" w:cs="Times New Roman"/>
          <w:sz w:val="24"/>
          <w:szCs w:val="24"/>
        </w:rPr>
        <w:t xml:space="preserve"> </w:t>
      </w:r>
      <w:r w:rsidR="00DF0CFF">
        <w:rPr>
          <w:rFonts w:ascii="Times New Roman" w:hAnsi="Times New Roman" w:cs="Times New Roman"/>
          <w:sz w:val="24"/>
          <w:szCs w:val="24"/>
        </w:rPr>
        <w:t>L (</w:t>
      </w:r>
      <w:r w:rsidR="0049296E">
        <w:rPr>
          <w:rFonts w:ascii="Times New Roman" w:hAnsi="Times New Roman" w:cs="Times New Roman"/>
          <w:sz w:val="24"/>
          <w:szCs w:val="24"/>
        </w:rPr>
        <w:t>Annexure “C”</w:t>
      </w:r>
      <w:r w:rsidR="00DF0CFF">
        <w:rPr>
          <w:rFonts w:ascii="Times New Roman" w:hAnsi="Times New Roman" w:cs="Times New Roman"/>
          <w:sz w:val="24"/>
          <w:szCs w:val="24"/>
        </w:rPr>
        <w:t>)</w:t>
      </w:r>
      <w:r w:rsidR="0049296E">
        <w:rPr>
          <w:rFonts w:ascii="Times New Roman" w:hAnsi="Times New Roman" w:cs="Times New Roman"/>
          <w:sz w:val="24"/>
          <w:szCs w:val="24"/>
        </w:rPr>
        <w:t xml:space="preserve"> </w:t>
      </w:r>
      <w:r w:rsidR="000F070D">
        <w:rPr>
          <w:rFonts w:ascii="Times New Roman" w:hAnsi="Times New Roman" w:cs="Times New Roman"/>
          <w:sz w:val="24"/>
          <w:szCs w:val="24"/>
        </w:rPr>
        <w:t>on p</w:t>
      </w:r>
      <w:r w:rsidR="00C64E22">
        <w:rPr>
          <w:rFonts w:ascii="Times New Roman" w:hAnsi="Times New Roman" w:cs="Times New Roman"/>
          <w:sz w:val="24"/>
          <w:szCs w:val="24"/>
        </w:rPr>
        <w:t xml:space="preserve"> 26 of the recor</w:t>
      </w:r>
      <w:r w:rsidR="00DA1EB3">
        <w:rPr>
          <w:rFonts w:ascii="Times New Roman" w:hAnsi="Times New Roman" w:cs="Times New Roman"/>
          <w:sz w:val="24"/>
          <w:szCs w:val="24"/>
        </w:rPr>
        <w:t>d. A</w:t>
      </w:r>
      <w:r w:rsidR="00F41053">
        <w:rPr>
          <w:rFonts w:ascii="Times New Roman" w:hAnsi="Times New Roman" w:cs="Times New Roman"/>
          <w:sz w:val="24"/>
          <w:szCs w:val="24"/>
        </w:rPr>
        <w:t xml:space="preserve">n additional </w:t>
      </w:r>
      <w:r w:rsidR="00CC1099">
        <w:rPr>
          <w:rFonts w:ascii="Times New Roman" w:hAnsi="Times New Roman" w:cs="Times New Roman"/>
          <w:sz w:val="24"/>
          <w:szCs w:val="24"/>
        </w:rPr>
        <w:t xml:space="preserve">53,868 litres </w:t>
      </w:r>
      <w:r w:rsidR="00DA1EB3">
        <w:rPr>
          <w:rFonts w:ascii="Times New Roman" w:hAnsi="Times New Roman" w:cs="Times New Roman"/>
          <w:sz w:val="24"/>
          <w:szCs w:val="24"/>
        </w:rPr>
        <w:t xml:space="preserve">of petrol was seized under </w:t>
      </w:r>
      <w:r w:rsidR="00034CFE">
        <w:rPr>
          <w:rFonts w:ascii="Times New Roman" w:hAnsi="Times New Roman" w:cs="Times New Roman"/>
          <w:sz w:val="24"/>
          <w:szCs w:val="24"/>
        </w:rPr>
        <w:t xml:space="preserve">Notice of Seizure </w:t>
      </w:r>
      <w:r w:rsidR="000E37B6">
        <w:rPr>
          <w:rFonts w:ascii="Times New Roman" w:hAnsi="Times New Roman" w:cs="Times New Roman"/>
          <w:sz w:val="24"/>
          <w:szCs w:val="24"/>
        </w:rPr>
        <w:t>No. 005686L</w:t>
      </w:r>
      <w:r w:rsidR="00DF0CFF">
        <w:rPr>
          <w:rFonts w:ascii="Times New Roman" w:hAnsi="Times New Roman" w:cs="Times New Roman"/>
          <w:sz w:val="24"/>
          <w:szCs w:val="24"/>
        </w:rPr>
        <w:t xml:space="preserve"> (</w:t>
      </w:r>
      <w:r w:rsidR="00DA1EB3">
        <w:rPr>
          <w:rFonts w:ascii="Times New Roman" w:hAnsi="Times New Roman" w:cs="Times New Roman"/>
          <w:sz w:val="24"/>
          <w:szCs w:val="24"/>
        </w:rPr>
        <w:t>Annexure “D</w:t>
      </w:r>
      <w:r w:rsidR="00DF0CFF">
        <w:rPr>
          <w:rFonts w:ascii="Times New Roman" w:hAnsi="Times New Roman" w:cs="Times New Roman"/>
          <w:sz w:val="24"/>
          <w:szCs w:val="24"/>
        </w:rPr>
        <w:t>”)</w:t>
      </w:r>
      <w:r w:rsidR="00E8343E">
        <w:rPr>
          <w:rFonts w:ascii="Times New Roman" w:hAnsi="Times New Roman" w:cs="Times New Roman"/>
          <w:sz w:val="24"/>
          <w:szCs w:val="24"/>
        </w:rPr>
        <w:t xml:space="preserve"> which appears</w:t>
      </w:r>
      <w:r w:rsidR="000E37B6">
        <w:rPr>
          <w:rFonts w:ascii="Times New Roman" w:hAnsi="Times New Roman" w:cs="Times New Roman"/>
          <w:sz w:val="24"/>
          <w:szCs w:val="24"/>
        </w:rPr>
        <w:t xml:space="preserve"> </w:t>
      </w:r>
      <w:r w:rsidR="000F070D">
        <w:rPr>
          <w:rFonts w:ascii="Times New Roman" w:hAnsi="Times New Roman" w:cs="Times New Roman"/>
          <w:sz w:val="24"/>
          <w:szCs w:val="24"/>
        </w:rPr>
        <w:t>on p</w:t>
      </w:r>
      <w:r w:rsidR="00DA1EB3">
        <w:rPr>
          <w:rFonts w:ascii="Times New Roman" w:hAnsi="Times New Roman" w:cs="Times New Roman"/>
          <w:sz w:val="24"/>
          <w:szCs w:val="24"/>
        </w:rPr>
        <w:t xml:space="preserve"> 27</w:t>
      </w:r>
      <w:r w:rsidR="00E8343E">
        <w:rPr>
          <w:rFonts w:ascii="Times New Roman" w:hAnsi="Times New Roman" w:cs="Times New Roman"/>
          <w:sz w:val="24"/>
          <w:szCs w:val="24"/>
        </w:rPr>
        <w:t xml:space="preserve"> of the record.</w:t>
      </w:r>
      <w:r w:rsidR="0049510A">
        <w:rPr>
          <w:rFonts w:ascii="Times New Roman" w:hAnsi="Times New Roman" w:cs="Times New Roman"/>
          <w:sz w:val="24"/>
          <w:szCs w:val="24"/>
        </w:rPr>
        <w:t xml:space="preserve"> The horse and trailers were also seized under </w:t>
      </w:r>
      <w:r w:rsidR="00296538">
        <w:rPr>
          <w:rFonts w:ascii="Times New Roman" w:hAnsi="Times New Roman" w:cs="Times New Roman"/>
          <w:sz w:val="24"/>
          <w:szCs w:val="24"/>
        </w:rPr>
        <w:t>Notices of Seizure Nos 005687L (Annexure “</w:t>
      </w:r>
      <w:r w:rsidR="00E30204">
        <w:rPr>
          <w:rFonts w:ascii="Times New Roman" w:hAnsi="Times New Roman" w:cs="Times New Roman"/>
          <w:sz w:val="24"/>
          <w:szCs w:val="24"/>
        </w:rPr>
        <w:t>E”</w:t>
      </w:r>
      <w:r w:rsidR="008E3BCD">
        <w:rPr>
          <w:rFonts w:ascii="Times New Roman" w:hAnsi="Times New Roman" w:cs="Times New Roman"/>
          <w:sz w:val="24"/>
          <w:szCs w:val="24"/>
        </w:rPr>
        <w:t>) and 005688L (Annexure “</w:t>
      </w:r>
      <w:r w:rsidR="00696D9A">
        <w:rPr>
          <w:rFonts w:ascii="Times New Roman" w:hAnsi="Times New Roman" w:cs="Times New Roman"/>
          <w:sz w:val="24"/>
          <w:szCs w:val="24"/>
        </w:rPr>
        <w:t>F”</w:t>
      </w:r>
      <w:r w:rsidR="0096391C">
        <w:rPr>
          <w:rFonts w:ascii="Times New Roman" w:hAnsi="Times New Roman" w:cs="Times New Roman"/>
          <w:sz w:val="24"/>
          <w:szCs w:val="24"/>
        </w:rPr>
        <w:t>), which are</w:t>
      </w:r>
      <w:r w:rsidR="008A1342">
        <w:rPr>
          <w:rFonts w:ascii="Times New Roman" w:hAnsi="Times New Roman" w:cs="Times New Roman"/>
          <w:sz w:val="24"/>
          <w:szCs w:val="24"/>
        </w:rPr>
        <w:t xml:space="preserve"> on pp</w:t>
      </w:r>
      <w:r w:rsidR="00696D9A">
        <w:rPr>
          <w:rFonts w:ascii="Times New Roman" w:hAnsi="Times New Roman" w:cs="Times New Roman"/>
          <w:sz w:val="24"/>
          <w:szCs w:val="24"/>
        </w:rPr>
        <w:t xml:space="preserve"> 28 to 30 of the record.</w:t>
      </w:r>
      <w:r w:rsidR="005645FA">
        <w:rPr>
          <w:rFonts w:ascii="Times New Roman" w:hAnsi="Times New Roman" w:cs="Times New Roman"/>
          <w:sz w:val="24"/>
          <w:szCs w:val="24"/>
        </w:rPr>
        <w:t xml:space="preserve"> The fuel and vehicles </w:t>
      </w:r>
      <w:r w:rsidR="005645FA">
        <w:rPr>
          <w:rFonts w:ascii="Times New Roman" w:hAnsi="Times New Roman" w:cs="Times New Roman"/>
          <w:sz w:val="24"/>
          <w:szCs w:val="24"/>
        </w:rPr>
        <w:lastRenderedPageBreak/>
        <w:t>are in the respondent’s custody at Chirundu.</w:t>
      </w:r>
      <w:r w:rsidR="00732590">
        <w:rPr>
          <w:rFonts w:ascii="Times New Roman" w:hAnsi="Times New Roman" w:cs="Times New Roman"/>
          <w:sz w:val="24"/>
          <w:szCs w:val="24"/>
        </w:rPr>
        <w:t xml:space="preserve"> The notices of seizure </w:t>
      </w:r>
      <w:r w:rsidR="00EB53A3">
        <w:rPr>
          <w:rFonts w:ascii="Times New Roman" w:hAnsi="Times New Roman" w:cs="Times New Roman"/>
          <w:sz w:val="24"/>
          <w:szCs w:val="24"/>
        </w:rPr>
        <w:t>do no</w:t>
      </w:r>
      <w:r w:rsidR="00EA6FDF">
        <w:rPr>
          <w:rFonts w:ascii="Times New Roman" w:hAnsi="Times New Roman" w:cs="Times New Roman"/>
          <w:sz w:val="24"/>
          <w:szCs w:val="24"/>
        </w:rPr>
        <w:t xml:space="preserve">t </w:t>
      </w:r>
      <w:r w:rsidR="00DC3D5B">
        <w:rPr>
          <w:rFonts w:ascii="Times New Roman" w:hAnsi="Times New Roman" w:cs="Times New Roman"/>
          <w:sz w:val="24"/>
          <w:szCs w:val="24"/>
        </w:rPr>
        <w:t>give reasons for the seizure.</w:t>
      </w:r>
      <w:r w:rsidR="00EA6FDF">
        <w:rPr>
          <w:rFonts w:ascii="Times New Roman" w:hAnsi="Times New Roman" w:cs="Times New Roman"/>
          <w:sz w:val="24"/>
          <w:szCs w:val="24"/>
        </w:rPr>
        <w:t xml:space="preserve"> These are the facts </w:t>
      </w:r>
      <w:r w:rsidR="00361B21">
        <w:rPr>
          <w:rFonts w:ascii="Times New Roman" w:hAnsi="Times New Roman" w:cs="Times New Roman"/>
          <w:sz w:val="24"/>
          <w:szCs w:val="24"/>
        </w:rPr>
        <w:t>which gave</w:t>
      </w:r>
      <w:r w:rsidR="00EA6FDF">
        <w:rPr>
          <w:rFonts w:ascii="Times New Roman" w:hAnsi="Times New Roman" w:cs="Times New Roman"/>
          <w:sz w:val="24"/>
          <w:szCs w:val="24"/>
        </w:rPr>
        <w:t xml:space="preserve"> rise to this application.</w:t>
      </w:r>
    </w:p>
    <w:p w:rsidR="002D75AF" w:rsidRDefault="002D75AF" w:rsidP="002D75AF">
      <w:pPr>
        <w:spacing w:after="0" w:line="360" w:lineRule="auto"/>
        <w:ind w:firstLine="720"/>
        <w:jc w:val="both"/>
        <w:rPr>
          <w:rFonts w:ascii="Times New Roman" w:hAnsi="Times New Roman" w:cs="Times New Roman"/>
          <w:sz w:val="24"/>
          <w:szCs w:val="24"/>
        </w:rPr>
      </w:pPr>
    </w:p>
    <w:p w:rsidR="006F3E2B" w:rsidRPr="00F2670A" w:rsidRDefault="00F2670A" w:rsidP="002D75AF">
      <w:pPr>
        <w:spacing w:after="0" w:line="360" w:lineRule="auto"/>
        <w:ind w:firstLine="720"/>
        <w:jc w:val="both"/>
        <w:rPr>
          <w:rFonts w:ascii="Times New Roman" w:hAnsi="Times New Roman" w:cs="Times New Roman"/>
          <w:b/>
          <w:sz w:val="24"/>
          <w:szCs w:val="24"/>
        </w:rPr>
      </w:pPr>
      <w:r w:rsidRPr="00F2670A">
        <w:rPr>
          <w:rFonts w:ascii="Times New Roman" w:hAnsi="Times New Roman" w:cs="Times New Roman"/>
          <w:b/>
          <w:sz w:val="24"/>
          <w:szCs w:val="24"/>
        </w:rPr>
        <w:t>The applicant’s case</w:t>
      </w:r>
      <w:r w:rsidR="00EA6FDF" w:rsidRPr="00F2670A">
        <w:rPr>
          <w:rFonts w:ascii="Times New Roman" w:hAnsi="Times New Roman" w:cs="Times New Roman"/>
          <w:b/>
          <w:sz w:val="24"/>
          <w:szCs w:val="24"/>
        </w:rPr>
        <w:t xml:space="preserve"> </w:t>
      </w:r>
    </w:p>
    <w:p w:rsidR="00827007" w:rsidRDefault="005F6292" w:rsidP="002D75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8F0F4B">
        <w:rPr>
          <w:rFonts w:ascii="Times New Roman" w:hAnsi="Times New Roman" w:cs="Times New Roman"/>
          <w:sz w:val="24"/>
          <w:szCs w:val="24"/>
        </w:rPr>
        <w:t>avers</w:t>
      </w:r>
      <w:r w:rsidR="00D879D9">
        <w:rPr>
          <w:rFonts w:ascii="Times New Roman" w:hAnsi="Times New Roman" w:cs="Times New Roman"/>
          <w:sz w:val="24"/>
          <w:szCs w:val="24"/>
        </w:rPr>
        <w:t xml:space="preserve"> that the seizure was unlawful as no reasons were</w:t>
      </w:r>
      <w:r w:rsidR="00EE1C3E">
        <w:rPr>
          <w:rFonts w:ascii="Times New Roman" w:hAnsi="Times New Roman" w:cs="Times New Roman"/>
          <w:sz w:val="24"/>
          <w:szCs w:val="24"/>
        </w:rPr>
        <w:t xml:space="preserve"> </w:t>
      </w:r>
      <w:r w:rsidR="00D879D9">
        <w:rPr>
          <w:rFonts w:ascii="Times New Roman" w:hAnsi="Times New Roman" w:cs="Times New Roman"/>
          <w:sz w:val="24"/>
          <w:szCs w:val="24"/>
        </w:rPr>
        <w:t>given for</w:t>
      </w:r>
      <w:r w:rsidR="00EE1C3E">
        <w:rPr>
          <w:rFonts w:ascii="Times New Roman" w:hAnsi="Times New Roman" w:cs="Times New Roman"/>
          <w:sz w:val="24"/>
          <w:szCs w:val="24"/>
        </w:rPr>
        <w:t xml:space="preserve"> it as contemplated by the </w:t>
      </w:r>
      <w:r w:rsidR="00574AB5">
        <w:rPr>
          <w:rFonts w:ascii="Times New Roman" w:hAnsi="Times New Roman" w:cs="Times New Roman"/>
          <w:sz w:val="24"/>
          <w:szCs w:val="24"/>
        </w:rPr>
        <w:t>s</w:t>
      </w:r>
      <w:r w:rsidR="0006041A">
        <w:rPr>
          <w:rFonts w:ascii="Times New Roman" w:hAnsi="Times New Roman" w:cs="Times New Roman"/>
          <w:sz w:val="24"/>
          <w:szCs w:val="24"/>
        </w:rPr>
        <w:t xml:space="preserve"> </w:t>
      </w:r>
      <w:r w:rsidR="00574AB5">
        <w:rPr>
          <w:rFonts w:ascii="Times New Roman" w:hAnsi="Times New Roman" w:cs="Times New Roman"/>
          <w:sz w:val="24"/>
          <w:szCs w:val="24"/>
        </w:rPr>
        <w:t xml:space="preserve">3 (1) (a) </w:t>
      </w:r>
      <w:r w:rsidR="0029378A">
        <w:rPr>
          <w:rFonts w:ascii="Times New Roman" w:hAnsi="Times New Roman" w:cs="Times New Roman"/>
          <w:sz w:val="24"/>
          <w:szCs w:val="24"/>
        </w:rPr>
        <w:t xml:space="preserve">of the </w:t>
      </w:r>
      <w:r w:rsidR="00EE1C3E">
        <w:rPr>
          <w:rFonts w:ascii="Times New Roman" w:hAnsi="Times New Roman" w:cs="Times New Roman"/>
          <w:sz w:val="24"/>
          <w:szCs w:val="24"/>
        </w:rPr>
        <w:t>Administrative Justice Act [</w:t>
      </w:r>
      <w:r w:rsidR="00EE1C3E" w:rsidRPr="002D75AF">
        <w:rPr>
          <w:rFonts w:ascii="Times New Roman" w:hAnsi="Times New Roman" w:cs="Times New Roman"/>
          <w:i/>
          <w:sz w:val="24"/>
          <w:szCs w:val="24"/>
        </w:rPr>
        <w:t>Chapter 10:28</w:t>
      </w:r>
      <w:r w:rsidR="00EE1C3E">
        <w:rPr>
          <w:rFonts w:ascii="Times New Roman" w:hAnsi="Times New Roman" w:cs="Times New Roman"/>
          <w:sz w:val="24"/>
          <w:szCs w:val="24"/>
        </w:rPr>
        <w:t>]</w:t>
      </w:r>
      <w:r w:rsidR="00574AB5">
        <w:rPr>
          <w:rFonts w:ascii="Times New Roman" w:hAnsi="Times New Roman" w:cs="Times New Roman"/>
          <w:sz w:val="24"/>
          <w:szCs w:val="24"/>
        </w:rPr>
        <w:t xml:space="preserve"> </w:t>
      </w:r>
      <w:r w:rsidR="0006041A">
        <w:rPr>
          <w:rFonts w:ascii="Times New Roman" w:hAnsi="Times New Roman" w:cs="Times New Roman"/>
          <w:sz w:val="24"/>
          <w:szCs w:val="24"/>
        </w:rPr>
        <w:t xml:space="preserve">(hereinafter referred to as “the AJA”) </w:t>
      </w:r>
      <w:r w:rsidR="000F070D">
        <w:rPr>
          <w:rFonts w:ascii="Times New Roman" w:hAnsi="Times New Roman" w:cs="Times New Roman"/>
          <w:sz w:val="24"/>
          <w:szCs w:val="24"/>
        </w:rPr>
        <w:t>and s</w:t>
      </w:r>
      <w:r w:rsidR="0006041A">
        <w:rPr>
          <w:rFonts w:ascii="Times New Roman" w:hAnsi="Times New Roman" w:cs="Times New Roman"/>
          <w:sz w:val="24"/>
          <w:szCs w:val="24"/>
        </w:rPr>
        <w:t xml:space="preserve"> 68 (1) and (2) of the Constitution of Zimbabwe</w:t>
      </w:r>
      <w:r w:rsidR="005A5074">
        <w:rPr>
          <w:rFonts w:ascii="Times New Roman" w:hAnsi="Times New Roman" w:cs="Times New Roman"/>
          <w:sz w:val="24"/>
          <w:szCs w:val="24"/>
        </w:rPr>
        <w:t xml:space="preserve">. It was submitted that the relevant Notices of Seizure are standard forms </w:t>
      </w:r>
      <w:r w:rsidR="006F22AC">
        <w:rPr>
          <w:rFonts w:ascii="Times New Roman" w:hAnsi="Times New Roman" w:cs="Times New Roman"/>
          <w:sz w:val="24"/>
          <w:szCs w:val="24"/>
        </w:rPr>
        <w:t>whic</w:t>
      </w:r>
      <w:r w:rsidR="00457A07">
        <w:rPr>
          <w:rFonts w:ascii="Times New Roman" w:hAnsi="Times New Roman" w:cs="Times New Roman"/>
          <w:sz w:val="24"/>
          <w:szCs w:val="24"/>
        </w:rPr>
        <w:t xml:space="preserve">h have space to insert the name, address and telephone number </w:t>
      </w:r>
      <w:r w:rsidR="006F22AC">
        <w:rPr>
          <w:rFonts w:ascii="Times New Roman" w:hAnsi="Times New Roman" w:cs="Times New Roman"/>
          <w:sz w:val="24"/>
          <w:szCs w:val="24"/>
        </w:rPr>
        <w:t>of the person</w:t>
      </w:r>
      <w:r w:rsidR="00457A07">
        <w:rPr>
          <w:rFonts w:ascii="Times New Roman" w:hAnsi="Times New Roman" w:cs="Times New Roman"/>
          <w:sz w:val="24"/>
          <w:szCs w:val="24"/>
        </w:rPr>
        <w:t xml:space="preserve"> whose goods are seized</w:t>
      </w:r>
      <w:r w:rsidR="00005B73">
        <w:rPr>
          <w:rFonts w:ascii="Times New Roman" w:hAnsi="Times New Roman" w:cs="Times New Roman"/>
          <w:sz w:val="24"/>
          <w:szCs w:val="24"/>
        </w:rPr>
        <w:t>; the seized goods and name and signature of ZIMRA officer</w:t>
      </w:r>
      <w:r w:rsidR="005D6D8E">
        <w:rPr>
          <w:rFonts w:ascii="Times New Roman" w:hAnsi="Times New Roman" w:cs="Times New Roman"/>
          <w:sz w:val="24"/>
          <w:szCs w:val="24"/>
        </w:rPr>
        <w:t xml:space="preserve">. </w:t>
      </w:r>
      <w:r w:rsidR="009C5189">
        <w:rPr>
          <w:rFonts w:ascii="Times New Roman" w:hAnsi="Times New Roman" w:cs="Times New Roman"/>
          <w:sz w:val="24"/>
          <w:szCs w:val="24"/>
        </w:rPr>
        <w:t>The submission continued that the form has no section where the seizing officer states the reason for taking the action to seize.</w:t>
      </w:r>
      <w:r w:rsidR="006F22AC">
        <w:rPr>
          <w:rFonts w:ascii="Times New Roman" w:hAnsi="Times New Roman" w:cs="Times New Roman"/>
          <w:sz w:val="24"/>
          <w:szCs w:val="24"/>
        </w:rPr>
        <w:t xml:space="preserve"> </w:t>
      </w:r>
      <w:r w:rsidR="001E5299">
        <w:rPr>
          <w:rFonts w:ascii="Times New Roman" w:hAnsi="Times New Roman" w:cs="Times New Roman"/>
          <w:sz w:val="24"/>
          <w:szCs w:val="24"/>
        </w:rPr>
        <w:t>Thus, t</w:t>
      </w:r>
      <w:r w:rsidR="00F16325">
        <w:rPr>
          <w:rFonts w:ascii="Times New Roman" w:hAnsi="Times New Roman" w:cs="Times New Roman"/>
          <w:sz w:val="24"/>
          <w:szCs w:val="24"/>
        </w:rPr>
        <w:t xml:space="preserve">he applicant submits that the respondent did not specify </w:t>
      </w:r>
      <w:r w:rsidR="006B1777">
        <w:rPr>
          <w:rFonts w:ascii="Times New Roman" w:hAnsi="Times New Roman" w:cs="Times New Roman"/>
          <w:sz w:val="24"/>
          <w:szCs w:val="24"/>
        </w:rPr>
        <w:t>the offence committed by the applica</w:t>
      </w:r>
      <w:r w:rsidR="001E5299">
        <w:rPr>
          <w:rFonts w:ascii="Times New Roman" w:hAnsi="Times New Roman" w:cs="Times New Roman"/>
          <w:sz w:val="24"/>
          <w:szCs w:val="24"/>
        </w:rPr>
        <w:t>nt which justified the seizure, and proceeds to contend</w:t>
      </w:r>
      <w:r w:rsidR="008F0F4B">
        <w:rPr>
          <w:rFonts w:ascii="Times New Roman" w:hAnsi="Times New Roman" w:cs="Times New Roman"/>
          <w:sz w:val="24"/>
          <w:szCs w:val="24"/>
        </w:rPr>
        <w:t xml:space="preserve"> that the seizure amounts to an act of spoliation</w:t>
      </w:r>
      <w:r w:rsidR="005A5EB4">
        <w:rPr>
          <w:rFonts w:ascii="Times New Roman" w:hAnsi="Times New Roman" w:cs="Times New Roman"/>
          <w:sz w:val="24"/>
          <w:szCs w:val="24"/>
        </w:rPr>
        <w:t xml:space="preserve">. </w:t>
      </w:r>
      <w:r w:rsidR="00810EA8">
        <w:rPr>
          <w:rFonts w:ascii="Times New Roman" w:hAnsi="Times New Roman" w:cs="Times New Roman"/>
          <w:sz w:val="24"/>
          <w:szCs w:val="24"/>
        </w:rPr>
        <w:t>In this connection, the applicant argued that ther</w:t>
      </w:r>
      <w:r w:rsidR="005570C1">
        <w:rPr>
          <w:rFonts w:ascii="Times New Roman" w:hAnsi="Times New Roman" w:cs="Times New Roman"/>
          <w:sz w:val="24"/>
          <w:szCs w:val="24"/>
        </w:rPr>
        <w:t xml:space="preserve">e was nothing to show commission of a customs offence, </w:t>
      </w:r>
      <w:r w:rsidR="00E27700">
        <w:rPr>
          <w:rFonts w:ascii="Times New Roman" w:hAnsi="Times New Roman" w:cs="Times New Roman"/>
          <w:sz w:val="24"/>
          <w:szCs w:val="24"/>
        </w:rPr>
        <w:t xml:space="preserve">as the quantities of ZIMRA’s measurements </w:t>
      </w:r>
      <w:r w:rsidR="0044581A">
        <w:rPr>
          <w:rFonts w:ascii="Times New Roman" w:hAnsi="Times New Roman" w:cs="Times New Roman"/>
          <w:sz w:val="24"/>
          <w:szCs w:val="24"/>
        </w:rPr>
        <w:t xml:space="preserve">at Chirundu </w:t>
      </w:r>
      <w:r w:rsidR="00E27700">
        <w:rPr>
          <w:rFonts w:ascii="Times New Roman" w:hAnsi="Times New Roman" w:cs="Times New Roman"/>
          <w:sz w:val="24"/>
          <w:szCs w:val="24"/>
        </w:rPr>
        <w:t xml:space="preserve">were substantially the same as those declared at Forbes Border Post. </w:t>
      </w:r>
      <w:r w:rsidR="005A5EB4">
        <w:rPr>
          <w:rFonts w:ascii="Times New Roman" w:hAnsi="Times New Roman" w:cs="Times New Roman"/>
          <w:sz w:val="24"/>
          <w:szCs w:val="24"/>
        </w:rPr>
        <w:t>Consequently, the applicant</w:t>
      </w:r>
      <w:r w:rsidR="00185553">
        <w:rPr>
          <w:rFonts w:ascii="Times New Roman" w:hAnsi="Times New Roman" w:cs="Times New Roman"/>
          <w:sz w:val="24"/>
          <w:szCs w:val="24"/>
        </w:rPr>
        <w:t xml:space="preserve">, </w:t>
      </w:r>
      <w:r w:rsidR="00185553" w:rsidRPr="005A5EB4">
        <w:rPr>
          <w:rFonts w:ascii="Times New Roman" w:hAnsi="Times New Roman" w:cs="Times New Roman"/>
          <w:i/>
          <w:sz w:val="24"/>
          <w:szCs w:val="24"/>
        </w:rPr>
        <w:t>inter alia</w:t>
      </w:r>
      <w:r w:rsidR="00185553">
        <w:rPr>
          <w:rFonts w:ascii="Times New Roman" w:hAnsi="Times New Roman" w:cs="Times New Roman"/>
          <w:sz w:val="24"/>
          <w:szCs w:val="24"/>
        </w:rPr>
        <w:t xml:space="preserve">, prays for the return of the </w:t>
      </w:r>
      <w:r w:rsidR="00134A39">
        <w:rPr>
          <w:rFonts w:ascii="Times New Roman" w:hAnsi="Times New Roman" w:cs="Times New Roman"/>
          <w:sz w:val="24"/>
          <w:szCs w:val="24"/>
        </w:rPr>
        <w:t xml:space="preserve">seized </w:t>
      </w:r>
      <w:r w:rsidR="00185553">
        <w:rPr>
          <w:rFonts w:ascii="Times New Roman" w:hAnsi="Times New Roman" w:cs="Times New Roman"/>
          <w:sz w:val="24"/>
          <w:szCs w:val="24"/>
        </w:rPr>
        <w:t>horse</w:t>
      </w:r>
      <w:r w:rsidR="00134A39">
        <w:rPr>
          <w:rFonts w:ascii="Times New Roman" w:hAnsi="Times New Roman" w:cs="Times New Roman"/>
          <w:sz w:val="24"/>
          <w:szCs w:val="24"/>
        </w:rPr>
        <w:t>s, trailers and fuel</w:t>
      </w:r>
      <w:r w:rsidR="007211A1">
        <w:rPr>
          <w:rFonts w:ascii="Times New Roman" w:hAnsi="Times New Roman" w:cs="Times New Roman"/>
          <w:sz w:val="24"/>
          <w:szCs w:val="24"/>
        </w:rPr>
        <w:t xml:space="preserve"> so that they can continue to Zambia were the consignment is to be de</w:t>
      </w:r>
      <w:r w:rsidR="0019582B">
        <w:rPr>
          <w:rFonts w:ascii="Times New Roman" w:hAnsi="Times New Roman" w:cs="Times New Roman"/>
          <w:sz w:val="24"/>
          <w:szCs w:val="24"/>
        </w:rPr>
        <w:t>l</w:t>
      </w:r>
      <w:r w:rsidR="007211A1">
        <w:rPr>
          <w:rFonts w:ascii="Times New Roman" w:hAnsi="Times New Roman" w:cs="Times New Roman"/>
          <w:sz w:val="24"/>
          <w:szCs w:val="24"/>
        </w:rPr>
        <w:t>ivered</w:t>
      </w:r>
      <w:r w:rsidR="008F0F4B">
        <w:rPr>
          <w:rFonts w:ascii="Times New Roman" w:hAnsi="Times New Roman" w:cs="Times New Roman"/>
          <w:sz w:val="24"/>
          <w:szCs w:val="24"/>
        </w:rPr>
        <w:t>.</w:t>
      </w:r>
      <w:r>
        <w:rPr>
          <w:rFonts w:ascii="Times New Roman" w:hAnsi="Times New Roman" w:cs="Times New Roman"/>
          <w:sz w:val="24"/>
          <w:szCs w:val="24"/>
        </w:rPr>
        <w:t xml:space="preserve"> </w:t>
      </w:r>
      <w:r w:rsidR="00730155">
        <w:rPr>
          <w:rFonts w:ascii="Times New Roman" w:hAnsi="Times New Roman" w:cs="Times New Roman"/>
          <w:sz w:val="24"/>
          <w:szCs w:val="24"/>
        </w:rPr>
        <w:t xml:space="preserve">In this respect, the applicant contends that </w:t>
      </w:r>
      <w:r w:rsidR="006839DA">
        <w:rPr>
          <w:rFonts w:ascii="Times New Roman" w:hAnsi="Times New Roman" w:cs="Times New Roman"/>
          <w:sz w:val="24"/>
          <w:szCs w:val="24"/>
        </w:rPr>
        <w:t>it was in peaceful and undisturbed po</w:t>
      </w:r>
      <w:r w:rsidR="00D564B0">
        <w:rPr>
          <w:rFonts w:ascii="Times New Roman" w:hAnsi="Times New Roman" w:cs="Times New Roman"/>
          <w:sz w:val="24"/>
          <w:szCs w:val="24"/>
        </w:rPr>
        <w:t xml:space="preserve">ssession of its trucks and </w:t>
      </w:r>
      <w:r w:rsidR="0019582B">
        <w:rPr>
          <w:rFonts w:ascii="Times New Roman" w:hAnsi="Times New Roman" w:cs="Times New Roman"/>
          <w:sz w:val="24"/>
          <w:szCs w:val="24"/>
        </w:rPr>
        <w:t>consignment after they were</w:t>
      </w:r>
      <w:r w:rsidR="006839DA">
        <w:rPr>
          <w:rFonts w:ascii="Times New Roman" w:hAnsi="Times New Roman" w:cs="Times New Roman"/>
          <w:sz w:val="24"/>
          <w:szCs w:val="24"/>
        </w:rPr>
        <w:t xml:space="preserve"> duly cleared </w:t>
      </w:r>
      <w:r w:rsidR="002B573B">
        <w:rPr>
          <w:rFonts w:ascii="Times New Roman" w:hAnsi="Times New Roman" w:cs="Times New Roman"/>
          <w:sz w:val="24"/>
          <w:szCs w:val="24"/>
        </w:rPr>
        <w:t xml:space="preserve">by the respondent </w:t>
      </w:r>
      <w:r w:rsidR="006839DA">
        <w:rPr>
          <w:rFonts w:ascii="Times New Roman" w:hAnsi="Times New Roman" w:cs="Times New Roman"/>
          <w:sz w:val="24"/>
          <w:szCs w:val="24"/>
        </w:rPr>
        <w:t xml:space="preserve">at Forbes </w:t>
      </w:r>
      <w:r w:rsidR="00D564B0">
        <w:rPr>
          <w:rFonts w:ascii="Times New Roman" w:hAnsi="Times New Roman" w:cs="Times New Roman"/>
          <w:sz w:val="24"/>
          <w:szCs w:val="24"/>
        </w:rPr>
        <w:t>Border Post (Mutare) and were proceeding to Zambia.</w:t>
      </w:r>
      <w:r w:rsidR="00CD4BF9">
        <w:rPr>
          <w:rFonts w:ascii="Times New Roman" w:hAnsi="Times New Roman" w:cs="Times New Roman"/>
          <w:sz w:val="24"/>
          <w:szCs w:val="24"/>
        </w:rPr>
        <w:t xml:space="preserve"> The argument continues that </w:t>
      </w:r>
      <w:r w:rsidR="00626406">
        <w:rPr>
          <w:rFonts w:ascii="Times New Roman" w:hAnsi="Times New Roman" w:cs="Times New Roman"/>
          <w:sz w:val="24"/>
          <w:szCs w:val="24"/>
        </w:rPr>
        <w:t xml:space="preserve">the respondent wrongfully and forcibly dispossessed the applicant of the trucks and fuel without </w:t>
      </w:r>
      <w:r w:rsidR="00E8539C">
        <w:rPr>
          <w:rFonts w:ascii="Times New Roman" w:hAnsi="Times New Roman" w:cs="Times New Roman"/>
          <w:sz w:val="24"/>
          <w:szCs w:val="24"/>
        </w:rPr>
        <w:t>the applicant’s consent or following due process.</w:t>
      </w:r>
      <w:r w:rsidR="00027C29">
        <w:rPr>
          <w:rFonts w:ascii="Times New Roman" w:hAnsi="Times New Roman" w:cs="Times New Roman"/>
          <w:sz w:val="24"/>
          <w:szCs w:val="24"/>
        </w:rPr>
        <w:t xml:space="preserve"> In this regard, the applicant referred </w:t>
      </w:r>
      <w:r w:rsidR="00303C5E">
        <w:rPr>
          <w:rFonts w:ascii="Times New Roman" w:hAnsi="Times New Roman" w:cs="Times New Roman"/>
          <w:sz w:val="24"/>
          <w:szCs w:val="24"/>
        </w:rPr>
        <w:t xml:space="preserve">the court </w:t>
      </w:r>
      <w:r w:rsidR="00027C29">
        <w:rPr>
          <w:rFonts w:ascii="Times New Roman" w:hAnsi="Times New Roman" w:cs="Times New Roman"/>
          <w:sz w:val="24"/>
          <w:szCs w:val="24"/>
        </w:rPr>
        <w:t xml:space="preserve">to the provisions of section 68 </w:t>
      </w:r>
      <w:r w:rsidR="00893045">
        <w:rPr>
          <w:rFonts w:ascii="Times New Roman" w:hAnsi="Times New Roman" w:cs="Times New Roman"/>
          <w:sz w:val="24"/>
          <w:szCs w:val="24"/>
        </w:rPr>
        <w:t>of the Constitution and s</w:t>
      </w:r>
      <w:r w:rsidR="00303C5E">
        <w:rPr>
          <w:rFonts w:ascii="Times New Roman" w:hAnsi="Times New Roman" w:cs="Times New Roman"/>
          <w:sz w:val="24"/>
          <w:szCs w:val="24"/>
        </w:rPr>
        <w:t xml:space="preserve"> 3 (1) (a) of the AJA, and submitted </w:t>
      </w:r>
      <w:r w:rsidR="005F364B">
        <w:rPr>
          <w:rFonts w:ascii="Times New Roman" w:hAnsi="Times New Roman" w:cs="Times New Roman"/>
          <w:sz w:val="24"/>
          <w:szCs w:val="24"/>
        </w:rPr>
        <w:t>the failure to comply with the stipulated requirements rendered the action</w:t>
      </w:r>
      <w:r w:rsidR="008B78DD">
        <w:rPr>
          <w:rFonts w:ascii="Times New Roman" w:hAnsi="Times New Roman" w:cs="Times New Roman"/>
          <w:sz w:val="24"/>
          <w:szCs w:val="24"/>
        </w:rPr>
        <w:t xml:space="preserve"> taken by the respondent an unlawful action and, therefore, an act of spoliation.</w:t>
      </w:r>
      <w:r w:rsidR="005F364B">
        <w:rPr>
          <w:rFonts w:ascii="Times New Roman" w:hAnsi="Times New Roman" w:cs="Times New Roman"/>
          <w:sz w:val="24"/>
          <w:szCs w:val="24"/>
        </w:rPr>
        <w:t xml:space="preserve"> </w:t>
      </w:r>
      <w:r w:rsidR="00303C5E">
        <w:rPr>
          <w:rFonts w:ascii="Times New Roman" w:hAnsi="Times New Roman" w:cs="Times New Roman"/>
          <w:sz w:val="24"/>
          <w:szCs w:val="24"/>
        </w:rPr>
        <w:t xml:space="preserve"> </w:t>
      </w:r>
    </w:p>
    <w:p w:rsidR="003D6903" w:rsidRPr="00FF1CF4" w:rsidRDefault="003D6903" w:rsidP="002D75AF">
      <w:pPr>
        <w:spacing w:after="0" w:line="360" w:lineRule="auto"/>
        <w:jc w:val="both"/>
        <w:rPr>
          <w:rFonts w:ascii="Times New Roman" w:hAnsi="Times New Roman" w:cs="Times New Roman"/>
          <w:sz w:val="16"/>
          <w:szCs w:val="16"/>
        </w:rPr>
      </w:pPr>
    </w:p>
    <w:p w:rsidR="003D6903" w:rsidRPr="003D6903" w:rsidRDefault="003D6903" w:rsidP="002D75AF">
      <w:pPr>
        <w:spacing w:after="0" w:line="360" w:lineRule="auto"/>
        <w:jc w:val="both"/>
        <w:rPr>
          <w:rFonts w:ascii="Times New Roman" w:hAnsi="Times New Roman" w:cs="Times New Roman"/>
          <w:b/>
          <w:sz w:val="24"/>
          <w:szCs w:val="24"/>
        </w:rPr>
      </w:pPr>
      <w:r w:rsidRPr="003D6903">
        <w:rPr>
          <w:rFonts w:ascii="Times New Roman" w:hAnsi="Times New Roman" w:cs="Times New Roman"/>
          <w:b/>
          <w:sz w:val="24"/>
          <w:szCs w:val="24"/>
        </w:rPr>
        <w:t>The respondent’s case</w:t>
      </w:r>
    </w:p>
    <w:p w:rsidR="00827007" w:rsidRDefault="001A4BD7" w:rsidP="002D75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opposed</w:t>
      </w:r>
      <w:r w:rsidR="00910D74">
        <w:rPr>
          <w:rFonts w:ascii="Times New Roman" w:hAnsi="Times New Roman" w:cs="Times New Roman"/>
          <w:sz w:val="24"/>
          <w:szCs w:val="24"/>
        </w:rPr>
        <w:t xml:space="preserve">. </w:t>
      </w:r>
      <w:r w:rsidR="001234DD">
        <w:rPr>
          <w:rFonts w:ascii="Times New Roman" w:hAnsi="Times New Roman" w:cs="Times New Roman"/>
          <w:sz w:val="24"/>
          <w:szCs w:val="24"/>
        </w:rPr>
        <w:t>The respondent states that it suspected that the seals on the tankers had been tampered with, and engaged the applicant’</w:t>
      </w:r>
      <w:r w:rsidR="008402B5">
        <w:rPr>
          <w:rFonts w:ascii="Times New Roman" w:hAnsi="Times New Roman" w:cs="Times New Roman"/>
          <w:sz w:val="24"/>
          <w:szCs w:val="24"/>
        </w:rPr>
        <w:t>s clearing agent, Southern Business Services (</w:t>
      </w:r>
      <w:r w:rsidR="00FD6248">
        <w:rPr>
          <w:rFonts w:ascii="Times New Roman" w:hAnsi="Times New Roman" w:cs="Times New Roman"/>
          <w:sz w:val="24"/>
          <w:szCs w:val="24"/>
        </w:rPr>
        <w:t>“</w:t>
      </w:r>
      <w:r w:rsidR="008402B5">
        <w:rPr>
          <w:rFonts w:ascii="Times New Roman" w:hAnsi="Times New Roman" w:cs="Times New Roman"/>
          <w:sz w:val="24"/>
          <w:szCs w:val="24"/>
        </w:rPr>
        <w:t>SBS</w:t>
      </w:r>
      <w:r w:rsidR="00FD6248">
        <w:rPr>
          <w:rFonts w:ascii="Times New Roman" w:hAnsi="Times New Roman" w:cs="Times New Roman"/>
          <w:sz w:val="24"/>
          <w:szCs w:val="24"/>
        </w:rPr>
        <w:t>”</w:t>
      </w:r>
      <w:r w:rsidR="008402B5">
        <w:rPr>
          <w:rFonts w:ascii="Times New Roman" w:hAnsi="Times New Roman" w:cs="Times New Roman"/>
          <w:sz w:val="24"/>
          <w:szCs w:val="24"/>
        </w:rPr>
        <w:t>)</w:t>
      </w:r>
      <w:r w:rsidR="00FD6248">
        <w:rPr>
          <w:rFonts w:ascii="Times New Roman" w:hAnsi="Times New Roman" w:cs="Times New Roman"/>
          <w:sz w:val="24"/>
          <w:szCs w:val="24"/>
        </w:rPr>
        <w:t>.</w:t>
      </w:r>
      <w:r w:rsidR="00387811">
        <w:rPr>
          <w:rFonts w:ascii="Times New Roman" w:hAnsi="Times New Roman" w:cs="Times New Roman"/>
          <w:sz w:val="24"/>
          <w:szCs w:val="24"/>
        </w:rPr>
        <w:t xml:space="preserve"> On 23 November 2022, </w:t>
      </w:r>
      <w:r w:rsidR="00D639BE">
        <w:rPr>
          <w:rFonts w:ascii="Times New Roman" w:hAnsi="Times New Roman" w:cs="Times New Roman"/>
          <w:sz w:val="24"/>
          <w:szCs w:val="24"/>
        </w:rPr>
        <w:t>the applicant’s trucks and trailers arrived at Chirundu.</w:t>
      </w:r>
      <w:r w:rsidR="00EC64DE">
        <w:rPr>
          <w:rFonts w:ascii="Times New Roman" w:hAnsi="Times New Roman" w:cs="Times New Roman"/>
          <w:sz w:val="24"/>
          <w:szCs w:val="24"/>
        </w:rPr>
        <w:t xml:space="preserve"> In addition, the respondent submits that its officers </w:t>
      </w:r>
      <w:r w:rsidR="00A2345B">
        <w:rPr>
          <w:rFonts w:ascii="Times New Roman" w:hAnsi="Times New Roman" w:cs="Times New Roman"/>
          <w:sz w:val="24"/>
          <w:szCs w:val="24"/>
        </w:rPr>
        <w:t xml:space="preserve">and the applicant’s agent went to check the </w:t>
      </w:r>
      <w:r w:rsidR="00A2345B">
        <w:rPr>
          <w:rFonts w:ascii="Times New Roman" w:hAnsi="Times New Roman" w:cs="Times New Roman"/>
          <w:sz w:val="24"/>
          <w:szCs w:val="24"/>
        </w:rPr>
        <w:lastRenderedPageBreak/>
        <w:t xml:space="preserve">vehicles and found them without the seals </w:t>
      </w:r>
      <w:r w:rsidR="005A040E">
        <w:rPr>
          <w:rFonts w:ascii="Times New Roman" w:hAnsi="Times New Roman" w:cs="Times New Roman"/>
          <w:sz w:val="24"/>
          <w:szCs w:val="24"/>
        </w:rPr>
        <w:t>which had been put by ZIMRA at Forbes Border Post.</w:t>
      </w:r>
      <w:r w:rsidR="009F605C">
        <w:rPr>
          <w:rFonts w:ascii="Times New Roman" w:hAnsi="Times New Roman" w:cs="Times New Roman"/>
          <w:sz w:val="24"/>
          <w:szCs w:val="24"/>
        </w:rPr>
        <w:t xml:space="preserve"> It further averred that it placed the vehicles on notices of embargo</w:t>
      </w:r>
      <w:r w:rsidR="00E42210">
        <w:rPr>
          <w:rFonts w:ascii="Times New Roman" w:hAnsi="Times New Roman" w:cs="Times New Roman"/>
          <w:sz w:val="24"/>
          <w:szCs w:val="24"/>
        </w:rPr>
        <w:t xml:space="preserve"> which were left with </w:t>
      </w:r>
      <w:r w:rsidR="003218DA">
        <w:rPr>
          <w:rFonts w:ascii="Times New Roman" w:hAnsi="Times New Roman" w:cs="Times New Roman"/>
          <w:sz w:val="24"/>
          <w:szCs w:val="24"/>
        </w:rPr>
        <w:t xml:space="preserve">(and signed for by) </w:t>
      </w:r>
      <w:r w:rsidR="00E42210">
        <w:rPr>
          <w:rFonts w:ascii="Times New Roman" w:hAnsi="Times New Roman" w:cs="Times New Roman"/>
          <w:sz w:val="24"/>
          <w:szCs w:val="24"/>
        </w:rPr>
        <w:t>the truck stop operators since th</w:t>
      </w:r>
      <w:r w:rsidR="004F5A37">
        <w:rPr>
          <w:rFonts w:ascii="Times New Roman" w:hAnsi="Times New Roman" w:cs="Times New Roman"/>
          <w:sz w:val="24"/>
          <w:szCs w:val="24"/>
        </w:rPr>
        <w:t>ey were unattended.</w:t>
      </w:r>
      <w:r w:rsidR="00EC64DE">
        <w:rPr>
          <w:rFonts w:ascii="Times New Roman" w:hAnsi="Times New Roman" w:cs="Times New Roman"/>
          <w:sz w:val="24"/>
          <w:szCs w:val="24"/>
        </w:rPr>
        <w:t xml:space="preserve"> </w:t>
      </w:r>
      <w:r w:rsidR="000258C9">
        <w:rPr>
          <w:rFonts w:ascii="Times New Roman" w:hAnsi="Times New Roman" w:cs="Times New Roman"/>
          <w:sz w:val="24"/>
          <w:szCs w:val="24"/>
        </w:rPr>
        <w:t xml:space="preserve">The respondent made a report to the police under </w:t>
      </w:r>
      <w:r w:rsidR="009F4ADD">
        <w:rPr>
          <w:rFonts w:ascii="Times New Roman" w:hAnsi="Times New Roman" w:cs="Times New Roman"/>
          <w:sz w:val="24"/>
          <w:szCs w:val="24"/>
        </w:rPr>
        <w:t>RRB 5172142 of 23 November 2022 and, on 24 November 2022, the vehicles were</w:t>
      </w:r>
      <w:r w:rsidR="001130FD">
        <w:rPr>
          <w:rFonts w:ascii="Times New Roman" w:hAnsi="Times New Roman" w:cs="Times New Roman"/>
          <w:sz w:val="24"/>
          <w:szCs w:val="24"/>
        </w:rPr>
        <w:t xml:space="preserve"> driven into the ZIMRA yard.</w:t>
      </w:r>
      <w:r w:rsidR="004D4CC1">
        <w:rPr>
          <w:rFonts w:ascii="Times New Roman" w:hAnsi="Times New Roman" w:cs="Times New Roman"/>
          <w:sz w:val="24"/>
          <w:szCs w:val="24"/>
        </w:rPr>
        <w:t xml:space="preserve"> </w:t>
      </w:r>
      <w:r w:rsidR="00CB4DC1">
        <w:rPr>
          <w:rFonts w:ascii="Times New Roman" w:hAnsi="Times New Roman" w:cs="Times New Roman"/>
          <w:sz w:val="24"/>
          <w:szCs w:val="24"/>
        </w:rPr>
        <w:t>T</w:t>
      </w:r>
      <w:r w:rsidR="00023DBD">
        <w:rPr>
          <w:rFonts w:ascii="Times New Roman" w:hAnsi="Times New Roman" w:cs="Times New Roman"/>
          <w:sz w:val="24"/>
          <w:szCs w:val="24"/>
        </w:rPr>
        <w:t>he respondent</w:t>
      </w:r>
      <w:r w:rsidR="00CB4DC1">
        <w:rPr>
          <w:rFonts w:ascii="Times New Roman" w:hAnsi="Times New Roman" w:cs="Times New Roman"/>
          <w:sz w:val="24"/>
          <w:szCs w:val="24"/>
        </w:rPr>
        <w:t xml:space="preserve"> also</w:t>
      </w:r>
      <w:r w:rsidR="00023DBD">
        <w:rPr>
          <w:rFonts w:ascii="Times New Roman" w:hAnsi="Times New Roman" w:cs="Times New Roman"/>
          <w:sz w:val="24"/>
          <w:szCs w:val="24"/>
        </w:rPr>
        <w:t xml:space="preserve"> asserts</w:t>
      </w:r>
      <w:r w:rsidR="009F4E08">
        <w:rPr>
          <w:rFonts w:ascii="Times New Roman" w:hAnsi="Times New Roman" w:cs="Times New Roman"/>
          <w:sz w:val="24"/>
          <w:szCs w:val="24"/>
        </w:rPr>
        <w:t xml:space="preserve"> that vehicles could have been</w:t>
      </w:r>
      <w:r w:rsidR="0006387D">
        <w:rPr>
          <w:rFonts w:ascii="Times New Roman" w:hAnsi="Times New Roman" w:cs="Times New Roman"/>
          <w:sz w:val="24"/>
          <w:szCs w:val="24"/>
        </w:rPr>
        <w:t xml:space="preserve"> emptied and then</w:t>
      </w:r>
      <w:r w:rsidR="009F4E08">
        <w:rPr>
          <w:rFonts w:ascii="Times New Roman" w:hAnsi="Times New Roman" w:cs="Times New Roman"/>
          <w:sz w:val="24"/>
          <w:szCs w:val="24"/>
        </w:rPr>
        <w:t xml:space="preserve"> reloaded </w:t>
      </w:r>
      <w:r w:rsidR="00DF6304">
        <w:rPr>
          <w:rFonts w:ascii="Times New Roman" w:hAnsi="Times New Roman" w:cs="Times New Roman"/>
          <w:sz w:val="24"/>
          <w:szCs w:val="24"/>
        </w:rPr>
        <w:t xml:space="preserve">after realizing that ZIMRA was looking for the </w:t>
      </w:r>
      <w:r w:rsidR="004673B2">
        <w:rPr>
          <w:rFonts w:ascii="Times New Roman" w:hAnsi="Times New Roman" w:cs="Times New Roman"/>
          <w:sz w:val="24"/>
          <w:szCs w:val="24"/>
        </w:rPr>
        <w:t>trucks and their consignment.</w:t>
      </w:r>
      <w:r w:rsidR="00023DBD">
        <w:rPr>
          <w:rFonts w:ascii="Times New Roman" w:hAnsi="Times New Roman" w:cs="Times New Roman"/>
          <w:sz w:val="24"/>
          <w:szCs w:val="24"/>
        </w:rPr>
        <w:t xml:space="preserve"> It </w:t>
      </w:r>
      <w:r w:rsidR="001C3738">
        <w:rPr>
          <w:rFonts w:ascii="Times New Roman" w:hAnsi="Times New Roman" w:cs="Times New Roman"/>
          <w:sz w:val="24"/>
          <w:szCs w:val="24"/>
        </w:rPr>
        <w:t xml:space="preserve">states that </w:t>
      </w:r>
      <w:r w:rsidR="002A37F9">
        <w:rPr>
          <w:rFonts w:ascii="Times New Roman" w:hAnsi="Times New Roman" w:cs="Times New Roman"/>
          <w:sz w:val="24"/>
          <w:szCs w:val="24"/>
        </w:rPr>
        <w:t>it seized the trucks and consignment for a smug</w:t>
      </w:r>
      <w:r w:rsidR="00125B86">
        <w:rPr>
          <w:rFonts w:ascii="Times New Roman" w:hAnsi="Times New Roman" w:cs="Times New Roman"/>
          <w:sz w:val="24"/>
          <w:szCs w:val="24"/>
        </w:rPr>
        <w:t xml:space="preserve">gling offence, and calculated </w:t>
      </w:r>
      <w:r w:rsidR="00D00F8E">
        <w:rPr>
          <w:rFonts w:ascii="Times New Roman" w:hAnsi="Times New Roman" w:cs="Times New Roman"/>
          <w:sz w:val="24"/>
          <w:szCs w:val="24"/>
        </w:rPr>
        <w:t>duty payable to be US$55,669-01.</w:t>
      </w:r>
      <w:r w:rsidR="00393405">
        <w:rPr>
          <w:rFonts w:ascii="Times New Roman" w:hAnsi="Times New Roman" w:cs="Times New Roman"/>
          <w:sz w:val="24"/>
          <w:szCs w:val="24"/>
        </w:rPr>
        <w:t xml:space="preserve"> The respondent raises preliminary points to the application, and I will now examine them.</w:t>
      </w:r>
      <w:r w:rsidR="00B00D1A">
        <w:rPr>
          <w:rFonts w:ascii="Times New Roman" w:hAnsi="Times New Roman" w:cs="Times New Roman"/>
          <w:sz w:val="24"/>
          <w:szCs w:val="24"/>
        </w:rPr>
        <w:t xml:space="preserve"> On the merits, the respondent argued that the seizure was lawful since it was made pursuant to </w:t>
      </w:r>
      <w:r w:rsidR="00561A3C">
        <w:rPr>
          <w:rFonts w:ascii="Times New Roman" w:hAnsi="Times New Roman" w:cs="Times New Roman"/>
          <w:sz w:val="24"/>
          <w:szCs w:val="24"/>
        </w:rPr>
        <w:t>s</w:t>
      </w:r>
      <w:r w:rsidR="00426F4B">
        <w:rPr>
          <w:rFonts w:ascii="Times New Roman" w:hAnsi="Times New Roman" w:cs="Times New Roman"/>
          <w:sz w:val="24"/>
          <w:szCs w:val="24"/>
        </w:rPr>
        <w:t xml:space="preserve"> 193 of </w:t>
      </w:r>
      <w:r w:rsidR="00B00D1A">
        <w:rPr>
          <w:rFonts w:ascii="Times New Roman" w:hAnsi="Times New Roman" w:cs="Times New Roman"/>
          <w:sz w:val="24"/>
          <w:szCs w:val="24"/>
        </w:rPr>
        <w:t>the Customs and Excise Act</w:t>
      </w:r>
      <w:r w:rsidR="00367198">
        <w:rPr>
          <w:rFonts w:ascii="Times New Roman" w:hAnsi="Times New Roman" w:cs="Times New Roman"/>
          <w:sz w:val="24"/>
          <w:szCs w:val="24"/>
        </w:rPr>
        <w:t xml:space="preserve"> [</w:t>
      </w:r>
      <w:r w:rsidR="00367198" w:rsidRPr="00053105">
        <w:rPr>
          <w:rFonts w:ascii="Times New Roman" w:hAnsi="Times New Roman" w:cs="Times New Roman"/>
          <w:i/>
          <w:sz w:val="24"/>
          <w:szCs w:val="24"/>
        </w:rPr>
        <w:t>Chapter 23:02</w:t>
      </w:r>
      <w:r w:rsidR="00367198">
        <w:rPr>
          <w:rFonts w:ascii="Times New Roman" w:hAnsi="Times New Roman" w:cs="Times New Roman"/>
          <w:sz w:val="24"/>
          <w:szCs w:val="24"/>
        </w:rPr>
        <w:t>]</w:t>
      </w:r>
      <w:r w:rsidR="00793177">
        <w:rPr>
          <w:rFonts w:ascii="Times New Roman" w:hAnsi="Times New Roman" w:cs="Times New Roman"/>
          <w:sz w:val="24"/>
          <w:szCs w:val="24"/>
        </w:rPr>
        <w:t xml:space="preserve"> </w:t>
      </w:r>
    </w:p>
    <w:p w:rsidR="00327E45" w:rsidRPr="00F15590" w:rsidRDefault="00327E45" w:rsidP="002D75AF">
      <w:pPr>
        <w:spacing w:after="0" w:line="360" w:lineRule="auto"/>
        <w:jc w:val="both"/>
        <w:rPr>
          <w:rFonts w:ascii="Times New Roman" w:hAnsi="Times New Roman" w:cs="Times New Roman"/>
          <w:b/>
          <w:sz w:val="16"/>
          <w:szCs w:val="16"/>
        </w:rPr>
      </w:pPr>
    </w:p>
    <w:p w:rsidR="009629F4" w:rsidRPr="00AB331B" w:rsidRDefault="009629F4" w:rsidP="002D75AF">
      <w:pPr>
        <w:spacing w:after="0" w:line="360" w:lineRule="auto"/>
        <w:jc w:val="both"/>
        <w:rPr>
          <w:rFonts w:ascii="Times New Roman" w:hAnsi="Times New Roman" w:cs="Times New Roman"/>
          <w:b/>
          <w:i/>
          <w:sz w:val="24"/>
          <w:szCs w:val="24"/>
        </w:rPr>
      </w:pPr>
      <w:r w:rsidRPr="00AB331B">
        <w:rPr>
          <w:rFonts w:ascii="Times New Roman" w:hAnsi="Times New Roman" w:cs="Times New Roman"/>
          <w:b/>
          <w:sz w:val="24"/>
          <w:szCs w:val="24"/>
        </w:rPr>
        <w:t xml:space="preserve">Point </w:t>
      </w:r>
      <w:r w:rsidR="00E3574D">
        <w:rPr>
          <w:rFonts w:ascii="Times New Roman" w:hAnsi="Times New Roman" w:cs="Times New Roman"/>
          <w:b/>
          <w:i/>
          <w:sz w:val="24"/>
          <w:szCs w:val="24"/>
        </w:rPr>
        <w:t>in l</w:t>
      </w:r>
      <w:r w:rsidRPr="00AB331B">
        <w:rPr>
          <w:rFonts w:ascii="Times New Roman" w:hAnsi="Times New Roman" w:cs="Times New Roman"/>
          <w:b/>
          <w:i/>
          <w:sz w:val="24"/>
          <w:szCs w:val="24"/>
        </w:rPr>
        <w:t>imine</w:t>
      </w:r>
    </w:p>
    <w:p w:rsidR="00BB0E96" w:rsidRPr="00CE0FE0" w:rsidRDefault="004F5878" w:rsidP="00CE0F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w:t>
      </w:r>
      <w:r w:rsidR="00BC6BE5" w:rsidRPr="00AB331B">
        <w:rPr>
          <w:rFonts w:ascii="Times New Roman" w:hAnsi="Times New Roman" w:cs="Times New Roman"/>
          <w:sz w:val="24"/>
          <w:szCs w:val="24"/>
        </w:rPr>
        <w:t xml:space="preserve">point </w:t>
      </w:r>
      <w:r w:rsidR="00BC6BE5" w:rsidRPr="00AB331B">
        <w:rPr>
          <w:rFonts w:ascii="Times New Roman" w:hAnsi="Times New Roman" w:cs="Times New Roman"/>
          <w:i/>
          <w:sz w:val="24"/>
          <w:szCs w:val="24"/>
        </w:rPr>
        <w:t>in limine</w:t>
      </w:r>
      <w:r w:rsidR="00BC6BE5" w:rsidRPr="00AB331B">
        <w:rPr>
          <w:rFonts w:ascii="Times New Roman" w:hAnsi="Times New Roman" w:cs="Times New Roman"/>
          <w:sz w:val="24"/>
          <w:szCs w:val="24"/>
        </w:rPr>
        <w:t xml:space="preserve"> </w:t>
      </w:r>
      <w:r>
        <w:rPr>
          <w:rFonts w:ascii="Times New Roman" w:hAnsi="Times New Roman" w:cs="Times New Roman"/>
          <w:sz w:val="24"/>
          <w:szCs w:val="24"/>
        </w:rPr>
        <w:t xml:space="preserve">raised is </w:t>
      </w:r>
      <w:r w:rsidR="00DB35D3">
        <w:rPr>
          <w:rFonts w:ascii="Times New Roman" w:hAnsi="Times New Roman" w:cs="Times New Roman"/>
          <w:sz w:val="24"/>
          <w:szCs w:val="24"/>
        </w:rPr>
        <w:t>the relief sought was improper, and that th</w:t>
      </w:r>
      <w:r w:rsidR="00906224">
        <w:rPr>
          <w:rFonts w:ascii="Times New Roman" w:hAnsi="Times New Roman" w:cs="Times New Roman"/>
          <w:sz w:val="24"/>
          <w:szCs w:val="24"/>
        </w:rPr>
        <w:t>e</w:t>
      </w:r>
      <w:r w:rsidR="00DB35D3">
        <w:rPr>
          <w:rFonts w:ascii="Times New Roman" w:hAnsi="Times New Roman" w:cs="Times New Roman"/>
          <w:sz w:val="24"/>
          <w:szCs w:val="24"/>
        </w:rPr>
        <w:t xml:space="preserve"> application </w:t>
      </w:r>
      <w:r w:rsidR="00906224">
        <w:rPr>
          <w:rFonts w:ascii="Times New Roman" w:hAnsi="Times New Roman" w:cs="Times New Roman"/>
          <w:sz w:val="24"/>
          <w:szCs w:val="24"/>
        </w:rPr>
        <w:t>is defective.</w:t>
      </w:r>
      <w:r w:rsidR="00BA1518">
        <w:rPr>
          <w:rFonts w:ascii="Times New Roman" w:hAnsi="Times New Roman" w:cs="Times New Roman"/>
          <w:sz w:val="24"/>
          <w:szCs w:val="24"/>
        </w:rPr>
        <w:t xml:space="preserve"> The argument is that the relief cannot be obtained via an urgent chamber application</w:t>
      </w:r>
      <w:r w:rsidR="00636379">
        <w:rPr>
          <w:rFonts w:ascii="Times New Roman" w:hAnsi="Times New Roman" w:cs="Times New Roman"/>
          <w:sz w:val="24"/>
          <w:szCs w:val="24"/>
        </w:rPr>
        <w:t>, since it is final in nature. Put differently, the respondent’s contention</w:t>
      </w:r>
      <w:r w:rsidR="00EC203B">
        <w:rPr>
          <w:rFonts w:ascii="Times New Roman" w:hAnsi="Times New Roman" w:cs="Times New Roman"/>
          <w:sz w:val="24"/>
          <w:szCs w:val="24"/>
        </w:rPr>
        <w:t xml:space="preserve"> is that the applicant seeks the release of the </w:t>
      </w:r>
      <w:r w:rsidR="00EA7B54">
        <w:rPr>
          <w:rFonts w:ascii="Times New Roman" w:hAnsi="Times New Roman" w:cs="Times New Roman"/>
          <w:sz w:val="24"/>
          <w:szCs w:val="24"/>
        </w:rPr>
        <w:t xml:space="preserve">trucks and their consignment on the strength of a </w:t>
      </w:r>
      <w:r w:rsidR="00EA7B54" w:rsidRPr="00053105">
        <w:rPr>
          <w:rFonts w:ascii="Times New Roman" w:hAnsi="Times New Roman" w:cs="Times New Roman"/>
          <w:i/>
          <w:sz w:val="24"/>
          <w:szCs w:val="24"/>
        </w:rPr>
        <w:t>pr</w:t>
      </w:r>
      <w:r w:rsidR="002F72CC" w:rsidRPr="00053105">
        <w:rPr>
          <w:rFonts w:ascii="Times New Roman" w:hAnsi="Times New Roman" w:cs="Times New Roman"/>
          <w:i/>
          <w:sz w:val="24"/>
          <w:szCs w:val="24"/>
        </w:rPr>
        <w:t>ima facie</w:t>
      </w:r>
      <w:r w:rsidR="002F72CC">
        <w:rPr>
          <w:rFonts w:ascii="Times New Roman" w:hAnsi="Times New Roman" w:cs="Times New Roman"/>
          <w:sz w:val="24"/>
          <w:szCs w:val="24"/>
        </w:rPr>
        <w:t xml:space="preserve"> right without establishing a clear right.</w:t>
      </w:r>
      <w:r w:rsidR="00AC2188">
        <w:rPr>
          <w:rFonts w:ascii="Times New Roman" w:hAnsi="Times New Roman" w:cs="Times New Roman"/>
          <w:sz w:val="24"/>
          <w:szCs w:val="24"/>
        </w:rPr>
        <w:t xml:space="preserve"> </w:t>
      </w:r>
      <w:r w:rsidR="001F332B">
        <w:rPr>
          <w:rFonts w:ascii="Times New Roman" w:hAnsi="Times New Roman" w:cs="Times New Roman"/>
          <w:sz w:val="24"/>
          <w:szCs w:val="24"/>
        </w:rPr>
        <w:t>In its affidavit, the respondent says that application is one for review and must be brought by way of an application.</w:t>
      </w:r>
      <w:r w:rsidR="006F4222">
        <w:rPr>
          <w:rFonts w:ascii="Times New Roman" w:hAnsi="Times New Roman" w:cs="Times New Roman"/>
          <w:sz w:val="24"/>
          <w:szCs w:val="24"/>
        </w:rPr>
        <w:t xml:space="preserve"> </w:t>
      </w:r>
      <w:r w:rsidR="00D87B14">
        <w:rPr>
          <w:rFonts w:ascii="Times New Roman" w:hAnsi="Times New Roman" w:cs="Times New Roman"/>
          <w:sz w:val="24"/>
          <w:szCs w:val="24"/>
        </w:rPr>
        <w:t xml:space="preserve">In other words, the submission of the respondent is that this matter should have been brought before this court as a review application. </w:t>
      </w:r>
      <w:r w:rsidR="006F4222">
        <w:rPr>
          <w:rFonts w:ascii="Times New Roman" w:hAnsi="Times New Roman" w:cs="Times New Roman"/>
          <w:sz w:val="24"/>
          <w:szCs w:val="24"/>
        </w:rPr>
        <w:t xml:space="preserve">The second point in </w:t>
      </w:r>
      <w:r w:rsidR="006F4222" w:rsidRPr="008D1D8B">
        <w:rPr>
          <w:rFonts w:ascii="Times New Roman" w:hAnsi="Times New Roman" w:cs="Times New Roman"/>
          <w:i/>
          <w:sz w:val="24"/>
          <w:szCs w:val="24"/>
        </w:rPr>
        <w:t>limine</w:t>
      </w:r>
      <w:r w:rsidR="00377A86">
        <w:rPr>
          <w:rFonts w:ascii="Times New Roman" w:hAnsi="Times New Roman" w:cs="Times New Roman"/>
          <w:sz w:val="24"/>
          <w:szCs w:val="24"/>
        </w:rPr>
        <w:t xml:space="preserve"> n</w:t>
      </w:r>
      <w:r w:rsidR="00CC02BE">
        <w:rPr>
          <w:rFonts w:ascii="Times New Roman" w:hAnsi="Times New Roman" w:cs="Times New Roman"/>
          <w:sz w:val="24"/>
          <w:szCs w:val="24"/>
        </w:rPr>
        <w:t>eed not detain</w:t>
      </w:r>
      <w:r w:rsidR="00377A86">
        <w:rPr>
          <w:rFonts w:ascii="Times New Roman" w:hAnsi="Times New Roman" w:cs="Times New Roman"/>
          <w:sz w:val="24"/>
          <w:szCs w:val="24"/>
        </w:rPr>
        <w:t xml:space="preserve"> me as it</w:t>
      </w:r>
      <w:r w:rsidR="006F4222">
        <w:rPr>
          <w:rFonts w:ascii="Times New Roman" w:hAnsi="Times New Roman" w:cs="Times New Roman"/>
          <w:sz w:val="24"/>
          <w:szCs w:val="24"/>
        </w:rPr>
        <w:t xml:space="preserve"> was</w:t>
      </w:r>
      <w:r w:rsidR="00377A86">
        <w:rPr>
          <w:rFonts w:ascii="Times New Roman" w:hAnsi="Times New Roman" w:cs="Times New Roman"/>
          <w:sz w:val="24"/>
          <w:szCs w:val="24"/>
        </w:rPr>
        <w:t xml:space="preserve"> subsequently abandoned.</w:t>
      </w:r>
      <w:r w:rsidR="006F4222">
        <w:rPr>
          <w:rFonts w:ascii="Times New Roman" w:hAnsi="Times New Roman" w:cs="Times New Roman"/>
          <w:sz w:val="24"/>
          <w:szCs w:val="24"/>
        </w:rPr>
        <w:t xml:space="preserve"> </w:t>
      </w:r>
      <w:r w:rsidR="00D8494B">
        <w:rPr>
          <w:rFonts w:ascii="Times New Roman" w:hAnsi="Times New Roman" w:cs="Times New Roman"/>
          <w:sz w:val="24"/>
          <w:szCs w:val="24"/>
        </w:rPr>
        <w:t>For completeness of record, t</w:t>
      </w:r>
      <w:r w:rsidR="001B41D4">
        <w:rPr>
          <w:rFonts w:ascii="Times New Roman" w:hAnsi="Times New Roman" w:cs="Times New Roman"/>
          <w:sz w:val="24"/>
          <w:szCs w:val="24"/>
        </w:rPr>
        <w:t>he objection was that the date on the founding affidavit was typewritten and not inserted in ink by the commissioner of oaths.</w:t>
      </w:r>
      <w:r w:rsidR="00A22984">
        <w:rPr>
          <w:rFonts w:ascii="Times New Roman" w:hAnsi="Times New Roman" w:cs="Times New Roman"/>
          <w:sz w:val="24"/>
          <w:szCs w:val="24"/>
        </w:rPr>
        <w:t xml:space="preserve"> My view is that </w:t>
      </w:r>
      <w:r w:rsidR="00D91F10">
        <w:rPr>
          <w:rFonts w:ascii="Times New Roman" w:hAnsi="Times New Roman" w:cs="Times New Roman"/>
          <w:sz w:val="24"/>
          <w:szCs w:val="24"/>
        </w:rPr>
        <w:t xml:space="preserve">the point lacked merit and </w:t>
      </w:r>
      <w:r w:rsidR="00A22984">
        <w:rPr>
          <w:rFonts w:ascii="Times New Roman" w:hAnsi="Times New Roman" w:cs="Times New Roman"/>
          <w:sz w:val="24"/>
          <w:szCs w:val="24"/>
        </w:rPr>
        <w:t>Counsel for the respond</w:t>
      </w:r>
      <w:r w:rsidR="00D91F10">
        <w:rPr>
          <w:rFonts w:ascii="Times New Roman" w:hAnsi="Times New Roman" w:cs="Times New Roman"/>
          <w:sz w:val="24"/>
          <w:szCs w:val="24"/>
        </w:rPr>
        <w:t>ent rightly abandoned it</w:t>
      </w:r>
      <w:r w:rsidR="00A22984">
        <w:rPr>
          <w:rFonts w:ascii="Times New Roman" w:hAnsi="Times New Roman" w:cs="Times New Roman"/>
          <w:sz w:val="24"/>
          <w:szCs w:val="24"/>
        </w:rPr>
        <w:t>.</w:t>
      </w:r>
      <w:r w:rsidR="006D299E">
        <w:rPr>
          <w:rFonts w:ascii="Times New Roman" w:hAnsi="Times New Roman" w:cs="Times New Roman"/>
          <w:sz w:val="24"/>
          <w:szCs w:val="24"/>
        </w:rPr>
        <w:t xml:space="preserve"> I prefer to deal with </w:t>
      </w:r>
      <w:r w:rsidR="001133C0">
        <w:rPr>
          <w:rFonts w:ascii="Times New Roman" w:hAnsi="Times New Roman" w:cs="Times New Roman"/>
          <w:sz w:val="24"/>
          <w:szCs w:val="24"/>
        </w:rPr>
        <w:t xml:space="preserve">and determine </w:t>
      </w:r>
      <w:r w:rsidR="006D299E">
        <w:rPr>
          <w:rFonts w:ascii="Times New Roman" w:hAnsi="Times New Roman" w:cs="Times New Roman"/>
          <w:sz w:val="24"/>
          <w:szCs w:val="24"/>
        </w:rPr>
        <w:t xml:space="preserve">the </w:t>
      </w:r>
      <w:r w:rsidR="001133C0">
        <w:rPr>
          <w:rFonts w:ascii="Times New Roman" w:hAnsi="Times New Roman" w:cs="Times New Roman"/>
          <w:sz w:val="24"/>
          <w:szCs w:val="24"/>
        </w:rPr>
        <w:t xml:space="preserve">first </w:t>
      </w:r>
      <w:r w:rsidR="006D299E">
        <w:rPr>
          <w:rFonts w:ascii="Times New Roman" w:hAnsi="Times New Roman" w:cs="Times New Roman"/>
          <w:sz w:val="24"/>
          <w:szCs w:val="24"/>
        </w:rPr>
        <w:t>preliminary point when I deal with the merits of the application.</w:t>
      </w:r>
      <w:r w:rsidR="002251F2">
        <w:rPr>
          <w:rFonts w:ascii="Times New Roman" w:hAnsi="Times New Roman" w:cs="Times New Roman"/>
          <w:sz w:val="24"/>
          <w:szCs w:val="24"/>
        </w:rPr>
        <w:t xml:space="preserve"> Let me now turn to</w:t>
      </w:r>
      <w:r w:rsidR="006D4FC5">
        <w:rPr>
          <w:rFonts w:ascii="Times New Roman" w:hAnsi="Times New Roman" w:cs="Times New Roman"/>
          <w:sz w:val="24"/>
          <w:szCs w:val="24"/>
        </w:rPr>
        <w:t xml:space="preserve"> the law on the subject.</w:t>
      </w:r>
    </w:p>
    <w:p w:rsidR="00BB0E96" w:rsidRPr="00BB0E96" w:rsidRDefault="00BB0E96" w:rsidP="002D75AF">
      <w:pPr>
        <w:spacing w:after="0" w:line="360" w:lineRule="auto"/>
        <w:jc w:val="both"/>
        <w:rPr>
          <w:rFonts w:ascii="Times New Roman" w:hAnsi="Times New Roman" w:cs="Times New Roman"/>
          <w:b/>
          <w:sz w:val="24"/>
          <w:szCs w:val="24"/>
        </w:rPr>
      </w:pPr>
      <w:r w:rsidRPr="00BB0E96">
        <w:rPr>
          <w:rFonts w:ascii="Times New Roman" w:hAnsi="Times New Roman" w:cs="Times New Roman"/>
          <w:b/>
          <w:sz w:val="24"/>
          <w:szCs w:val="24"/>
        </w:rPr>
        <w:t>The applicable law</w:t>
      </w:r>
    </w:p>
    <w:p w:rsidR="009B5C33" w:rsidRDefault="00A54E9C" w:rsidP="002D75AF">
      <w:pPr>
        <w:spacing w:after="0" w:line="360" w:lineRule="auto"/>
        <w:ind w:firstLine="720"/>
        <w:jc w:val="both"/>
        <w:rPr>
          <w:rFonts w:ascii="Times New Roman" w:hAnsi="Times New Roman" w:cs="Times New Roman"/>
          <w:iCs/>
          <w:sz w:val="24"/>
          <w:szCs w:val="24"/>
        </w:rPr>
      </w:pPr>
      <w:r>
        <w:rPr>
          <w:rFonts w:ascii="Times New Roman" w:hAnsi="Times New Roman" w:cs="Times New Roman"/>
          <w:bCs/>
          <w:sz w:val="24"/>
          <w:szCs w:val="24"/>
        </w:rPr>
        <w:t>The law on spoliation</w:t>
      </w:r>
      <w:r w:rsidR="00547EFC">
        <w:rPr>
          <w:rFonts w:ascii="Times New Roman" w:hAnsi="Times New Roman" w:cs="Times New Roman"/>
          <w:bCs/>
          <w:sz w:val="24"/>
          <w:szCs w:val="24"/>
        </w:rPr>
        <w:t xml:space="preserve"> is a well-beaten path and easy to understand. </w:t>
      </w:r>
      <w:r w:rsidR="00F10B64">
        <w:rPr>
          <w:rFonts w:ascii="Times New Roman" w:hAnsi="Times New Roman" w:cs="Times New Roman"/>
          <w:bCs/>
          <w:sz w:val="24"/>
          <w:szCs w:val="24"/>
        </w:rPr>
        <w:t xml:space="preserve">An </w:t>
      </w:r>
      <w:r w:rsidRPr="00A54E9C">
        <w:rPr>
          <w:rFonts w:ascii="Times New Roman" w:hAnsi="Times New Roman" w:cs="Times New Roman"/>
          <w:bCs/>
          <w:sz w:val="24"/>
          <w:szCs w:val="24"/>
        </w:rPr>
        <w:t>applicant</w:t>
      </w:r>
      <w:r w:rsidR="00F10B64">
        <w:rPr>
          <w:rFonts w:ascii="Times New Roman" w:hAnsi="Times New Roman" w:cs="Times New Roman"/>
          <w:bCs/>
          <w:sz w:val="24"/>
          <w:szCs w:val="24"/>
        </w:rPr>
        <w:t xml:space="preserve"> in spoliation proceedings needs to show</w:t>
      </w:r>
      <w:r w:rsidRPr="00A54E9C">
        <w:rPr>
          <w:rFonts w:ascii="Times New Roman" w:hAnsi="Times New Roman" w:cs="Times New Roman"/>
          <w:bCs/>
          <w:sz w:val="24"/>
          <w:szCs w:val="24"/>
        </w:rPr>
        <w:t xml:space="preserve"> that he or she was in peaceful and undisturbed possession of the thing in question at the time they were deprived of possession. Such applicant must also prove that they were forcibly and against their consent </w:t>
      </w:r>
      <w:r w:rsidR="00691300">
        <w:rPr>
          <w:rFonts w:ascii="Times New Roman" w:hAnsi="Times New Roman" w:cs="Times New Roman"/>
          <w:bCs/>
          <w:sz w:val="24"/>
          <w:szCs w:val="24"/>
        </w:rPr>
        <w:t xml:space="preserve">deprived of the possession. </w:t>
      </w:r>
      <w:r w:rsidR="00691300">
        <w:rPr>
          <w:rFonts w:ascii="Times New Roman" w:hAnsi="Times New Roman" w:cs="Times New Roman"/>
          <w:sz w:val="24"/>
          <w:szCs w:val="24"/>
        </w:rPr>
        <w:t xml:space="preserve">This position of the law was asserted by GUBBAY CJ in </w:t>
      </w:r>
      <w:r w:rsidR="00691300">
        <w:rPr>
          <w:rFonts w:ascii="Times New Roman" w:hAnsi="Times New Roman" w:cs="Times New Roman"/>
          <w:i/>
          <w:sz w:val="24"/>
          <w:szCs w:val="24"/>
        </w:rPr>
        <w:t xml:space="preserve">Botha &amp; Anor </w:t>
      </w:r>
      <w:r w:rsidR="00691300" w:rsidRPr="00053105">
        <w:rPr>
          <w:rFonts w:ascii="Times New Roman" w:hAnsi="Times New Roman" w:cs="Times New Roman"/>
          <w:sz w:val="24"/>
          <w:szCs w:val="24"/>
        </w:rPr>
        <w:t>v</w:t>
      </w:r>
      <w:r w:rsidR="00691300">
        <w:rPr>
          <w:rFonts w:ascii="Times New Roman" w:hAnsi="Times New Roman" w:cs="Times New Roman"/>
          <w:i/>
          <w:sz w:val="24"/>
          <w:szCs w:val="24"/>
        </w:rPr>
        <w:t xml:space="preserve"> Barret </w:t>
      </w:r>
      <w:r w:rsidR="00691300">
        <w:rPr>
          <w:rFonts w:ascii="Times New Roman" w:hAnsi="Times New Roman" w:cs="Times New Roman"/>
          <w:sz w:val="24"/>
          <w:szCs w:val="24"/>
        </w:rPr>
        <w:t xml:space="preserve">1996 </w:t>
      </w:r>
      <w:r w:rsidR="00C46F8B">
        <w:rPr>
          <w:rFonts w:ascii="Times New Roman" w:hAnsi="Times New Roman" w:cs="Times New Roman"/>
          <w:sz w:val="24"/>
          <w:szCs w:val="24"/>
        </w:rPr>
        <w:t>(2) ZLR 73 (SC) at 79</w:t>
      </w:r>
      <w:r w:rsidR="00AE6EC6" w:rsidRPr="00AE6EC6">
        <w:rPr>
          <w:rFonts w:ascii="Times New Roman" w:hAnsi="Times New Roman" w:cs="Times New Roman"/>
          <w:bCs/>
          <w:sz w:val="24"/>
          <w:szCs w:val="24"/>
        </w:rPr>
        <w:t>.</w:t>
      </w:r>
      <w:r w:rsidRPr="00AE6EC6">
        <w:rPr>
          <w:rFonts w:ascii="Times New Roman" w:hAnsi="Times New Roman" w:cs="Times New Roman"/>
          <w:sz w:val="24"/>
          <w:szCs w:val="24"/>
        </w:rPr>
        <w:t xml:space="preserve"> </w:t>
      </w:r>
      <w:r w:rsidR="00A23A4D">
        <w:rPr>
          <w:rFonts w:ascii="Times New Roman" w:hAnsi="Times New Roman" w:cs="Times New Roman"/>
          <w:sz w:val="24"/>
          <w:szCs w:val="24"/>
        </w:rPr>
        <w:t xml:space="preserve">In fact, </w:t>
      </w:r>
      <w:r w:rsidR="00A23A4D">
        <w:rPr>
          <w:rFonts w:ascii="Times New Roman" w:hAnsi="Times New Roman" w:cs="Times New Roman"/>
          <w:sz w:val="24"/>
          <w:szCs w:val="24"/>
        </w:rPr>
        <w:lastRenderedPageBreak/>
        <w:t>t</w:t>
      </w:r>
      <w:r w:rsidR="00CE0F4D">
        <w:rPr>
          <w:rFonts w:ascii="Times New Roman" w:hAnsi="Times New Roman" w:cs="Times New Roman"/>
          <w:sz w:val="24"/>
          <w:szCs w:val="24"/>
        </w:rPr>
        <w:t>he position had been</w:t>
      </w:r>
      <w:r w:rsidR="00136381">
        <w:rPr>
          <w:rFonts w:ascii="Times New Roman" w:hAnsi="Times New Roman" w:cs="Times New Roman"/>
          <w:sz w:val="24"/>
          <w:szCs w:val="24"/>
        </w:rPr>
        <w:t xml:space="preserve"> put clearly</w:t>
      </w:r>
      <w:r w:rsidR="005A7141">
        <w:rPr>
          <w:rFonts w:ascii="Times New Roman" w:hAnsi="Times New Roman" w:cs="Times New Roman"/>
          <w:sz w:val="24"/>
          <w:szCs w:val="24"/>
        </w:rPr>
        <w:t xml:space="preserve"> by REYNOLDS J</w:t>
      </w:r>
      <w:r w:rsidR="00136381">
        <w:rPr>
          <w:rFonts w:ascii="Times New Roman" w:hAnsi="Times New Roman" w:cs="Times New Roman"/>
          <w:sz w:val="24"/>
          <w:szCs w:val="24"/>
        </w:rPr>
        <w:t xml:space="preserve"> in </w:t>
      </w:r>
      <w:r w:rsidR="00136381" w:rsidRPr="00136381">
        <w:rPr>
          <w:rStyle w:val="Emphasis"/>
          <w:rFonts w:ascii="Times New Roman" w:hAnsi="Times New Roman"/>
          <w:iCs/>
          <w:sz w:val="24"/>
          <w:szCs w:val="24"/>
        </w:rPr>
        <w:t xml:space="preserve">Chisveto </w:t>
      </w:r>
      <w:r w:rsidR="00136381" w:rsidRPr="00136381">
        <w:rPr>
          <w:rStyle w:val="Emphasis"/>
          <w:rFonts w:ascii="Times New Roman" w:hAnsi="Times New Roman"/>
          <w:i w:val="0"/>
          <w:iCs/>
          <w:sz w:val="24"/>
          <w:szCs w:val="24"/>
        </w:rPr>
        <w:t>v</w:t>
      </w:r>
      <w:r w:rsidR="00136381" w:rsidRPr="00136381">
        <w:rPr>
          <w:rStyle w:val="Emphasis"/>
          <w:rFonts w:ascii="Times New Roman" w:hAnsi="Times New Roman"/>
          <w:iCs/>
          <w:sz w:val="24"/>
          <w:szCs w:val="24"/>
        </w:rPr>
        <w:t xml:space="preserve"> Minister of Local Government &amp; Town Planning</w:t>
      </w:r>
      <w:r w:rsidR="00723846">
        <w:rPr>
          <w:rStyle w:val="Emphasis"/>
          <w:iCs/>
        </w:rPr>
        <w:t xml:space="preserve"> </w:t>
      </w:r>
      <w:r w:rsidR="00723846" w:rsidRPr="00723846">
        <w:rPr>
          <w:rStyle w:val="Emphasis"/>
          <w:rFonts w:ascii="Times New Roman" w:hAnsi="Times New Roman"/>
          <w:i w:val="0"/>
          <w:iCs/>
          <w:sz w:val="24"/>
          <w:szCs w:val="24"/>
        </w:rPr>
        <w:t>1984 (1</w:t>
      </w:r>
      <w:r w:rsidR="00723846" w:rsidRPr="00723846">
        <w:rPr>
          <w:rFonts w:ascii="Times New Roman" w:hAnsi="Times New Roman" w:cs="Times New Roman"/>
          <w:i/>
          <w:sz w:val="24"/>
          <w:szCs w:val="24"/>
        </w:rPr>
        <w:t xml:space="preserve">) ZLR 248 </w:t>
      </w:r>
      <w:r w:rsidR="00723846" w:rsidRPr="00723846">
        <w:rPr>
          <w:rFonts w:ascii="Times New Roman" w:hAnsi="Times New Roman" w:cs="Times New Roman"/>
          <w:sz w:val="24"/>
          <w:szCs w:val="24"/>
        </w:rPr>
        <w:t>at 250 A-D</w:t>
      </w:r>
      <w:r w:rsidR="00136381" w:rsidRPr="005A3DBA">
        <w:rPr>
          <w:rStyle w:val="FootnoteReference"/>
          <w:i/>
          <w:iCs/>
        </w:rPr>
        <w:t xml:space="preserve"> </w:t>
      </w:r>
      <w:r w:rsidR="00723846" w:rsidRPr="00723846">
        <w:rPr>
          <w:rFonts w:ascii="Times New Roman" w:hAnsi="Times New Roman" w:cs="Times New Roman"/>
          <w:iCs/>
          <w:sz w:val="24"/>
          <w:szCs w:val="24"/>
        </w:rPr>
        <w:t>as follows:</w:t>
      </w:r>
    </w:p>
    <w:p w:rsidR="00D2525D" w:rsidRDefault="00D2525D" w:rsidP="002D75AF">
      <w:pPr>
        <w:spacing w:after="0" w:line="360" w:lineRule="auto"/>
        <w:ind w:firstLine="720"/>
        <w:jc w:val="both"/>
        <w:rPr>
          <w:rFonts w:ascii="Times New Roman" w:hAnsi="Times New Roman" w:cs="Times New Roman"/>
          <w:iCs/>
          <w:sz w:val="24"/>
          <w:szCs w:val="24"/>
        </w:rPr>
      </w:pPr>
    </w:p>
    <w:p w:rsidR="00391B13" w:rsidRPr="00D64E81" w:rsidRDefault="00391B13" w:rsidP="002D75AF">
      <w:pPr>
        <w:spacing w:after="0" w:line="360" w:lineRule="auto"/>
        <w:ind w:firstLine="720"/>
        <w:jc w:val="both"/>
        <w:rPr>
          <w:rFonts w:ascii="Times New Roman" w:hAnsi="Times New Roman" w:cs="Times New Roman"/>
          <w:iCs/>
          <w:sz w:val="10"/>
          <w:szCs w:val="10"/>
        </w:rPr>
      </w:pPr>
    </w:p>
    <w:p w:rsidR="002C774A" w:rsidRPr="003B2506" w:rsidRDefault="002C774A" w:rsidP="00053105">
      <w:pPr>
        <w:spacing w:after="0" w:line="240" w:lineRule="auto"/>
        <w:ind w:left="720"/>
        <w:jc w:val="both"/>
        <w:rPr>
          <w:rFonts w:ascii="Times New Roman" w:hAnsi="Times New Roman" w:cs="Times New Roman"/>
        </w:rPr>
      </w:pPr>
      <w:r w:rsidRPr="003B2506">
        <w:rPr>
          <w:rFonts w:ascii="Times New Roman" w:hAnsi="Times New Roman" w:cs="Times New Roman"/>
          <w:i/>
        </w:rPr>
        <w:t>“</w:t>
      </w:r>
      <w:r w:rsidRPr="003B2506">
        <w:rPr>
          <w:rStyle w:val="Emphasis"/>
          <w:rFonts w:ascii="Times New Roman" w:hAnsi="Times New Roman"/>
          <w:i w:val="0"/>
          <w:iCs/>
        </w:rPr>
        <w:t xml:space="preserve">it is a well-recognized principle that in spoliation proceedings it need only be proved that the applicant was in possession of something and that there was a forcible or wrongful interference with his possession of that thing—that </w:t>
      </w:r>
      <w:r w:rsidRPr="003B2506">
        <w:rPr>
          <w:rStyle w:val="Strong"/>
          <w:rFonts w:ascii="Times New Roman" w:hAnsi="Times New Roman"/>
          <w:b w:val="0"/>
          <w:bCs/>
          <w:i/>
          <w:iCs/>
        </w:rPr>
        <w:t>spoliatus ante omnia</w:t>
      </w:r>
      <w:r w:rsidRPr="003B2506">
        <w:rPr>
          <w:rStyle w:val="Strong"/>
          <w:rFonts w:ascii="Times New Roman" w:hAnsi="Times New Roman"/>
          <w:b w:val="0"/>
          <w:bCs/>
          <w:iCs/>
        </w:rPr>
        <w:t xml:space="preserve"> </w:t>
      </w:r>
      <w:r w:rsidRPr="003B2506">
        <w:rPr>
          <w:rStyle w:val="Strong"/>
          <w:rFonts w:ascii="Times New Roman" w:hAnsi="Times New Roman"/>
          <w:b w:val="0"/>
          <w:bCs/>
          <w:i/>
          <w:iCs/>
        </w:rPr>
        <w:t>restituendus est</w:t>
      </w:r>
      <w:r w:rsidRPr="003B2506">
        <w:rPr>
          <w:rStyle w:val="Strong"/>
          <w:rFonts w:ascii="Times New Roman" w:hAnsi="Times New Roman"/>
          <w:b w:val="0"/>
          <w:bCs/>
          <w:iCs/>
        </w:rPr>
        <w:t>”</w:t>
      </w:r>
      <w:r w:rsidRPr="003B2506">
        <w:rPr>
          <w:rFonts w:ascii="Times New Roman" w:hAnsi="Times New Roman" w:cs="Times New Roman"/>
        </w:rPr>
        <w:t xml:space="preserve"> </w:t>
      </w:r>
      <w:r w:rsidRPr="003B2506">
        <w:rPr>
          <w:rStyle w:val="Strong"/>
          <w:rFonts w:ascii="Times New Roman" w:hAnsi="Times New Roman"/>
          <w:b w:val="0"/>
          <w:bCs/>
          <w:iCs/>
        </w:rPr>
        <w:t>(Beckus v Crous</w:t>
      </w:r>
      <w:r w:rsidRPr="003B2506">
        <w:rPr>
          <w:rStyle w:val="Emphasis"/>
          <w:rFonts w:ascii="Times New Roman" w:hAnsi="Times New Roman"/>
          <w:b/>
          <w:iCs/>
        </w:rPr>
        <w:t xml:space="preserve"> </w:t>
      </w:r>
      <w:r w:rsidRPr="003B2506">
        <w:rPr>
          <w:rStyle w:val="Strong"/>
          <w:rFonts w:ascii="Times New Roman" w:hAnsi="Times New Roman"/>
          <w:b w:val="0"/>
          <w:bCs/>
          <w:iCs/>
        </w:rPr>
        <w:t>and Another</w:t>
      </w:r>
      <w:r w:rsidRPr="003B2506">
        <w:rPr>
          <w:rStyle w:val="Emphasis"/>
          <w:rFonts w:ascii="Times New Roman" w:hAnsi="Times New Roman"/>
          <w:iCs/>
        </w:rPr>
        <w:t xml:space="preserve"> 1975 (4) SA215 (NC). </w:t>
      </w:r>
      <w:r w:rsidRPr="003B0416">
        <w:rPr>
          <w:rStyle w:val="Emphasis"/>
          <w:rFonts w:ascii="Times New Roman" w:hAnsi="Times New Roman"/>
          <w:i w:val="0"/>
          <w:iCs/>
        </w:rPr>
        <w:t>Lawfulness of possession does not enter into it.</w:t>
      </w:r>
      <w:r w:rsidRPr="003B2506">
        <w:rPr>
          <w:rStyle w:val="Emphasis"/>
          <w:rFonts w:ascii="Times New Roman" w:hAnsi="Times New Roman"/>
          <w:b/>
          <w:i w:val="0"/>
          <w:iCs/>
          <w:u w:val="single"/>
        </w:rPr>
        <w:t xml:space="preserve"> </w:t>
      </w:r>
      <w:r w:rsidRPr="005C4E4E">
        <w:rPr>
          <w:rStyle w:val="Emphasis"/>
          <w:rFonts w:ascii="Times New Roman" w:hAnsi="Times New Roman"/>
          <w:i w:val="0"/>
          <w:iCs/>
        </w:rPr>
        <w:t xml:space="preserve">The purpose of the </w:t>
      </w:r>
      <w:r w:rsidRPr="005C4E4E">
        <w:rPr>
          <w:rStyle w:val="Strong"/>
          <w:rFonts w:ascii="Times New Roman" w:hAnsi="Times New Roman"/>
          <w:b w:val="0"/>
          <w:bCs/>
          <w:i/>
          <w:iCs/>
        </w:rPr>
        <w:t>mandament van spolie</w:t>
      </w:r>
      <w:r w:rsidRPr="005C4E4E">
        <w:rPr>
          <w:rStyle w:val="Emphasis"/>
          <w:rFonts w:ascii="Times New Roman" w:hAnsi="Times New Roman"/>
          <w:i w:val="0"/>
          <w:iCs/>
        </w:rPr>
        <w:t xml:space="preserve"> is to preserve law and order and to discourage persons from taking the law into their own hands. </w:t>
      </w:r>
      <w:r w:rsidRPr="003B2506">
        <w:rPr>
          <w:rStyle w:val="Emphasis"/>
          <w:rFonts w:ascii="Times New Roman" w:hAnsi="Times New Roman"/>
          <w:i w:val="0"/>
          <w:iCs/>
        </w:rPr>
        <w:t xml:space="preserve">To give effect to these objectives, it is necessary for the </w:t>
      </w:r>
      <w:r w:rsidRPr="003B2506">
        <w:rPr>
          <w:rStyle w:val="Strong"/>
          <w:rFonts w:ascii="Times New Roman" w:hAnsi="Times New Roman"/>
          <w:b w:val="0"/>
          <w:bCs/>
          <w:i/>
          <w:iCs/>
        </w:rPr>
        <w:t>status quo ante</w:t>
      </w:r>
      <w:r w:rsidRPr="003B2506">
        <w:rPr>
          <w:rStyle w:val="Emphasis"/>
          <w:rFonts w:ascii="Times New Roman" w:hAnsi="Times New Roman"/>
          <w:i w:val="0"/>
          <w:iCs/>
        </w:rPr>
        <w:t xml:space="preserve"> to be restored until such time as a competent court of law assesses the relative merits of the claims of each party. Thus it is my view that the lawfulness or otherwise of the applicant’s possession of the property does not fall for consideration at all. In fact the classic generalization is sometimes made that in respect of spoliation actions that even a robber or a thief is entitled to be restored to possession of the stolen property.”</w:t>
      </w:r>
    </w:p>
    <w:p w:rsidR="00391B13" w:rsidRPr="00723846" w:rsidRDefault="00391B13" w:rsidP="002D75AF">
      <w:pPr>
        <w:spacing w:after="0" w:line="360" w:lineRule="auto"/>
        <w:ind w:firstLine="720"/>
        <w:jc w:val="both"/>
        <w:rPr>
          <w:rFonts w:ascii="Times New Roman" w:hAnsi="Times New Roman" w:cs="Times New Roman"/>
        </w:rPr>
      </w:pPr>
    </w:p>
    <w:p w:rsidR="00492BB7" w:rsidRDefault="00C66C84" w:rsidP="002D75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w:t>
      </w:r>
      <w:r w:rsidR="00580482">
        <w:rPr>
          <w:rFonts w:ascii="Times New Roman" w:hAnsi="Times New Roman" w:cs="Times New Roman"/>
          <w:sz w:val="24"/>
          <w:szCs w:val="24"/>
        </w:rPr>
        <w:t xml:space="preserve"> case</w:t>
      </w:r>
      <w:r w:rsidR="00912B7D">
        <w:rPr>
          <w:rFonts w:ascii="Times New Roman" w:hAnsi="Times New Roman" w:cs="Times New Roman"/>
          <w:sz w:val="24"/>
          <w:szCs w:val="24"/>
        </w:rPr>
        <w:t xml:space="preserve"> </w:t>
      </w:r>
      <w:r w:rsidR="00580482">
        <w:rPr>
          <w:rFonts w:ascii="Times New Roman" w:hAnsi="Times New Roman" w:cs="Times New Roman"/>
          <w:sz w:val="24"/>
          <w:szCs w:val="24"/>
        </w:rPr>
        <w:t>law</w:t>
      </w:r>
      <w:r>
        <w:rPr>
          <w:rFonts w:ascii="Times New Roman" w:hAnsi="Times New Roman" w:cs="Times New Roman"/>
          <w:sz w:val="24"/>
          <w:szCs w:val="24"/>
        </w:rPr>
        <w:t xml:space="preserve">, </w:t>
      </w:r>
      <w:r w:rsidR="00912B7D">
        <w:rPr>
          <w:rFonts w:ascii="Times New Roman" w:hAnsi="Times New Roman" w:cs="Times New Roman"/>
          <w:sz w:val="24"/>
          <w:szCs w:val="24"/>
        </w:rPr>
        <w:t>it evident</w:t>
      </w:r>
      <w:r w:rsidR="002D16A2" w:rsidRPr="002D16A2">
        <w:rPr>
          <w:rFonts w:ascii="Times New Roman" w:hAnsi="Times New Roman" w:cs="Times New Roman"/>
          <w:sz w:val="24"/>
          <w:szCs w:val="24"/>
        </w:rPr>
        <w:t xml:space="preserve"> that </w:t>
      </w:r>
      <w:r w:rsidR="000C0EA9">
        <w:rPr>
          <w:rFonts w:ascii="Times New Roman" w:hAnsi="Times New Roman" w:cs="Times New Roman"/>
          <w:sz w:val="24"/>
          <w:szCs w:val="24"/>
        </w:rPr>
        <w:t>the remedy of spoliation</w:t>
      </w:r>
      <w:r w:rsidR="002D16A2" w:rsidRPr="002D16A2">
        <w:rPr>
          <w:rFonts w:ascii="Times New Roman" w:hAnsi="Times New Roman" w:cs="Times New Roman"/>
          <w:sz w:val="24"/>
          <w:szCs w:val="24"/>
        </w:rPr>
        <w:t xml:space="preserve"> has </w:t>
      </w:r>
      <w:r w:rsidR="000C0EA9">
        <w:rPr>
          <w:rFonts w:ascii="Times New Roman" w:hAnsi="Times New Roman" w:cs="Times New Roman"/>
          <w:sz w:val="24"/>
          <w:szCs w:val="24"/>
        </w:rPr>
        <w:t xml:space="preserve">as </w:t>
      </w:r>
      <w:r w:rsidR="002D16A2" w:rsidRPr="002D16A2">
        <w:rPr>
          <w:rFonts w:ascii="Times New Roman" w:hAnsi="Times New Roman" w:cs="Times New Roman"/>
          <w:sz w:val="24"/>
          <w:szCs w:val="24"/>
        </w:rPr>
        <w:t xml:space="preserve">its core value or objective, </w:t>
      </w:r>
      <w:r w:rsidR="00713C18">
        <w:rPr>
          <w:rFonts w:ascii="Times New Roman" w:hAnsi="Times New Roman" w:cs="Times New Roman"/>
          <w:sz w:val="24"/>
          <w:szCs w:val="24"/>
        </w:rPr>
        <w:t xml:space="preserve">the protection </w:t>
      </w:r>
      <w:r w:rsidR="002D16A2" w:rsidRPr="002D16A2">
        <w:rPr>
          <w:rFonts w:ascii="Times New Roman" w:hAnsi="Times New Roman" w:cs="Times New Roman"/>
          <w:sz w:val="24"/>
          <w:szCs w:val="24"/>
        </w:rPr>
        <w:t xml:space="preserve">of property against unlawful </w:t>
      </w:r>
      <w:r w:rsidR="00713C18">
        <w:rPr>
          <w:rFonts w:ascii="Times New Roman" w:hAnsi="Times New Roman" w:cs="Times New Roman"/>
          <w:sz w:val="24"/>
          <w:szCs w:val="24"/>
        </w:rPr>
        <w:t xml:space="preserve">or wrongful </w:t>
      </w:r>
      <w:r w:rsidR="002D16A2" w:rsidRPr="002D16A2">
        <w:rPr>
          <w:rFonts w:ascii="Times New Roman" w:hAnsi="Times New Roman" w:cs="Times New Roman"/>
          <w:sz w:val="24"/>
          <w:szCs w:val="24"/>
        </w:rPr>
        <w:t>dispossession.</w:t>
      </w:r>
      <w:r w:rsidR="0057112A">
        <w:rPr>
          <w:rFonts w:ascii="Times New Roman" w:hAnsi="Times New Roman" w:cs="Times New Roman"/>
          <w:sz w:val="24"/>
          <w:szCs w:val="24"/>
        </w:rPr>
        <w:t xml:space="preserve"> </w:t>
      </w:r>
      <w:r w:rsidR="00B46C6D">
        <w:rPr>
          <w:rFonts w:ascii="Times New Roman" w:hAnsi="Times New Roman" w:cs="Times New Roman"/>
          <w:sz w:val="24"/>
          <w:szCs w:val="24"/>
        </w:rPr>
        <w:t>I am mindful</w:t>
      </w:r>
      <w:r w:rsidR="008C7C30">
        <w:rPr>
          <w:rFonts w:ascii="Times New Roman" w:hAnsi="Times New Roman" w:cs="Times New Roman"/>
          <w:sz w:val="24"/>
          <w:szCs w:val="24"/>
        </w:rPr>
        <w:t xml:space="preserve"> </w:t>
      </w:r>
      <w:r w:rsidR="002F070D">
        <w:rPr>
          <w:rFonts w:ascii="Times New Roman" w:hAnsi="Times New Roman" w:cs="Times New Roman"/>
          <w:sz w:val="24"/>
          <w:szCs w:val="24"/>
        </w:rPr>
        <w:t>th</w:t>
      </w:r>
      <w:r w:rsidR="008C7C30">
        <w:rPr>
          <w:rFonts w:ascii="Times New Roman" w:hAnsi="Times New Roman" w:cs="Times New Roman"/>
          <w:sz w:val="24"/>
          <w:szCs w:val="24"/>
        </w:rPr>
        <w:t>at the applicant relies on the respondent’s failure to comply</w:t>
      </w:r>
      <w:r w:rsidR="002F070D">
        <w:rPr>
          <w:rFonts w:ascii="Times New Roman" w:hAnsi="Times New Roman" w:cs="Times New Roman"/>
          <w:sz w:val="24"/>
          <w:szCs w:val="24"/>
        </w:rPr>
        <w:t xml:space="preserve"> with </w:t>
      </w:r>
      <w:r w:rsidR="00053105">
        <w:rPr>
          <w:rFonts w:ascii="Times New Roman" w:hAnsi="Times New Roman" w:cs="Times New Roman"/>
          <w:sz w:val="24"/>
          <w:szCs w:val="24"/>
        </w:rPr>
        <w:t>s</w:t>
      </w:r>
      <w:r w:rsidR="000F0036">
        <w:rPr>
          <w:rFonts w:ascii="Times New Roman" w:hAnsi="Times New Roman" w:cs="Times New Roman"/>
          <w:sz w:val="24"/>
          <w:szCs w:val="24"/>
        </w:rPr>
        <w:t xml:space="preserve"> 68</w:t>
      </w:r>
      <w:r w:rsidR="00053105">
        <w:rPr>
          <w:rFonts w:ascii="Times New Roman" w:hAnsi="Times New Roman" w:cs="Times New Roman"/>
          <w:sz w:val="24"/>
          <w:szCs w:val="24"/>
        </w:rPr>
        <w:t xml:space="preserve"> of the Constitution and s</w:t>
      </w:r>
      <w:r w:rsidR="000F0036">
        <w:rPr>
          <w:rFonts w:ascii="Times New Roman" w:hAnsi="Times New Roman" w:cs="Times New Roman"/>
          <w:sz w:val="24"/>
          <w:szCs w:val="24"/>
        </w:rPr>
        <w:t xml:space="preserve"> 3 (1) of the AJA </w:t>
      </w:r>
      <w:r w:rsidR="00B46C6D">
        <w:rPr>
          <w:rFonts w:ascii="Times New Roman" w:hAnsi="Times New Roman" w:cs="Times New Roman"/>
          <w:sz w:val="24"/>
          <w:szCs w:val="24"/>
        </w:rPr>
        <w:t>as</w:t>
      </w:r>
      <w:r w:rsidR="008C7C30">
        <w:rPr>
          <w:rFonts w:ascii="Times New Roman" w:hAnsi="Times New Roman" w:cs="Times New Roman"/>
          <w:sz w:val="24"/>
          <w:szCs w:val="24"/>
        </w:rPr>
        <w:t xml:space="preserve"> the reason why the </w:t>
      </w:r>
      <w:r w:rsidR="001312B6">
        <w:rPr>
          <w:rFonts w:ascii="Times New Roman" w:hAnsi="Times New Roman" w:cs="Times New Roman"/>
          <w:sz w:val="24"/>
          <w:szCs w:val="24"/>
        </w:rPr>
        <w:t>seizure amounts to an act of spoliation.</w:t>
      </w:r>
      <w:r w:rsidR="001040A1">
        <w:rPr>
          <w:rFonts w:ascii="Times New Roman" w:hAnsi="Times New Roman" w:cs="Times New Roman"/>
          <w:sz w:val="24"/>
          <w:szCs w:val="24"/>
        </w:rPr>
        <w:t xml:space="preserve"> It is therefore imperative for</w:t>
      </w:r>
      <w:r w:rsidR="00282B15">
        <w:rPr>
          <w:rFonts w:ascii="Times New Roman" w:hAnsi="Times New Roman" w:cs="Times New Roman"/>
          <w:sz w:val="24"/>
          <w:szCs w:val="24"/>
        </w:rPr>
        <w:t xml:space="preserve"> me to intimately con</w:t>
      </w:r>
      <w:r w:rsidR="008F1FA7">
        <w:rPr>
          <w:rFonts w:ascii="Times New Roman" w:hAnsi="Times New Roman" w:cs="Times New Roman"/>
          <w:sz w:val="24"/>
          <w:szCs w:val="24"/>
        </w:rPr>
        <w:t>s</w:t>
      </w:r>
      <w:r w:rsidR="00282B15">
        <w:rPr>
          <w:rFonts w:ascii="Times New Roman" w:hAnsi="Times New Roman" w:cs="Times New Roman"/>
          <w:sz w:val="24"/>
          <w:szCs w:val="24"/>
        </w:rPr>
        <w:t>ider</w:t>
      </w:r>
      <w:r w:rsidR="00661779">
        <w:rPr>
          <w:rFonts w:ascii="Times New Roman" w:hAnsi="Times New Roman" w:cs="Times New Roman"/>
          <w:sz w:val="24"/>
          <w:szCs w:val="24"/>
        </w:rPr>
        <w:t xml:space="preserve"> those provisions.</w:t>
      </w:r>
      <w:r w:rsidR="00BA55A5">
        <w:rPr>
          <w:rFonts w:ascii="Times New Roman" w:hAnsi="Times New Roman" w:cs="Times New Roman"/>
          <w:sz w:val="24"/>
          <w:szCs w:val="24"/>
        </w:rPr>
        <w:t xml:space="preserve"> I make the deliberate choice</w:t>
      </w:r>
      <w:r w:rsidR="006B5463">
        <w:rPr>
          <w:rFonts w:ascii="Times New Roman" w:hAnsi="Times New Roman" w:cs="Times New Roman"/>
          <w:sz w:val="24"/>
          <w:szCs w:val="24"/>
        </w:rPr>
        <w:t xml:space="preserve"> to begin</w:t>
      </w:r>
      <w:r w:rsidR="00492BB7">
        <w:rPr>
          <w:rFonts w:ascii="Times New Roman" w:hAnsi="Times New Roman" w:cs="Times New Roman"/>
          <w:sz w:val="24"/>
          <w:szCs w:val="24"/>
        </w:rPr>
        <w:t xml:space="preserve"> by examining</w:t>
      </w:r>
      <w:r w:rsidR="006B5463">
        <w:rPr>
          <w:rFonts w:ascii="Times New Roman" w:hAnsi="Times New Roman" w:cs="Times New Roman"/>
          <w:sz w:val="24"/>
          <w:szCs w:val="24"/>
        </w:rPr>
        <w:t xml:space="preserve"> s</w:t>
      </w:r>
      <w:r w:rsidR="00820907">
        <w:rPr>
          <w:rFonts w:ascii="Times New Roman" w:hAnsi="Times New Roman" w:cs="Times New Roman"/>
          <w:sz w:val="24"/>
          <w:szCs w:val="24"/>
        </w:rPr>
        <w:t xml:space="preserve"> </w:t>
      </w:r>
      <w:r w:rsidR="006B5463" w:rsidRPr="005657AC">
        <w:rPr>
          <w:rFonts w:ascii="Times New Roman" w:hAnsi="Times New Roman" w:cs="Times New Roman"/>
          <w:sz w:val="24"/>
          <w:szCs w:val="24"/>
        </w:rPr>
        <w:t>68</w:t>
      </w:r>
      <w:r w:rsidR="00820907">
        <w:rPr>
          <w:rFonts w:ascii="Times New Roman" w:hAnsi="Times New Roman" w:cs="Times New Roman"/>
          <w:sz w:val="24"/>
          <w:szCs w:val="24"/>
        </w:rPr>
        <w:t xml:space="preserve"> </w:t>
      </w:r>
      <w:r w:rsidR="006B5463">
        <w:rPr>
          <w:rFonts w:ascii="Times New Roman" w:hAnsi="Times New Roman" w:cs="Times New Roman"/>
          <w:sz w:val="24"/>
          <w:szCs w:val="24"/>
        </w:rPr>
        <w:t>(1)</w:t>
      </w:r>
      <w:r w:rsidR="00013584">
        <w:rPr>
          <w:rFonts w:ascii="Times New Roman" w:hAnsi="Times New Roman" w:cs="Times New Roman"/>
          <w:sz w:val="24"/>
          <w:szCs w:val="24"/>
        </w:rPr>
        <w:t xml:space="preserve"> and (2)</w:t>
      </w:r>
      <w:r w:rsidR="00820907">
        <w:rPr>
          <w:rFonts w:ascii="Times New Roman" w:hAnsi="Times New Roman" w:cs="Times New Roman"/>
          <w:sz w:val="24"/>
          <w:szCs w:val="24"/>
        </w:rPr>
        <w:t xml:space="preserve"> of the Constitution, which </w:t>
      </w:r>
      <w:r w:rsidR="006B5463">
        <w:rPr>
          <w:rFonts w:ascii="Times New Roman" w:hAnsi="Times New Roman" w:cs="Times New Roman"/>
          <w:sz w:val="24"/>
          <w:szCs w:val="24"/>
        </w:rPr>
        <w:t>entitles</w:t>
      </w:r>
      <w:r w:rsidR="006B5463" w:rsidRPr="00EE658B">
        <w:rPr>
          <w:rFonts w:ascii="Times New Roman" w:hAnsi="Times New Roman" w:cs="Times New Roman"/>
          <w:sz w:val="24"/>
          <w:szCs w:val="24"/>
        </w:rPr>
        <w:t xml:space="preserve"> </w:t>
      </w:r>
      <w:r w:rsidR="006B5463">
        <w:rPr>
          <w:rFonts w:ascii="Times New Roman" w:hAnsi="Times New Roman" w:cs="Times New Roman"/>
          <w:sz w:val="24"/>
          <w:szCs w:val="24"/>
        </w:rPr>
        <w:t xml:space="preserve">everyone </w:t>
      </w:r>
      <w:r w:rsidR="006B5463" w:rsidRPr="00EE658B">
        <w:rPr>
          <w:rFonts w:ascii="Times New Roman" w:hAnsi="Times New Roman" w:cs="Times New Roman"/>
          <w:sz w:val="24"/>
          <w:szCs w:val="24"/>
        </w:rPr>
        <w:t>to just administrative</w:t>
      </w:r>
      <w:r w:rsidR="006B5463">
        <w:rPr>
          <w:rFonts w:ascii="Times New Roman" w:hAnsi="Times New Roman" w:cs="Times New Roman"/>
          <w:sz w:val="24"/>
          <w:szCs w:val="24"/>
        </w:rPr>
        <w:t xml:space="preserve"> action which is</w:t>
      </w:r>
      <w:r w:rsidR="006B5463" w:rsidRPr="00EE658B">
        <w:rPr>
          <w:rFonts w:ascii="Times New Roman" w:hAnsi="Times New Roman" w:cs="Times New Roman"/>
          <w:sz w:val="24"/>
          <w:szCs w:val="24"/>
        </w:rPr>
        <w:t xml:space="preserve"> carried out in a lawful, reasonable and procedurally fai</w:t>
      </w:r>
      <w:r w:rsidR="006B5463">
        <w:rPr>
          <w:rFonts w:ascii="Times New Roman" w:hAnsi="Times New Roman" w:cs="Times New Roman"/>
          <w:sz w:val="24"/>
          <w:szCs w:val="24"/>
        </w:rPr>
        <w:t>r manner</w:t>
      </w:r>
      <w:r w:rsidR="006B5463" w:rsidRPr="00EE658B">
        <w:rPr>
          <w:rFonts w:ascii="Times New Roman" w:hAnsi="Times New Roman" w:cs="Times New Roman"/>
          <w:sz w:val="24"/>
          <w:szCs w:val="24"/>
        </w:rPr>
        <w:t>.</w:t>
      </w:r>
      <w:r w:rsidR="006B5463">
        <w:rPr>
          <w:rFonts w:ascii="Times New Roman" w:hAnsi="Times New Roman" w:cs="Times New Roman"/>
          <w:sz w:val="24"/>
          <w:szCs w:val="24"/>
        </w:rPr>
        <w:t xml:space="preserve"> </w:t>
      </w:r>
    </w:p>
    <w:p w:rsidR="006B5463" w:rsidRDefault="00AD3DB0" w:rsidP="002D75A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w:t>
      </w:r>
      <w:r w:rsidR="006B5463">
        <w:rPr>
          <w:rFonts w:ascii="Times New Roman" w:hAnsi="Times New Roman" w:cs="Times New Roman"/>
          <w:sz w:val="24"/>
          <w:szCs w:val="24"/>
        </w:rPr>
        <w:t>ection</w:t>
      </w:r>
      <w:r>
        <w:rPr>
          <w:rFonts w:ascii="Times New Roman" w:hAnsi="Times New Roman" w:cs="Times New Roman"/>
          <w:sz w:val="24"/>
          <w:szCs w:val="24"/>
        </w:rPr>
        <w:t xml:space="preserve"> 68</w:t>
      </w:r>
      <w:r w:rsidR="006B5463">
        <w:rPr>
          <w:rFonts w:ascii="Times New Roman" w:hAnsi="Times New Roman" w:cs="Times New Roman"/>
          <w:sz w:val="24"/>
          <w:szCs w:val="24"/>
        </w:rPr>
        <w:t xml:space="preserve">, </w:t>
      </w:r>
      <w:r w:rsidR="006B5463" w:rsidRPr="00186415">
        <w:rPr>
          <w:rFonts w:ascii="Times New Roman" w:hAnsi="Times New Roman" w:cs="Times New Roman"/>
          <w:i/>
          <w:sz w:val="24"/>
          <w:szCs w:val="24"/>
        </w:rPr>
        <w:t>inter alia</w:t>
      </w:r>
      <w:r w:rsidR="006B5463">
        <w:rPr>
          <w:rFonts w:ascii="Times New Roman" w:hAnsi="Times New Roman" w:cs="Times New Roman"/>
          <w:sz w:val="24"/>
          <w:szCs w:val="24"/>
        </w:rPr>
        <w:t>, provides</w:t>
      </w:r>
      <w:r w:rsidR="00F5535B">
        <w:rPr>
          <w:rFonts w:ascii="Times New Roman" w:hAnsi="Times New Roman" w:cs="Times New Roman"/>
          <w:sz w:val="24"/>
          <w:szCs w:val="24"/>
        </w:rPr>
        <w:t xml:space="preserve"> as follows:</w:t>
      </w:r>
    </w:p>
    <w:p w:rsidR="006B5463" w:rsidRPr="00735F65" w:rsidRDefault="006B5463" w:rsidP="002D75AF">
      <w:pPr>
        <w:spacing w:line="360" w:lineRule="auto"/>
        <w:jc w:val="both"/>
        <w:rPr>
          <w:rFonts w:ascii="Times New Roman" w:hAnsi="Times New Roman" w:cs="Times New Roman"/>
          <w:sz w:val="2"/>
          <w:szCs w:val="2"/>
          <w:vertAlign w:val="subscript"/>
        </w:rPr>
      </w:pPr>
    </w:p>
    <w:p w:rsidR="006B5463" w:rsidRPr="00735F65" w:rsidRDefault="006B5463" w:rsidP="00053105">
      <w:pPr>
        <w:spacing w:line="240" w:lineRule="auto"/>
        <w:ind w:left="720"/>
        <w:jc w:val="both"/>
        <w:rPr>
          <w:rFonts w:ascii="Times New Roman" w:hAnsi="Times New Roman" w:cs="Times New Roman"/>
        </w:rPr>
      </w:pPr>
      <w:r w:rsidRPr="003039DD">
        <w:rPr>
          <w:rFonts w:ascii="Times New Roman" w:hAnsi="Times New Roman" w:cs="Times New Roman"/>
          <w:b/>
        </w:rPr>
        <w:t>“68 Right to administrative justice</w:t>
      </w:r>
    </w:p>
    <w:p w:rsidR="006B5463" w:rsidRPr="003039DD" w:rsidRDefault="006B5463" w:rsidP="00053105">
      <w:pPr>
        <w:spacing w:after="120" w:line="240" w:lineRule="auto"/>
        <w:ind w:left="720"/>
        <w:jc w:val="both"/>
        <w:rPr>
          <w:rFonts w:ascii="Times New Roman" w:hAnsi="Times New Roman" w:cs="Times New Roman"/>
        </w:rPr>
      </w:pPr>
      <w:r w:rsidRPr="003039DD">
        <w:rPr>
          <w:rFonts w:ascii="Times New Roman" w:hAnsi="Times New Roman" w:cs="Times New Roman"/>
        </w:rPr>
        <w:t xml:space="preserve">(1) Every person has a right to administrative conduct that is lawful, prompt, efficient, reasonable, proportionate, impartial and both substantively and procedurally fair. </w:t>
      </w:r>
    </w:p>
    <w:p w:rsidR="006B5463" w:rsidRPr="00E069B6" w:rsidRDefault="006B5463" w:rsidP="00053105">
      <w:pPr>
        <w:spacing w:line="240" w:lineRule="auto"/>
        <w:ind w:left="720"/>
        <w:jc w:val="both"/>
        <w:rPr>
          <w:rFonts w:ascii="Times New Roman" w:hAnsi="Times New Roman" w:cs="Times New Roman"/>
        </w:rPr>
      </w:pPr>
      <w:r w:rsidRPr="003039DD">
        <w:rPr>
          <w:rFonts w:ascii="Times New Roman" w:hAnsi="Times New Roman" w:cs="Times New Roman"/>
        </w:rPr>
        <w:t xml:space="preserve">(2) Any person whose right, freedom, interest or legitimate expectation has been adversely affected by administrative conduct </w:t>
      </w:r>
      <w:r w:rsidRPr="008B75D5">
        <w:rPr>
          <w:rFonts w:ascii="Times New Roman" w:hAnsi="Times New Roman" w:cs="Times New Roman"/>
          <w:u w:val="single"/>
        </w:rPr>
        <w:t>has the right to be given promptly and in writing the reasons for the conduct</w:t>
      </w:r>
      <w:r>
        <w:rPr>
          <w:rFonts w:ascii="Times New Roman" w:hAnsi="Times New Roman" w:cs="Times New Roman"/>
        </w:rPr>
        <w:t>”.</w:t>
      </w:r>
      <w:r w:rsidR="008B75D5">
        <w:rPr>
          <w:rFonts w:ascii="Times New Roman" w:hAnsi="Times New Roman" w:cs="Times New Roman"/>
        </w:rPr>
        <w:t xml:space="preserve"> </w:t>
      </w:r>
      <w:r w:rsidR="008B75D5" w:rsidRPr="008B75D5">
        <w:rPr>
          <w:rFonts w:ascii="Times New Roman" w:hAnsi="Times New Roman" w:cs="Times New Roman"/>
          <w:b/>
        </w:rPr>
        <w:t>[My own emphasis]</w:t>
      </w:r>
    </w:p>
    <w:p w:rsidR="00E069B6" w:rsidRPr="00E069B6" w:rsidRDefault="00E069B6" w:rsidP="002D75AF">
      <w:pPr>
        <w:spacing w:after="0" w:line="360" w:lineRule="auto"/>
        <w:jc w:val="both"/>
        <w:rPr>
          <w:rFonts w:ascii="Times New Roman" w:hAnsi="Times New Roman" w:cs="Times New Roman"/>
          <w:sz w:val="10"/>
          <w:szCs w:val="10"/>
        </w:rPr>
      </w:pPr>
    </w:p>
    <w:p w:rsidR="006B5463" w:rsidRPr="0054343F" w:rsidRDefault="003934C2" w:rsidP="00975E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observe that t</w:t>
      </w:r>
      <w:r w:rsidR="006B5463">
        <w:rPr>
          <w:rFonts w:ascii="Times New Roman" w:hAnsi="Times New Roman" w:cs="Times New Roman"/>
          <w:sz w:val="24"/>
          <w:szCs w:val="24"/>
        </w:rPr>
        <w:t>he</w:t>
      </w:r>
      <w:r>
        <w:rPr>
          <w:rFonts w:ascii="Times New Roman" w:hAnsi="Times New Roman" w:cs="Times New Roman"/>
          <w:sz w:val="24"/>
          <w:szCs w:val="24"/>
        </w:rPr>
        <w:t xml:space="preserve"> </w:t>
      </w:r>
      <w:r w:rsidR="006B5463">
        <w:rPr>
          <w:rFonts w:ascii="Times New Roman" w:hAnsi="Times New Roman" w:cs="Times New Roman"/>
          <w:sz w:val="24"/>
          <w:szCs w:val="24"/>
        </w:rPr>
        <w:t>right enshrined in s</w:t>
      </w:r>
      <w:r>
        <w:rPr>
          <w:rFonts w:ascii="Times New Roman" w:hAnsi="Times New Roman" w:cs="Times New Roman"/>
          <w:sz w:val="24"/>
          <w:szCs w:val="24"/>
        </w:rPr>
        <w:t xml:space="preserve"> </w:t>
      </w:r>
      <w:r w:rsidR="006B5463">
        <w:rPr>
          <w:rFonts w:ascii="Times New Roman" w:hAnsi="Times New Roman" w:cs="Times New Roman"/>
          <w:sz w:val="24"/>
          <w:szCs w:val="24"/>
        </w:rPr>
        <w:t>68 (1) has</w:t>
      </w:r>
      <w:r w:rsidR="006B5463" w:rsidRPr="00153498">
        <w:rPr>
          <w:rFonts w:ascii="Times New Roman" w:hAnsi="Times New Roman" w:cs="Times New Roman"/>
          <w:sz w:val="24"/>
          <w:szCs w:val="24"/>
        </w:rPr>
        <w:t xml:space="preserve"> been mirrored and </w:t>
      </w:r>
      <w:r w:rsidR="006B5463">
        <w:rPr>
          <w:rFonts w:ascii="Times New Roman" w:hAnsi="Times New Roman" w:cs="Times New Roman"/>
          <w:sz w:val="24"/>
          <w:szCs w:val="24"/>
        </w:rPr>
        <w:t>given effect</w:t>
      </w:r>
      <w:r>
        <w:rPr>
          <w:rFonts w:ascii="Times New Roman" w:hAnsi="Times New Roman" w:cs="Times New Roman"/>
          <w:sz w:val="24"/>
          <w:szCs w:val="24"/>
        </w:rPr>
        <w:t xml:space="preserve"> in </w:t>
      </w:r>
      <w:r w:rsidR="006B5463">
        <w:rPr>
          <w:rFonts w:ascii="Times New Roman" w:hAnsi="Times New Roman" w:cs="Times New Roman"/>
          <w:sz w:val="24"/>
          <w:szCs w:val="24"/>
        </w:rPr>
        <w:t>the AJA</w:t>
      </w:r>
      <w:r w:rsidR="00CD393A">
        <w:rPr>
          <w:rFonts w:ascii="Times New Roman" w:hAnsi="Times New Roman" w:cs="Times New Roman"/>
          <w:sz w:val="24"/>
          <w:szCs w:val="24"/>
        </w:rPr>
        <w:t>. To this extent</w:t>
      </w:r>
      <w:r w:rsidR="0054343F">
        <w:rPr>
          <w:rFonts w:ascii="Times New Roman" w:hAnsi="Times New Roman" w:cs="Times New Roman"/>
          <w:sz w:val="24"/>
          <w:szCs w:val="24"/>
        </w:rPr>
        <w:t>,</w:t>
      </w:r>
      <w:r w:rsidR="006B5463">
        <w:rPr>
          <w:rFonts w:ascii="Times New Roman" w:hAnsi="Times New Roman" w:cs="Times New Roman"/>
          <w:sz w:val="24"/>
          <w:szCs w:val="24"/>
        </w:rPr>
        <w:t xml:space="preserve"> s</w:t>
      </w:r>
      <w:r w:rsidR="00975ECC">
        <w:rPr>
          <w:rFonts w:ascii="Times New Roman" w:hAnsi="Times New Roman" w:cs="Times New Roman"/>
          <w:sz w:val="24"/>
          <w:szCs w:val="24"/>
        </w:rPr>
        <w:t xml:space="preserve"> </w:t>
      </w:r>
      <w:r w:rsidR="006B5463">
        <w:rPr>
          <w:rFonts w:ascii="Times New Roman" w:hAnsi="Times New Roman" w:cs="Times New Roman"/>
          <w:sz w:val="24"/>
          <w:szCs w:val="24"/>
        </w:rPr>
        <w:t xml:space="preserve">3 (1) of the AJA provides that an administrative authority which takes </w:t>
      </w:r>
      <w:r w:rsidR="006B5463" w:rsidRPr="00774E1A">
        <w:rPr>
          <w:rFonts w:ascii="Times New Roman" w:hAnsi="Times New Roman" w:cs="Times New Roman"/>
          <w:sz w:val="24"/>
          <w:szCs w:val="24"/>
        </w:rPr>
        <w:t>action which may affect the rights, interests or legitimate expectations of any person</w:t>
      </w:r>
      <w:r w:rsidR="00F82951">
        <w:rPr>
          <w:rFonts w:ascii="Times New Roman" w:hAnsi="Times New Roman" w:cs="Times New Roman"/>
          <w:sz w:val="24"/>
          <w:szCs w:val="24"/>
        </w:rPr>
        <w:t xml:space="preserve"> must</w:t>
      </w:r>
      <w:r w:rsidR="006B5463" w:rsidRPr="00774E1A">
        <w:rPr>
          <w:rFonts w:ascii="Times New Roman" w:hAnsi="Times New Roman" w:cs="Times New Roman"/>
          <w:sz w:val="24"/>
          <w:szCs w:val="24"/>
        </w:rPr>
        <w:t xml:space="preserve"> </w:t>
      </w:r>
      <w:r w:rsidR="006B5463">
        <w:rPr>
          <w:rFonts w:ascii="Times New Roman" w:hAnsi="Times New Roman" w:cs="Times New Roman"/>
          <w:sz w:val="24"/>
          <w:szCs w:val="24"/>
        </w:rPr>
        <w:t xml:space="preserve">act lawfully, reasonably and in a fair manner and give reasons for its action. </w:t>
      </w:r>
      <w:r w:rsidR="00410064">
        <w:rPr>
          <w:rFonts w:ascii="Times New Roman" w:hAnsi="Times New Roman" w:cs="Times New Roman"/>
          <w:sz w:val="24"/>
          <w:szCs w:val="24"/>
        </w:rPr>
        <w:t xml:space="preserve">No doubt is left on what is requires </w:t>
      </w:r>
      <w:r w:rsidR="00A96F42">
        <w:rPr>
          <w:rFonts w:ascii="Times New Roman" w:hAnsi="Times New Roman" w:cs="Times New Roman"/>
          <w:sz w:val="24"/>
          <w:szCs w:val="24"/>
        </w:rPr>
        <w:t xml:space="preserve">of </w:t>
      </w:r>
      <w:r w:rsidR="00410064">
        <w:rPr>
          <w:rFonts w:ascii="Times New Roman" w:hAnsi="Times New Roman" w:cs="Times New Roman"/>
          <w:sz w:val="24"/>
          <w:szCs w:val="24"/>
        </w:rPr>
        <w:t>an administrative</w:t>
      </w:r>
      <w:r w:rsidR="00A96F42">
        <w:rPr>
          <w:rFonts w:ascii="Times New Roman" w:hAnsi="Times New Roman" w:cs="Times New Roman"/>
          <w:sz w:val="24"/>
          <w:szCs w:val="24"/>
        </w:rPr>
        <w:t xml:space="preserve"> functionary, because</w:t>
      </w:r>
      <w:r w:rsidR="00410064">
        <w:rPr>
          <w:rFonts w:ascii="Times New Roman" w:hAnsi="Times New Roman" w:cs="Times New Roman"/>
          <w:sz w:val="24"/>
          <w:szCs w:val="24"/>
        </w:rPr>
        <w:t xml:space="preserve"> </w:t>
      </w:r>
      <w:r w:rsidR="00A96F42">
        <w:rPr>
          <w:rFonts w:ascii="Times New Roman" w:hAnsi="Times New Roman" w:cs="Times New Roman"/>
          <w:sz w:val="24"/>
          <w:szCs w:val="24"/>
        </w:rPr>
        <w:t>s</w:t>
      </w:r>
      <w:r w:rsidR="006B5463">
        <w:rPr>
          <w:rFonts w:ascii="Times New Roman" w:hAnsi="Times New Roman" w:cs="Times New Roman"/>
          <w:sz w:val="24"/>
          <w:szCs w:val="24"/>
        </w:rPr>
        <w:t xml:space="preserve"> 3 </w:t>
      </w:r>
      <w:r w:rsidR="006B5463" w:rsidRPr="00153498">
        <w:rPr>
          <w:rFonts w:ascii="Times New Roman" w:hAnsi="Times New Roman" w:cs="Times New Roman"/>
          <w:sz w:val="24"/>
          <w:szCs w:val="24"/>
        </w:rPr>
        <w:t>(2</w:t>
      </w:r>
      <w:r w:rsidR="006B5463">
        <w:rPr>
          <w:rFonts w:ascii="Times New Roman" w:hAnsi="Times New Roman" w:cs="Times New Roman"/>
          <w:sz w:val="24"/>
          <w:szCs w:val="24"/>
        </w:rPr>
        <w:t>)</w:t>
      </w:r>
      <w:r w:rsidR="00AD6B35">
        <w:rPr>
          <w:rFonts w:ascii="Times New Roman" w:hAnsi="Times New Roman" w:cs="Times New Roman"/>
          <w:sz w:val="24"/>
          <w:szCs w:val="24"/>
        </w:rPr>
        <w:t xml:space="preserve"> of the AJA</w:t>
      </w:r>
      <w:r w:rsidR="00723B18">
        <w:rPr>
          <w:rFonts w:ascii="Times New Roman" w:hAnsi="Times New Roman" w:cs="Times New Roman"/>
          <w:sz w:val="24"/>
          <w:szCs w:val="24"/>
        </w:rPr>
        <w:t xml:space="preserve"> reads</w:t>
      </w:r>
      <w:r w:rsidR="006B5463">
        <w:rPr>
          <w:rFonts w:ascii="Times New Roman" w:hAnsi="Times New Roman" w:cs="Times New Roman"/>
          <w:sz w:val="24"/>
          <w:szCs w:val="24"/>
        </w:rPr>
        <w:t>:</w:t>
      </w:r>
      <w:r w:rsidR="006B5463" w:rsidRPr="00153498">
        <w:rPr>
          <w:rFonts w:ascii="Times New Roman" w:hAnsi="Times New Roman" w:cs="Times New Roman"/>
          <w:sz w:val="24"/>
          <w:szCs w:val="24"/>
        </w:rPr>
        <w:t xml:space="preserve"> </w:t>
      </w:r>
    </w:p>
    <w:p w:rsidR="00975ECC" w:rsidRDefault="00975ECC" w:rsidP="00975ECC">
      <w:pPr>
        <w:pStyle w:val="NormalWeb"/>
        <w:spacing w:before="0" w:beforeAutospacing="0" w:after="0" w:afterAutospacing="0"/>
        <w:ind w:left="720"/>
        <w:jc w:val="both"/>
        <w:rPr>
          <w:sz w:val="22"/>
          <w:szCs w:val="22"/>
        </w:rPr>
      </w:pPr>
    </w:p>
    <w:p w:rsidR="00975ECC" w:rsidRDefault="00975ECC" w:rsidP="00975ECC">
      <w:pPr>
        <w:pStyle w:val="NormalWeb"/>
        <w:spacing w:before="0" w:beforeAutospacing="0" w:after="0" w:afterAutospacing="0"/>
        <w:ind w:left="720"/>
        <w:jc w:val="both"/>
        <w:rPr>
          <w:sz w:val="22"/>
          <w:szCs w:val="22"/>
        </w:rPr>
      </w:pPr>
    </w:p>
    <w:p w:rsidR="00975ECC" w:rsidRDefault="00975ECC" w:rsidP="00975ECC">
      <w:pPr>
        <w:pStyle w:val="NormalWeb"/>
        <w:spacing w:before="0" w:beforeAutospacing="0" w:after="0" w:afterAutospacing="0"/>
        <w:ind w:left="720"/>
        <w:jc w:val="both"/>
        <w:rPr>
          <w:sz w:val="22"/>
          <w:szCs w:val="22"/>
        </w:rPr>
      </w:pPr>
    </w:p>
    <w:p w:rsidR="00975ECC" w:rsidRDefault="00975ECC" w:rsidP="00975ECC">
      <w:pPr>
        <w:pStyle w:val="NormalWeb"/>
        <w:spacing w:before="0" w:beforeAutospacing="0" w:after="0" w:afterAutospacing="0"/>
        <w:ind w:left="720"/>
        <w:jc w:val="both"/>
        <w:rPr>
          <w:sz w:val="22"/>
          <w:szCs w:val="22"/>
        </w:rPr>
      </w:pPr>
    </w:p>
    <w:p w:rsidR="006B5463" w:rsidRPr="00D2525D" w:rsidRDefault="00CA54FB" w:rsidP="00975ECC">
      <w:pPr>
        <w:pStyle w:val="NormalWeb"/>
        <w:spacing w:before="0" w:beforeAutospacing="0" w:after="0" w:afterAutospacing="0"/>
        <w:ind w:left="720"/>
        <w:jc w:val="both"/>
        <w:rPr>
          <w:sz w:val="22"/>
          <w:szCs w:val="22"/>
        </w:rPr>
      </w:pPr>
      <w:r>
        <w:rPr>
          <w:sz w:val="22"/>
          <w:szCs w:val="22"/>
        </w:rPr>
        <w:t>“</w:t>
      </w:r>
      <w:r w:rsidR="006B5463" w:rsidRPr="00D2525D">
        <w:rPr>
          <w:sz w:val="22"/>
          <w:szCs w:val="22"/>
        </w:rPr>
        <w:t>In order for an administrative action to be taken in a fair manner as required by paragraph (</w:t>
      </w:r>
      <w:r w:rsidR="006B5463" w:rsidRPr="00D2525D">
        <w:rPr>
          <w:i/>
          <w:iCs/>
          <w:sz w:val="22"/>
          <w:szCs w:val="22"/>
        </w:rPr>
        <w:t>a</w:t>
      </w:r>
      <w:r w:rsidR="006B5463" w:rsidRPr="00D2525D">
        <w:rPr>
          <w:sz w:val="22"/>
          <w:szCs w:val="22"/>
        </w:rPr>
        <w:t>) of subsection (1), an administrative authority shall give a person referred to in subsection (1) –</w:t>
      </w:r>
    </w:p>
    <w:p w:rsidR="006B5463" w:rsidRPr="00D2525D" w:rsidRDefault="006B5463" w:rsidP="00D2525D">
      <w:pPr>
        <w:pStyle w:val="NormalWeb"/>
        <w:spacing w:before="0" w:beforeAutospacing="0" w:after="0" w:afterAutospacing="0"/>
        <w:jc w:val="both"/>
        <w:rPr>
          <w:sz w:val="22"/>
          <w:szCs w:val="22"/>
        </w:rPr>
      </w:pPr>
    </w:p>
    <w:p w:rsidR="006B5463" w:rsidRPr="00D2525D" w:rsidRDefault="006B5463" w:rsidP="00975ECC">
      <w:pPr>
        <w:spacing w:line="240" w:lineRule="auto"/>
        <w:ind w:left="720" w:firstLine="414"/>
        <w:jc w:val="both"/>
        <w:rPr>
          <w:rFonts w:ascii="Times New Roman" w:eastAsia="Times New Roman" w:hAnsi="Times New Roman" w:cs="Times New Roman"/>
          <w:lang w:val="en-ZW" w:eastAsia="en-ZW"/>
        </w:rPr>
      </w:pPr>
      <w:r w:rsidRPr="00D2525D">
        <w:rPr>
          <w:rFonts w:ascii="Times New Roman" w:eastAsia="Times New Roman" w:hAnsi="Times New Roman" w:cs="Times New Roman"/>
          <w:lang w:val="en-ZW" w:eastAsia="en-ZW"/>
        </w:rPr>
        <w:t>(</w:t>
      </w:r>
      <w:r w:rsidRPr="00D2525D">
        <w:rPr>
          <w:rFonts w:ascii="Times New Roman" w:eastAsia="Times New Roman" w:hAnsi="Times New Roman" w:cs="Times New Roman"/>
          <w:i/>
          <w:iCs/>
          <w:lang w:val="en-ZW" w:eastAsia="en-ZW"/>
        </w:rPr>
        <w:t>a</w:t>
      </w:r>
      <w:r w:rsidRPr="00D2525D">
        <w:rPr>
          <w:rFonts w:ascii="Times New Roman" w:eastAsia="Times New Roman" w:hAnsi="Times New Roman" w:cs="Times New Roman"/>
          <w:lang w:val="en-ZW" w:eastAsia="en-ZW"/>
        </w:rPr>
        <w:t>)  adequate notice of the nature and purpose of the proposed action; and</w:t>
      </w:r>
    </w:p>
    <w:p w:rsidR="006B5463" w:rsidRPr="00D2525D" w:rsidRDefault="006B5463" w:rsidP="00975ECC">
      <w:pPr>
        <w:spacing w:line="240" w:lineRule="auto"/>
        <w:ind w:left="720" w:firstLine="414"/>
        <w:jc w:val="both"/>
        <w:rPr>
          <w:rFonts w:ascii="Times New Roman" w:eastAsia="Times New Roman" w:hAnsi="Times New Roman" w:cs="Times New Roman"/>
          <w:lang w:val="en-ZW" w:eastAsia="en-ZW"/>
        </w:rPr>
      </w:pPr>
      <w:r w:rsidRPr="00D2525D">
        <w:rPr>
          <w:rFonts w:ascii="Times New Roman" w:eastAsia="Times New Roman" w:hAnsi="Times New Roman" w:cs="Times New Roman"/>
          <w:lang w:val="en-ZW" w:eastAsia="en-ZW"/>
        </w:rPr>
        <w:t>(</w:t>
      </w:r>
      <w:r w:rsidRPr="00D2525D">
        <w:rPr>
          <w:rFonts w:ascii="Times New Roman" w:eastAsia="Times New Roman" w:hAnsi="Times New Roman" w:cs="Times New Roman"/>
          <w:i/>
          <w:iCs/>
          <w:lang w:val="en-ZW" w:eastAsia="en-ZW"/>
        </w:rPr>
        <w:t>b</w:t>
      </w:r>
      <w:r w:rsidRPr="00D2525D">
        <w:rPr>
          <w:rFonts w:ascii="Times New Roman" w:eastAsia="Times New Roman" w:hAnsi="Times New Roman" w:cs="Times New Roman"/>
          <w:lang w:val="en-ZW" w:eastAsia="en-ZW"/>
        </w:rPr>
        <w:t>)  a reasonable opportunity to make adequate representations; and</w:t>
      </w:r>
    </w:p>
    <w:p w:rsidR="002F070D" w:rsidRDefault="006B5463" w:rsidP="00975ECC">
      <w:pPr>
        <w:spacing w:line="240" w:lineRule="auto"/>
        <w:ind w:left="720" w:firstLine="414"/>
        <w:jc w:val="both"/>
        <w:rPr>
          <w:rFonts w:ascii="Times New Roman" w:eastAsia="Times New Roman" w:hAnsi="Times New Roman" w:cs="Times New Roman"/>
          <w:lang w:val="en-ZW" w:eastAsia="en-ZW"/>
        </w:rPr>
      </w:pPr>
      <w:r w:rsidRPr="00D2525D">
        <w:rPr>
          <w:rFonts w:ascii="Times New Roman" w:eastAsia="Times New Roman" w:hAnsi="Times New Roman" w:cs="Times New Roman"/>
          <w:lang w:val="en-ZW" w:eastAsia="en-ZW"/>
        </w:rPr>
        <w:t>(</w:t>
      </w:r>
      <w:r w:rsidRPr="00D2525D">
        <w:rPr>
          <w:rFonts w:ascii="Times New Roman" w:eastAsia="Times New Roman" w:hAnsi="Times New Roman" w:cs="Times New Roman"/>
          <w:i/>
          <w:iCs/>
          <w:lang w:val="en-ZW" w:eastAsia="en-ZW"/>
        </w:rPr>
        <w:t>c</w:t>
      </w:r>
      <w:r w:rsidRPr="00D2525D">
        <w:rPr>
          <w:rFonts w:ascii="Times New Roman" w:eastAsia="Times New Roman" w:hAnsi="Times New Roman" w:cs="Times New Roman"/>
          <w:lang w:val="en-ZW" w:eastAsia="en-ZW"/>
        </w:rPr>
        <w:t>)  adequate notice of any right of review or appeal where applicable</w:t>
      </w:r>
      <w:r>
        <w:rPr>
          <w:rFonts w:ascii="Times New Roman" w:eastAsia="Times New Roman" w:hAnsi="Times New Roman" w:cs="Times New Roman"/>
          <w:lang w:val="en-ZW" w:eastAsia="en-ZW"/>
        </w:rPr>
        <w:t>”.</w:t>
      </w:r>
    </w:p>
    <w:p w:rsidR="00F40AD1" w:rsidRPr="00376C91" w:rsidRDefault="00F40AD1" w:rsidP="002D75AF">
      <w:pPr>
        <w:spacing w:line="360" w:lineRule="auto"/>
        <w:jc w:val="both"/>
        <w:rPr>
          <w:rFonts w:ascii="Times New Roman" w:eastAsia="Times New Roman" w:hAnsi="Times New Roman" w:cs="Times New Roman"/>
          <w:sz w:val="4"/>
          <w:szCs w:val="4"/>
          <w:lang w:val="en-ZW" w:eastAsia="en-ZW"/>
        </w:rPr>
      </w:pPr>
    </w:p>
    <w:p w:rsidR="00881891" w:rsidRDefault="00CD6905" w:rsidP="002D75AF">
      <w:pPr>
        <w:spacing w:line="360" w:lineRule="auto"/>
        <w:jc w:val="both"/>
        <w:rPr>
          <w:rFonts w:ascii="Times New Roman" w:eastAsia="Times New Roman" w:hAnsi="Times New Roman" w:cs="Times New Roman"/>
          <w:lang w:val="en-ZW" w:eastAsia="en-ZW"/>
        </w:rPr>
      </w:pPr>
      <w:r>
        <w:rPr>
          <w:rFonts w:ascii="Times New Roman" w:eastAsia="Times New Roman" w:hAnsi="Times New Roman" w:cs="Times New Roman"/>
          <w:lang w:val="en-ZW" w:eastAsia="en-ZW"/>
        </w:rPr>
        <w:t>It is relevant to state that w</w:t>
      </w:r>
      <w:r w:rsidR="00C40B82">
        <w:rPr>
          <w:rFonts w:ascii="Times New Roman" w:eastAsia="Times New Roman" w:hAnsi="Times New Roman" w:cs="Times New Roman"/>
          <w:lang w:val="en-ZW" w:eastAsia="en-ZW"/>
        </w:rPr>
        <w:t xml:space="preserve">hen an aggrieved person </w:t>
      </w:r>
      <w:r w:rsidR="004432ED">
        <w:rPr>
          <w:rFonts w:ascii="Times New Roman" w:eastAsia="Times New Roman" w:hAnsi="Times New Roman" w:cs="Times New Roman"/>
          <w:lang w:val="en-ZW" w:eastAsia="en-ZW"/>
        </w:rPr>
        <w:t>approaches the court for redress, section 4 of the AJA provides a range of possible outcomes</w:t>
      </w:r>
      <w:r w:rsidR="006973D5">
        <w:rPr>
          <w:rFonts w:ascii="Times New Roman" w:eastAsia="Times New Roman" w:hAnsi="Times New Roman" w:cs="Times New Roman"/>
          <w:lang w:val="en-ZW" w:eastAsia="en-ZW"/>
        </w:rPr>
        <w:t>, and provides as follows:</w:t>
      </w:r>
    </w:p>
    <w:p w:rsidR="00363C37" w:rsidRPr="002A3746" w:rsidRDefault="00363C37" w:rsidP="002D75AF">
      <w:pPr>
        <w:autoSpaceDE w:val="0"/>
        <w:autoSpaceDN w:val="0"/>
        <w:adjustRightInd w:val="0"/>
        <w:spacing w:line="360" w:lineRule="auto"/>
        <w:contextualSpacing/>
        <w:jc w:val="both"/>
        <w:rPr>
          <w:rFonts w:ascii="Times New Roman" w:hAnsi="Times New Roman" w:cs="Times New Roman"/>
          <w:sz w:val="6"/>
          <w:szCs w:val="6"/>
        </w:rPr>
      </w:pPr>
    </w:p>
    <w:p w:rsidR="00363C37" w:rsidRPr="006E506A" w:rsidRDefault="00363C37" w:rsidP="00F463AC">
      <w:pPr>
        <w:autoSpaceDE w:val="0"/>
        <w:autoSpaceDN w:val="0"/>
        <w:adjustRightInd w:val="0"/>
        <w:spacing w:after="0" w:line="240" w:lineRule="auto"/>
        <w:ind w:firstLine="720"/>
        <w:jc w:val="both"/>
        <w:rPr>
          <w:rFonts w:ascii="Times New Roman" w:hAnsi="Times New Roman" w:cs="Times New Roman"/>
          <w:b/>
          <w:bCs/>
          <w:lang w:val="en-ZW"/>
        </w:rPr>
      </w:pPr>
      <w:r w:rsidRPr="00656795">
        <w:rPr>
          <w:rFonts w:ascii="Times New Roman" w:hAnsi="Times New Roman" w:cs="Times New Roman"/>
          <w:b/>
          <w:bCs/>
          <w:lang w:val="en-ZW"/>
        </w:rPr>
        <w:t>“4 Relief against administrative authorities</w:t>
      </w:r>
    </w:p>
    <w:p w:rsidR="00363C37" w:rsidRPr="0005061B" w:rsidRDefault="00363C37" w:rsidP="00F463AC">
      <w:pPr>
        <w:pStyle w:val="ListParagraph"/>
        <w:numPr>
          <w:ilvl w:val="0"/>
          <w:numId w:val="6"/>
        </w:numPr>
        <w:autoSpaceDE w:val="0"/>
        <w:autoSpaceDN w:val="0"/>
        <w:adjustRightInd w:val="0"/>
        <w:spacing w:after="0" w:line="240" w:lineRule="auto"/>
        <w:jc w:val="both"/>
        <w:rPr>
          <w:rFonts w:ascii="Times New Roman" w:hAnsi="Times New Roman" w:cs="Times New Roman"/>
          <w:lang w:val="en-ZW"/>
        </w:rPr>
      </w:pPr>
      <w:r w:rsidRPr="0005061B">
        <w:rPr>
          <w:rFonts w:ascii="Times New Roman" w:hAnsi="Times New Roman" w:cs="Times New Roman"/>
          <w:lang w:val="en-ZW"/>
        </w:rPr>
        <w:t xml:space="preserve">Subject to this Act and any other law, any person who is aggrieved by the failure of an administrative authority to comply with section </w:t>
      </w:r>
      <w:r w:rsidRPr="0005061B">
        <w:rPr>
          <w:rFonts w:ascii="Times New Roman" w:hAnsi="Times New Roman" w:cs="Times New Roman"/>
          <w:i/>
          <w:iCs/>
          <w:lang w:val="en-ZW"/>
        </w:rPr>
        <w:t xml:space="preserve">three </w:t>
      </w:r>
      <w:r w:rsidRPr="0005061B">
        <w:rPr>
          <w:rFonts w:ascii="Times New Roman" w:hAnsi="Times New Roman" w:cs="Times New Roman"/>
          <w:lang w:val="en-ZW"/>
        </w:rPr>
        <w:t>may apply to the High Court for relief.</w:t>
      </w:r>
    </w:p>
    <w:p w:rsidR="00363C37" w:rsidRPr="0005061B" w:rsidRDefault="00363C37" w:rsidP="00F463AC">
      <w:pPr>
        <w:pStyle w:val="ListParagraph"/>
        <w:autoSpaceDE w:val="0"/>
        <w:autoSpaceDN w:val="0"/>
        <w:adjustRightInd w:val="0"/>
        <w:spacing w:after="0" w:line="240" w:lineRule="auto"/>
        <w:ind w:left="1080"/>
        <w:jc w:val="both"/>
        <w:rPr>
          <w:rFonts w:ascii="Times New Roman" w:hAnsi="Times New Roman" w:cs="Times New Roman"/>
          <w:sz w:val="8"/>
          <w:szCs w:val="8"/>
          <w:lang w:val="en-ZW"/>
        </w:rPr>
      </w:pPr>
    </w:p>
    <w:p w:rsidR="00363C37" w:rsidRPr="0005061B" w:rsidRDefault="00363C37" w:rsidP="00F463AC">
      <w:pPr>
        <w:pStyle w:val="ListParagraph"/>
        <w:numPr>
          <w:ilvl w:val="0"/>
          <w:numId w:val="6"/>
        </w:numPr>
        <w:autoSpaceDE w:val="0"/>
        <w:autoSpaceDN w:val="0"/>
        <w:adjustRightInd w:val="0"/>
        <w:spacing w:after="0" w:line="240" w:lineRule="auto"/>
        <w:jc w:val="both"/>
        <w:rPr>
          <w:rFonts w:ascii="Times New Roman" w:hAnsi="Times New Roman" w:cs="Times New Roman"/>
          <w:lang w:val="en-ZW"/>
        </w:rPr>
      </w:pPr>
      <w:r w:rsidRPr="0005061B">
        <w:rPr>
          <w:rFonts w:ascii="Times New Roman" w:hAnsi="Times New Roman" w:cs="Times New Roman"/>
          <w:lang w:val="en-ZW"/>
        </w:rPr>
        <w:t>Upon an application being made to it in terms of subsection (1), the High Court may, as may be appropriate—</w:t>
      </w:r>
    </w:p>
    <w:p w:rsidR="00363C37" w:rsidRPr="00D44935" w:rsidRDefault="00363C37" w:rsidP="00F463AC">
      <w:pPr>
        <w:autoSpaceDE w:val="0"/>
        <w:autoSpaceDN w:val="0"/>
        <w:adjustRightInd w:val="0"/>
        <w:spacing w:after="0" w:line="240" w:lineRule="auto"/>
        <w:jc w:val="both"/>
        <w:rPr>
          <w:rFonts w:ascii="Times New Roman" w:hAnsi="Times New Roman" w:cs="Times New Roman"/>
          <w:sz w:val="2"/>
          <w:szCs w:val="2"/>
          <w:lang w:val="en-ZW"/>
        </w:rPr>
      </w:pPr>
    </w:p>
    <w:p w:rsidR="00363C37" w:rsidRPr="00656795" w:rsidRDefault="00363C37" w:rsidP="00F463AC">
      <w:pPr>
        <w:autoSpaceDE w:val="0"/>
        <w:autoSpaceDN w:val="0"/>
        <w:adjustRightInd w:val="0"/>
        <w:spacing w:after="0" w:line="240" w:lineRule="auto"/>
        <w:ind w:firstLine="720"/>
        <w:jc w:val="both"/>
        <w:rPr>
          <w:rFonts w:ascii="Times New Roman" w:hAnsi="Times New Roman" w:cs="Times New Roman"/>
          <w:lang w:val="en-ZW"/>
        </w:rPr>
      </w:pPr>
      <w:r w:rsidRPr="00656795">
        <w:rPr>
          <w:rFonts w:ascii="Times New Roman" w:hAnsi="Times New Roman" w:cs="Times New Roman"/>
          <w:lang w:val="en-ZW"/>
        </w:rPr>
        <w:t>(</w:t>
      </w:r>
      <w:r w:rsidRPr="00656795">
        <w:rPr>
          <w:rFonts w:ascii="Times New Roman" w:hAnsi="Times New Roman" w:cs="Times New Roman"/>
          <w:i/>
          <w:iCs/>
          <w:lang w:val="en-ZW"/>
        </w:rPr>
        <w:t>a</w:t>
      </w:r>
      <w:r w:rsidRPr="00656795">
        <w:rPr>
          <w:rFonts w:ascii="Times New Roman" w:hAnsi="Times New Roman" w:cs="Times New Roman"/>
          <w:lang w:val="en-ZW"/>
        </w:rPr>
        <w:t>) confirm or set aside the decision concerned;</w:t>
      </w:r>
    </w:p>
    <w:p w:rsidR="00363C37" w:rsidRPr="00656795" w:rsidRDefault="00363C37" w:rsidP="00F463AC">
      <w:pPr>
        <w:autoSpaceDE w:val="0"/>
        <w:autoSpaceDN w:val="0"/>
        <w:adjustRightInd w:val="0"/>
        <w:spacing w:after="0" w:line="240" w:lineRule="auto"/>
        <w:ind w:left="720"/>
        <w:jc w:val="both"/>
        <w:rPr>
          <w:rFonts w:ascii="Times New Roman" w:hAnsi="Times New Roman" w:cs="Times New Roman"/>
          <w:lang w:val="en-ZW"/>
        </w:rPr>
      </w:pPr>
      <w:r w:rsidRPr="00656795">
        <w:rPr>
          <w:rFonts w:ascii="Times New Roman" w:hAnsi="Times New Roman" w:cs="Times New Roman"/>
          <w:lang w:val="en-ZW"/>
        </w:rPr>
        <w:t>(</w:t>
      </w:r>
      <w:r w:rsidRPr="00656795">
        <w:rPr>
          <w:rFonts w:ascii="Times New Roman" w:hAnsi="Times New Roman" w:cs="Times New Roman"/>
          <w:i/>
          <w:iCs/>
          <w:lang w:val="en-ZW"/>
        </w:rPr>
        <w:t>b</w:t>
      </w:r>
      <w:r w:rsidRPr="00656795">
        <w:rPr>
          <w:rFonts w:ascii="Times New Roman" w:hAnsi="Times New Roman" w:cs="Times New Roman"/>
          <w:lang w:val="en-ZW"/>
        </w:rPr>
        <w:t>) refer the matter back to the administrative authority concerned for consideration or reconsideration;</w:t>
      </w:r>
    </w:p>
    <w:p w:rsidR="00363C37" w:rsidRPr="00656795" w:rsidRDefault="00363C37" w:rsidP="00F463AC">
      <w:pPr>
        <w:autoSpaceDE w:val="0"/>
        <w:autoSpaceDN w:val="0"/>
        <w:adjustRightInd w:val="0"/>
        <w:spacing w:after="0" w:line="240" w:lineRule="auto"/>
        <w:ind w:left="720"/>
        <w:jc w:val="both"/>
        <w:rPr>
          <w:rFonts w:ascii="Times New Roman" w:hAnsi="Times New Roman" w:cs="Times New Roman"/>
          <w:lang w:val="en-ZW"/>
        </w:rPr>
      </w:pPr>
      <w:r w:rsidRPr="00656795">
        <w:rPr>
          <w:rFonts w:ascii="Times New Roman" w:hAnsi="Times New Roman" w:cs="Times New Roman"/>
          <w:lang w:val="en-ZW"/>
        </w:rPr>
        <w:t>(</w:t>
      </w:r>
      <w:r w:rsidRPr="00656795">
        <w:rPr>
          <w:rFonts w:ascii="Times New Roman" w:hAnsi="Times New Roman" w:cs="Times New Roman"/>
          <w:i/>
          <w:iCs/>
          <w:lang w:val="en-ZW"/>
        </w:rPr>
        <w:t>c</w:t>
      </w:r>
      <w:r w:rsidRPr="00656795">
        <w:rPr>
          <w:rFonts w:ascii="Times New Roman" w:hAnsi="Times New Roman" w:cs="Times New Roman"/>
          <w:lang w:val="en-ZW"/>
        </w:rPr>
        <w:t>) direct the administrative authority to take administrative action within the relevant period specified by</w:t>
      </w:r>
      <w:r>
        <w:rPr>
          <w:rFonts w:ascii="Times New Roman" w:hAnsi="Times New Roman" w:cs="Times New Roman"/>
          <w:lang w:val="en-ZW"/>
        </w:rPr>
        <w:t xml:space="preserve"> </w:t>
      </w:r>
      <w:r w:rsidRPr="00656795">
        <w:rPr>
          <w:rFonts w:ascii="Times New Roman" w:hAnsi="Times New Roman" w:cs="Times New Roman"/>
          <w:lang w:val="en-ZW"/>
        </w:rPr>
        <w:t>law or, if no such period is specified, within a period fixed by the High Court;</w:t>
      </w:r>
    </w:p>
    <w:p w:rsidR="00363C37" w:rsidRPr="00656795" w:rsidRDefault="00363C37" w:rsidP="00F463AC">
      <w:pPr>
        <w:autoSpaceDE w:val="0"/>
        <w:autoSpaceDN w:val="0"/>
        <w:adjustRightInd w:val="0"/>
        <w:spacing w:after="0" w:line="240" w:lineRule="auto"/>
        <w:ind w:left="720"/>
        <w:jc w:val="both"/>
        <w:rPr>
          <w:rFonts w:ascii="Times New Roman" w:hAnsi="Times New Roman" w:cs="Times New Roman"/>
          <w:lang w:val="en-ZW"/>
        </w:rPr>
      </w:pPr>
      <w:r w:rsidRPr="00656795">
        <w:rPr>
          <w:rFonts w:ascii="Times New Roman" w:hAnsi="Times New Roman" w:cs="Times New Roman"/>
          <w:lang w:val="en-ZW"/>
        </w:rPr>
        <w:t>(</w:t>
      </w:r>
      <w:r w:rsidRPr="00656795">
        <w:rPr>
          <w:rFonts w:ascii="Times New Roman" w:hAnsi="Times New Roman" w:cs="Times New Roman"/>
          <w:i/>
          <w:iCs/>
          <w:lang w:val="en-ZW"/>
        </w:rPr>
        <w:t>d</w:t>
      </w:r>
      <w:r w:rsidRPr="00656795">
        <w:rPr>
          <w:rFonts w:ascii="Times New Roman" w:hAnsi="Times New Roman" w:cs="Times New Roman"/>
          <w:lang w:val="en-ZW"/>
        </w:rPr>
        <w:t>) direct the administrative authority to supply reasons for its administrative action within the relevant</w:t>
      </w:r>
      <w:r>
        <w:rPr>
          <w:rFonts w:ascii="Times New Roman" w:hAnsi="Times New Roman" w:cs="Times New Roman"/>
          <w:lang w:val="en-ZW"/>
        </w:rPr>
        <w:t xml:space="preserve"> </w:t>
      </w:r>
      <w:r w:rsidRPr="00656795">
        <w:rPr>
          <w:rFonts w:ascii="Times New Roman" w:hAnsi="Times New Roman" w:cs="Times New Roman"/>
          <w:lang w:val="en-ZW"/>
        </w:rPr>
        <w:t>period specified by law or, if no such period is specified, within a period fixed by the High Court;</w:t>
      </w:r>
    </w:p>
    <w:p w:rsidR="00363C37" w:rsidRPr="007559FB" w:rsidRDefault="00363C37" w:rsidP="00F463AC">
      <w:pPr>
        <w:autoSpaceDE w:val="0"/>
        <w:autoSpaceDN w:val="0"/>
        <w:adjustRightInd w:val="0"/>
        <w:spacing w:after="0" w:line="240" w:lineRule="auto"/>
        <w:ind w:left="720"/>
        <w:jc w:val="both"/>
        <w:rPr>
          <w:rFonts w:ascii="Times New Roman" w:hAnsi="Times New Roman" w:cs="Times New Roman"/>
          <w:lang w:val="en-ZW"/>
        </w:rPr>
      </w:pPr>
      <w:r w:rsidRPr="00656795">
        <w:rPr>
          <w:rFonts w:ascii="Times New Roman" w:hAnsi="Times New Roman" w:cs="Times New Roman"/>
          <w:lang w:val="en-ZW"/>
        </w:rPr>
        <w:t>(</w:t>
      </w:r>
      <w:r w:rsidRPr="00656795">
        <w:rPr>
          <w:rFonts w:ascii="Times New Roman" w:hAnsi="Times New Roman" w:cs="Times New Roman"/>
          <w:i/>
          <w:iCs/>
          <w:lang w:val="en-ZW"/>
        </w:rPr>
        <w:t>e</w:t>
      </w:r>
      <w:r w:rsidRPr="00656795">
        <w:rPr>
          <w:rFonts w:ascii="Times New Roman" w:hAnsi="Times New Roman" w:cs="Times New Roman"/>
          <w:lang w:val="en-ZW"/>
        </w:rPr>
        <w:t>) give such directions as the High Court may consider necessary or desirable to achieve compliance by the</w:t>
      </w:r>
      <w:r>
        <w:rPr>
          <w:rFonts w:ascii="Times New Roman" w:hAnsi="Times New Roman" w:cs="Times New Roman"/>
          <w:lang w:val="en-ZW"/>
        </w:rPr>
        <w:t xml:space="preserve"> </w:t>
      </w:r>
      <w:r w:rsidRPr="00656795">
        <w:rPr>
          <w:rFonts w:ascii="Times New Roman" w:hAnsi="Times New Roman" w:cs="Times New Roman"/>
          <w:lang w:val="en-ZW"/>
        </w:rPr>
        <w:t xml:space="preserve">administrative authority with section </w:t>
      </w:r>
      <w:r w:rsidRPr="00656795">
        <w:rPr>
          <w:rFonts w:ascii="Times New Roman" w:hAnsi="Times New Roman" w:cs="Times New Roman"/>
          <w:i/>
          <w:iCs/>
          <w:lang w:val="en-ZW"/>
        </w:rPr>
        <w:t>three</w:t>
      </w:r>
      <w:r w:rsidRPr="00656795">
        <w:rPr>
          <w:rFonts w:ascii="Times New Roman" w:hAnsi="Times New Roman" w:cs="Times New Roman"/>
          <w:lang w:val="en-ZW"/>
        </w:rPr>
        <w:t>.</w:t>
      </w:r>
    </w:p>
    <w:p w:rsidR="00E85C73" w:rsidRPr="00035870" w:rsidRDefault="00363C37" w:rsidP="00F463AC">
      <w:pPr>
        <w:autoSpaceDE w:val="0"/>
        <w:autoSpaceDN w:val="0"/>
        <w:adjustRightInd w:val="0"/>
        <w:spacing w:after="0" w:line="240" w:lineRule="auto"/>
        <w:ind w:left="720"/>
        <w:jc w:val="both"/>
        <w:rPr>
          <w:rFonts w:ascii="Times New Roman" w:hAnsi="Times New Roman" w:cs="Times New Roman"/>
          <w:lang w:val="en-ZW"/>
        </w:rPr>
      </w:pPr>
      <w:r w:rsidRPr="00656795">
        <w:rPr>
          <w:rFonts w:ascii="Times New Roman" w:hAnsi="Times New Roman" w:cs="Times New Roman"/>
          <w:lang w:val="en-ZW"/>
        </w:rPr>
        <w:t>(3) Directions given in terms of subsection (2) may include directions as to the manner or procedure which</w:t>
      </w:r>
      <w:r>
        <w:rPr>
          <w:rFonts w:ascii="Times New Roman" w:hAnsi="Times New Roman" w:cs="Times New Roman"/>
          <w:lang w:val="en-ZW"/>
        </w:rPr>
        <w:t xml:space="preserve"> </w:t>
      </w:r>
      <w:r w:rsidRPr="00656795">
        <w:rPr>
          <w:rFonts w:ascii="Times New Roman" w:hAnsi="Times New Roman" w:cs="Times New Roman"/>
          <w:lang w:val="en-ZW"/>
        </w:rPr>
        <w:t>the administrative authority should adopt in arriving at its decision and directions to ensure compliance by the</w:t>
      </w:r>
      <w:r>
        <w:rPr>
          <w:rFonts w:ascii="Times New Roman" w:hAnsi="Times New Roman" w:cs="Times New Roman"/>
          <w:lang w:val="en-ZW"/>
        </w:rPr>
        <w:t xml:space="preserve"> </w:t>
      </w:r>
      <w:r w:rsidRPr="00656795">
        <w:rPr>
          <w:rFonts w:ascii="Times New Roman" w:hAnsi="Times New Roman" w:cs="Times New Roman"/>
          <w:lang w:val="en-ZW"/>
        </w:rPr>
        <w:t>administrative authority with the relev</w:t>
      </w:r>
      <w:r>
        <w:rPr>
          <w:rFonts w:ascii="Times New Roman" w:hAnsi="Times New Roman" w:cs="Times New Roman"/>
          <w:lang w:val="en-ZW"/>
        </w:rPr>
        <w:t>ant law or empowering provision”.</w:t>
      </w:r>
    </w:p>
    <w:p w:rsidR="00F463AC" w:rsidRDefault="00F463AC" w:rsidP="002D75AF">
      <w:pPr>
        <w:spacing w:after="0" w:line="360" w:lineRule="auto"/>
        <w:jc w:val="both"/>
        <w:rPr>
          <w:rFonts w:ascii="Times New Roman" w:hAnsi="Times New Roman" w:cs="Times New Roman"/>
          <w:sz w:val="24"/>
          <w:szCs w:val="24"/>
        </w:rPr>
      </w:pPr>
    </w:p>
    <w:p w:rsidR="00A54E9C" w:rsidRDefault="0057112A" w:rsidP="002D75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will proceed to apply the law to the facts of this case.</w:t>
      </w:r>
    </w:p>
    <w:p w:rsidR="00F20EFE" w:rsidRPr="00DE38B8" w:rsidRDefault="00F20EFE" w:rsidP="002D75AF">
      <w:pPr>
        <w:spacing w:after="0" w:line="360" w:lineRule="auto"/>
        <w:jc w:val="both"/>
        <w:rPr>
          <w:rFonts w:ascii="Times New Roman" w:hAnsi="Times New Roman" w:cs="Times New Roman"/>
          <w:sz w:val="14"/>
          <w:szCs w:val="14"/>
        </w:rPr>
      </w:pPr>
    </w:p>
    <w:p w:rsidR="005353CC" w:rsidRPr="00AB331B" w:rsidRDefault="00F20EFE" w:rsidP="002D75AF">
      <w:pPr>
        <w:spacing w:after="0" w:line="360" w:lineRule="auto"/>
        <w:jc w:val="both"/>
        <w:rPr>
          <w:rFonts w:ascii="Times New Roman" w:hAnsi="Times New Roman" w:cs="Times New Roman"/>
          <w:b/>
          <w:sz w:val="24"/>
          <w:szCs w:val="24"/>
        </w:rPr>
      </w:pPr>
      <w:r w:rsidRPr="00F20EFE">
        <w:rPr>
          <w:rFonts w:ascii="Times New Roman" w:hAnsi="Times New Roman" w:cs="Times New Roman"/>
          <w:b/>
          <w:sz w:val="24"/>
          <w:szCs w:val="24"/>
        </w:rPr>
        <w:t xml:space="preserve">Analysis of the case </w:t>
      </w:r>
    </w:p>
    <w:p w:rsidR="009D6C3F" w:rsidRDefault="005B3132" w:rsidP="002D75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submits</w:t>
      </w:r>
      <w:r w:rsidR="00F74634">
        <w:rPr>
          <w:rFonts w:ascii="Times New Roman" w:hAnsi="Times New Roman" w:cs="Times New Roman"/>
          <w:sz w:val="24"/>
          <w:szCs w:val="24"/>
        </w:rPr>
        <w:t xml:space="preserve"> that this is an </w:t>
      </w:r>
      <w:r w:rsidR="005353CC" w:rsidRPr="00AB331B">
        <w:rPr>
          <w:rFonts w:ascii="Times New Roman" w:hAnsi="Times New Roman" w:cs="Times New Roman"/>
          <w:sz w:val="24"/>
          <w:szCs w:val="24"/>
        </w:rPr>
        <w:t>applica</w:t>
      </w:r>
      <w:r w:rsidR="00A41CDC">
        <w:rPr>
          <w:rFonts w:ascii="Times New Roman" w:hAnsi="Times New Roman" w:cs="Times New Roman"/>
          <w:sz w:val="24"/>
          <w:szCs w:val="24"/>
        </w:rPr>
        <w:t xml:space="preserve">tion for spoliation wherein the </w:t>
      </w:r>
      <w:r w:rsidR="005353CC" w:rsidRPr="00AB331B">
        <w:rPr>
          <w:rFonts w:ascii="Times New Roman" w:hAnsi="Times New Roman" w:cs="Times New Roman"/>
          <w:sz w:val="24"/>
          <w:szCs w:val="24"/>
        </w:rPr>
        <w:t>respondent removed the a</w:t>
      </w:r>
      <w:r w:rsidR="00F74634">
        <w:rPr>
          <w:rFonts w:ascii="Times New Roman" w:hAnsi="Times New Roman" w:cs="Times New Roman"/>
          <w:sz w:val="24"/>
          <w:szCs w:val="24"/>
        </w:rPr>
        <w:t>pplicant’s trucks and consignment they were carrying</w:t>
      </w:r>
      <w:r w:rsidR="005353CC" w:rsidRPr="00AB331B">
        <w:rPr>
          <w:rFonts w:ascii="Times New Roman" w:hAnsi="Times New Roman" w:cs="Times New Roman"/>
          <w:sz w:val="24"/>
          <w:szCs w:val="24"/>
        </w:rPr>
        <w:t xml:space="preserve"> without </w:t>
      </w:r>
      <w:r w:rsidR="00DF59B9">
        <w:rPr>
          <w:rFonts w:ascii="Times New Roman" w:hAnsi="Times New Roman" w:cs="Times New Roman"/>
          <w:sz w:val="24"/>
          <w:szCs w:val="24"/>
        </w:rPr>
        <w:t>its consent or following due process</w:t>
      </w:r>
      <w:r w:rsidR="006F3176">
        <w:rPr>
          <w:rFonts w:ascii="Times New Roman" w:hAnsi="Times New Roman" w:cs="Times New Roman"/>
          <w:sz w:val="24"/>
          <w:szCs w:val="24"/>
        </w:rPr>
        <w:t xml:space="preserve">. It was emphasized that the notices of seizure that the respondent </w:t>
      </w:r>
      <w:r w:rsidR="007C30E2">
        <w:rPr>
          <w:rFonts w:ascii="Times New Roman" w:hAnsi="Times New Roman" w:cs="Times New Roman"/>
          <w:sz w:val="24"/>
          <w:szCs w:val="24"/>
        </w:rPr>
        <w:t>issued did not specify the reason for the seizure or offence that prompted the actions of the respondent.</w:t>
      </w:r>
      <w:r w:rsidR="007A78B9">
        <w:rPr>
          <w:rFonts w:ascii="Times New Roman" w:hAnsi="Times New Roman" w:cs="Times New Roman"/>
          <w:sz w:val="24"/>
          <w:szCs w:val="24"/>
        </w:rPr>
        <w:t xml:space="preserve"> The applicant’s contention is that, as long as the respondent did not give reasons for its action </w:t>
      </w:r>
      <w:r w:rsidR="008207A7">
        <w:rPr>
          <w:rFonts w:ascii="Times New Roman" w:hAnsi="Times New Roman" w:cs="Times New Roman"/>
          <w:sz w:val="24"/>
          <w:szCs w:val="24"/>
        </w:rPr>
        <w:t xml:space="preserve">at the </w:t>
      </w:r>
      <w:r w:rsidR="008207A7">
        <w:rPr>
          <w:rFonts w:ascii="Times New Roman" w:hAnsi="Times New Roman" w:cs="Times New Roman"/>
          <w:sz w:val="24"/>
          <w:szCs w:val="24"/>
        </w:rPr>
        <w:lastRenderedPageBreak/>
        <w:t xml:space="preserve">time of </w:t>
      </w:r>
      <w:r w:rsidR="00D2525D">
        <w:rPr>
          <w:rFonts w:ascii="Times New Roman" w:hAnsi="Times New Roman" w:cs="Times New Roman"/>
          <w:sz w:val="24"/>
          <w:szCs w:val="24"/>
        </w:rPr>
        <w:t>seizure that</w:t>
      </w:r>
      <w:r w:rsidR="008207A7">
        <w:rPr>
          <w:rFonts w:ascii="Times New Roman" w:hAnsi="Times New Roman" w:cs="Times New Roman"/>
          <w:sz w:val="24"/>
          <w:szCs w:val="24"/>
        </w:rPr>
        <w:t xml:space="preserve"> constitutes an act of despoliation. Th</w:t>
      </w:r>
      <w:r w:rsidR="00FC3BE7">
        <w:rPr>
          <w:rFonts w:ascii="Times New Roman" w:hAnsi="Times New Roman" w:cs="Times New Roman"/>
          <w:sz w:val="24"/>
          <w:szCs w:val="24"/>
        </w:rPr>
        <w:t xml:space="preserve">e submission was forcefully made that </w:t>
      </w:r>
      <w:r w:rsidR="004672EF">
        <w:rPr>
          <w:rFonts w:ascii="Times New Roman" w:hAnsi="Times New Roman" w:cs="Times New Roman"/>
          <w:sz w:val="24"/>
          <w:szCs w:val="24"/>
        </w:rPr>
        <w:t xml:space="preserve">the applicant had lawfully declared the trucks and consignment of fuel at Forbes Border Post as being in transit to Zambia, and </w:t>
      </w:r>
      <w:r w:rsidR="00665469">
        <w:rPr>
          <w:rFonts w:ascii="Times New Roman" w:hAnsi="Times New Roman" w:cs="Times New Roman"/>
          <w:sz w:val="24"/>
          <w:szCs w:val="24"/>
        </w:rPr>
        <w:t>same were seized while the applicant had peaceful and undisturbed possession.</w:t>
      </w:r>
      <w:r w:rsidR="002A5DC6">
        <w:rPr>
          <w:rFonts w:ascii="Times New Roman" w:hAnsi="Times New Roman" w:cs="Times New Roman"/>
          <w:sz w:val="24"/>
          <w:szCs w:val="24"/>
        </w:rPr>
        <w:t xml:space="preserve"> </w:t>
      </w:r>
      <w:r w:rsidR="00833C27">
        <w:rPr>
          <w:rFonts w:ascii="Times New Roman" w:hAnsi="Times New Roman" w:cs="Times New Roman"/>
          <w:sz w:val="24"/>
          <w:szCs w:val="24"/>
        </w:rPr>
        <w:t>That is precisely why</w:t>
      </w:r>
      <w:r w:rsidR="00400330">
        <w:rPr>
          <w:rFonts w:ascii="Times New Roman" w:hAnsi="Times New Roman" w:cs="Times New Roman"/>
          <w:sz w:val="24"/>
          <w:szCs w:val="24"/>
        </w:rPr>
        <w:t xml:space="preserve"> the applicant pursued the relief of</w:t>
      </w:r>
      <w:r w:rsidR="004142FD" w:rsidRPr="00833C27">
        <w:rPr>
          <w:rFonts w:ascii="Times New Roman" w:hAnsi="Times New Roman" w:cs="Times New Roman"/>
          <w:sz w:val="24"/>
          <w:szCs w:val="24"/>
        </w:rPr>
        <w:t xml:space="preserve"> </w:t>
      </w:r>
      <w:r w:rsidR="00400330">
        <w:rPr>
          <w:rFonts w:ascii="Times New Roman" w:hAnsi="Times New Roman" w:cs="Times New Roman"/>
          <w:sz w:val="24"/>
          <w:szCs w:val="24"/>
        </w:rPr>
        <w:t xml:space="preserve">a </w:t>
      </w:r>
      <w:r w:rsidR="004142FD" w:rsidRPr="00833C27">
        <w:rPr>
          <w:rFonts w:ascii="Times New Roman" w:hAnsi="Times New Roman" w:cs="Times New Roman"/>
          <w:sz w:val="24"/>
          <w:szCs w:val="24"/>
        </w:rPr>
        <w:t>spoliatio</w:t>
      </w:r>
      <w:r w:rsidR="002D21E9">
        <w:rPr>
          <w:rFonts w:ascii="Times New Roman" w:hAnsi="Times New Roman" w:cs="Times New Roman"/>
          <w:sz w:val="24"/>
          <w:szCs w:val="24"/>
        </w:rPr>
        <w:t>n order on the basis that the respondent was not su</w:t>
      </w:r>
      <w:r w:rsidR="00017A84">
        <w:rPr>
          <w:rFonts w:ascii="Times New Roman" w:hAnsi="Times New Roman" w:cs="Times New Roman"/>
          <w:sz w:val="24"/>
          <w:szCs w:val="24"/>
        </w:rPr>
        <w:t>pposed to effect a seizure without fist giving reasons for such action</w:t>
      </w:r>
      <w:r w:rsidR="001923A4">
        <w:rPr>
          <w:rFonts w:ascii="Times New Roman" w:hAnsi="Times New Roman" w:cs="Times New Roman"/>
          <w:sz w:val="24"/>
          <w:szCs w:val="24"/>
        </w:rPr>
        <w:t xml:space="preserve">. </w:t>
      </w:r>
      <w:r w:rsidR="004142FD" w:rsidRPr="00833C27">
        <w:rPr>
          <w:rFonts w:ascii="Times New Roman" w:hAnsi="Times New Roman" w:cs="Times New Roman"/>
          <w:sz w:val="24"/>
          <w:szCs w:val="24"/>
        </w:rPr>
        <w:t xml:space="preserve">The </w:t>
      </w:r>
      <w:r w:rsidR="004142FD" w:rsidRPr="00833C27">
        <w:rPr>
          <w:rFonts w:ascii="Times New Roman" w:hAnsi="Times New Roman" w:cs="Times New Roman"/>
          <w:i/>
          <w:sz w:val="24"/>
          <w:szCs w:val="24"/>
        </w:rPr>
        <w:t>mandament van spolie</w:t>
      </w:r>
      <w:r w:rsidR="004142FD" w:rsidRPr="00833C27">
        <w:rPr>
          <w:rFonts w:ascii="Times New Roman" w:hAnsi="Times New Roman" w:cs="Times New Roman"/>
          <w:sz w:val="24"/>
          <w:szCs w:val="24"/>
        </w:rPr>
        <w:t xml:space="preserve"> is a restitutory interdict that accrues to a possessor where another has deprived him of possession on the pretext that the later was entitled to do so, or where the possessor has otherwise been deprived of possession unlawfully.</w:t>
      </w:r>
      <w:r w:rsidR="001923A4">
        <w:rPr>
          <w:rFonts w:ascii="Times New Roman" w:hAnsi="Times New Roman" w:cs="Times New Roman"/>
          <w:sz w:val="24"/>
          <w:szCs w:val="24"/>
        </w:rPr>
        <w:t xml:space="preserve"> I must add that the</w:t>
      </w:r>
      <w:r w:rsidR="00437C62">
        <w:rPr>
          <w:rFonts w:ascii="Times New Roman" w:hAnsi="Times New Roman" w:cs="Times New Roman"/>
          <w:sz w:val="24"/>
          <w:szCs w:val="24"/>
        </w:rPr>
        <w:t xml:space="preserve"> facts show that the respondent, on its own version, access</w:t>
      </w:r>
      <w:r w:rsidR="005447F8">
        <w:rPr>
          <w:rFonts w:ascii="Times New Roman" w:hAnsi="Times New Roman" w:cs="Times New Roman"/>
          <w:sz w:val="24"/>
          <w:szCs w:val="24"/>
        </w:rPr>
        <w:t>ed the trucks, trailers and fuel on 23</w:t>
      </w:r>
      <w:r w:rsidR="00A579BA">
        <w:rPr>
          <w:rFonts w:ascii="Times New Roman" w:hAnsi="Times New Roman" w:cs="Times New Roman"/>
          <w:sz w:val="24"/>
          <w:szCs w:val="24"/>
        </w:rPr>
        <w:t xml:space="preserve"> November 2022. (S</w:t>
      </w:r>
      <w:r w:rsidR="00D2525D">
        <w:rPr>
          <w:rFonts w:ascii="Times New Roman" w:hAnsi="Times New Roman" w:cs="Times New Roman"/>
          <w:sz w:val="24"/>
          <w:szCs w:val="24"/>
        </w:rPr>
        <w:t>ee para</w:t>
      </w:r>
      <w:r w:rsidR="00FE6A01">
        <w:rPr>
          <w:rFonts w:ascii="Times New Roman" w:hAnsi="Times New Roman" w:cs="Times New Roman"/>
          <w:sz w:val="24"/>
          <w:szCs w:val="24"/>
        </w:rPr>
        <w:t xml:space="preserve"> 7.10 of the respondent’</w:t>
      </w:r>
      <w:r w:rsidR="00A579BA">
        <w:rPr>
          <w:rFonts w:ascii="Times New Roman" w:hAnsi="Times New Roman" w:cs="Times New Roman"/>
          <w:sz w:val="24"/>
          <w:szCs w:val="24"/>
        </w:rPr>
        <w:t>s opposing affidavit).</w:t>
      </w:r>
      <w:r w:rsidR="009C127E">
        <w:rPr>
          <w:rFonts w:ascii="Times New Roman" w:hAnsi="Times New Roman" w:cs="Times New Roman"/>
          <w:sz w:val="24"/>
          <w:szCs w:val="24"/>
        </w:rPr>
        <w:t xml:space="preserve"> In fact, it is the applicant’s clearing agent who informed Z</w:t>
      </w:r>
      <w:r w:rsidR="00E7432D">
        <w:rPr>
          <w:rFonts w:ascii="Times New Roman" w:hAnsi="Times New Roman" w:cs="Times New Roman"/>
          <w:sz w:val="24"/>
          <w:szCs w:val="24"/>
        </w:rPr>
        <w:t xml:space="preserve">IMRA that </w:t>
      </w:r>
      <w:r w:rsidR="00901FDA">
        <w:rPr>
          <w:rFonts w:ascii="Times New Roman" w:hAnsi="Times New Roman" w:cs="Times New Roman"/>
          <w:sz w:val="24"/>
          <w:szCs w:val="24"/>
        </w:rPr>
        <w:t>the trucks had arrived at Chirundu.</w:t>
      </w:r>
      <w:r w:rsidR="00546464">
        <w:rPr>
          <w:rFonts w:ascii="Times New Roman" w:hAnsi="Times New Roman" w:cs="Times New Roman"/>
          <w:sz w:val="24"/>
          <w:szCs w:val="24"/>
        </w:rPr>
        <w:t xml:space="preserve"> While the respondent</w:t>
      </w:r>
      <w:r w:rsidR="002D5A32">
        <w:rPr>
          <w:rFonts w:ascii="Times New Roman" w:hAnsi="Times New Roman" w:cs="Times New Roman"/>
          <w:sz w:val="24"/>
          <w:szCs w:val="24"/>
        </w:rPr>
        <w:t xml:space="preserve"> for the first time</w:t>
      </w:r>
      <w:r w:rsidR="00546464">
        <w:rPr>
          <w:rFonts w:ascii="Times New Roman" w:hAnsi="Times New Roman" w:cs="Times New Roman"/>
          <w:sz w:val="24"/>
          <w:szCs w:val="24"/>
        </w:rPr>
        <w:t xml:space="preserve"> alleged in its opposing</w:t>
      </w:r>
      <w:r w:rsidR="002D5A32">
        <w:rPr>
          <w:rFonts w:ascii="Times New Roman" w:hAnsi="Times New Roman" w:cs="Times New Roman"/>
          <w:sz w:val="24"/>
          <w:szCs w:val="24"/>
        </w:rPr>
        <w:t xml:space="preserve"> affidavit that the applicant had tampered with the </w:t>
      </w:r>
      <w:r w:rsidR="00F305BA">
        <w:rPr>
          <w:rFonts w:ascii="Times New Roman" w:hAnsi="Times New Roman" w:cs="Times New Roman"/>
          <w:sz w:val="24"/>
          <w:szCs w:val="24"/>
        </w:rPr>
        <w:t xml:space="preserve">electronic </w:t>
      </w:r>
      <w:r w:rsidR="002D5A32">
        <w:rPr>
          <w:rFonts w:ascii="Times New Roman" w:hAnsi="Times New Roman" w:cs="Times New Roman"/>
          <w:sz w:val="24"/>
          <w:szCs w:val="24"/>
        </w:rPr>
        <w:t>seals</w:t>
      </w:r>
      <w:r w:rsidR="00F305BA">
        <w:rPr>
          <w:rFonts w:ascii="Times New Roman" w:hAnsi="Times New Roman" w:cs="Times New Roman"/>
          <w:sz w:val="24"/>
          <w:szCs w:val="24"/>
        </w:rPr>
        <w:t>, it is curious and significant that the Notices of Seizure do not contain this allegation</w:t>
      </w:r>
      <w:r w:rsidR="001A0FF5">
        <w:rPr>
          <w:rFonts w:ascii="Times New Roman" w:hAnsi="Times New Roman" w:cs="Times New Roman"/>
          <w:sz w:val="24"/>
          <w:szCs w:val="24"/>
        </w:rPr>
        <w:t xml:space="preserve">. This court is left wondering why this vital piece of information </w:t>
      </w:r>
      <w:r w:rsidR="00C76D8A">
        <w:rPr>
          <w:rFonts w:ascii="Times New Roman" w:hAnsi="Times New Roman" w:cs="Times New Roman"/>
          <w:sz w:val="24"/>
          <w:szCs w:val="24"/>
        </w:rPr>
        <w:t>was omitted, yet it is the reason for the seizure if the respondent’s version is to be believed.</w:t>
      </w:r>
      <w:r w:rsidR="002D5A32">
        <w:rPr>
          <w:rFonts w:ascii="Times New Roman" w:hAnsi="Times New Roman" w:cs="Times New Roman"/>
          <w:sz w:val="24"/>
          <w:szCs w:val="24"/>
        </w:rPr>
        <w:t xml:space="preserve"> </w:t>
      </w:r>
      <w:r w:rsidR="00E153D8">
        <w:rPr>
          <w:rFonts w:ascii="Times New Roman" w:hAnsi="Times New Roman" w:cs="Times New Roman"/>
          <w:sz w:val="24"/>
          <w:szCs w:val="24"/>
        </w:rPr>
        <w:t>In para</w:t>
      </w:r>
      <w:r w:rsidR="000E6A84">
        <w:rPr>
          <w:rFonts w:ascii="Times New Roman" w:hAnsi="Times New Roman" w:cs="Times New Roman"/>
          <w:sz w:val="24"/>
          <w:szCs w:val="24"/>
        </w:rPr>
        <w:t xml:space="preserve"> 7.25 the assertion is made that the respondent “seized the two trucks and consignment </w:t>
      </w:r>
      <w:r w:rsidR="00A56F7D">
        <w:rPr>
          <w:rFonts w:ascii="Times New Roman" w:hAnsi="Times New Roman" w:cs="Times New Roman"/>
          <w:sz w:val="24"/>
          <w:szCs w:val="24"/>
        </w:rPr>
        <w:t>for a smuggling offence”. However, the Notices of Seizure are conspicuously silent on this</w:t>
      </w:r>
      <w:r w:rsidR="000A61E8">
        <w:rPr>
          <w:rFonts w:ascii="Times New Roman" w:hAnsi="Times New Roman" w:cs="Times New Roman"/>
          <w:sz w:val="24"/>
          <w:szCs w:val="24"/>
        </w:rPr>
        <w:t>.</w:t>
      </w:r>
    </w:p>
    <w:p w:rsidR="00C87545" w:rsidRDefault="00DA571C" w:rsidP="002D75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651ABB">
        <w:rPr>
          <w:rFonts w:ascii="Times New Roman" w:hAnsi="Times New Roman" w:cs="Times New Roman"/>
          <w:sz w:val="24"/>
          <w:szCs w:val="24"/>
        </w:rPr>
        <w:t xml:space="preserve">opposing the application, the </w:t>
      </w:r>
      <w:r w:rsidR="00FC2727">
        <w:rPr>
          <w:rFonts w:ascii="Times New Roman" w:hAnsi="Times New Roman" w:cs="Times New Roman"/>
          <w:sz w:val="24"/>
          <w:szCs w:val="24"/>
        </w:rPr>
        <w:t>respondent argued (in para</w:t>
      </w:r>
      <w:r w:rsidR="00651ABB">
        <w:rPr>
          <w:rFonts w:ascii="Times New Roman" w:hAnsi="Times New Roman" w:cs="Times New Roman"/>
          <w:sz w:val="24"/>
          <w:szCs w:val="24"/>
        </w:rPr>
        <w:t>22 of its affidavit) that a review application cannot be sustained via an urgent chamber application</w:t>
      </w:r>
      <w:r w:rsidR="00E602FB">
        <w:rPr>
          <w:rFonts w:ascii="Times New Roman" w:hAnsi="Times New Roman" w:cs="Times New Roman"/>
          <w:sz w:val="24"/>
          <w:szCs w:val="24"/>
        </w:rPr>
        <w:t xml:space="preserve">, as such an application cannot have an order which is final in nature. </w:t>
      </w:r>
      <w:r w:rsidR="00C50F77">
        <w:rPr>
          <w:rFonts w:ascii="Times New Roman" w:hAnsi="Times New Roman" w:cs="Times New Roman"/>
          <w:sz w:val="24"/>
          <w:szCs w:val="24"/>
        </w:rPr>
        <w:t xml:space="preserve">This proposition has no basis in law, since </w:t>
      </w:r>
      <w:r w:rsidR="0081056A">
        <w:rPr>
          <w:rFonts w:ascii="Times New Roman" w:hAnsi="Times New Roman" w:cs="Times New Roman"/>
          <w:sz w:val="24"/>
          <w:szCs w:val="24"/>
        </w:rPr>
        <w:t xml:space="preserve">the seminal case of </w:t>
      </w:r>
      <w:r w:rsidR="00456F35">
        <w:rPr>
          <w:rFonts w:ascii="Times New Roman" w:hAnsi="Times New Roman" w:cs="Times New Roman"/>
          <w:i/>
          <w:sz w:val="24"/>
          <w:szCs w:val="24"/>
        </w:rPr>
        <w:t xml:space="preserve">Blue Rangers Estates (Pvt) Ltd </w:t>
      </w:r>
      <w:r w:rsidR="00456F35" w:rsidRPr="00C27491">
        <w:rPr>
          <w:rFonts w:ascii="Times New Roman" w:hAnsi="Times New Roman" w:cs="Times New Roman"/>
          <w:sz w:val="24"/>
          <w:szCs w:val="24"/>
        </w:rPr>
        <w:t xml:space="preserve">v </w:t>
      </w:r>
      <w:r w:rsidR="00456F35">
        <w:rPr>
          <w:rFonts w:ascii="Times New Roman" w:hAnsi="Times New Roman" w:cs="Times New Roman"/>
          <w:i/>
          <w:sz w:val="24"/>
          <w:szCs w:val="24"/>
        </w:rPr>
        <w:t xml:space="preserve">Muduvuri &amp; Anor </w:t>
      </w:r>
      <w:r w:rsidR="00456F35" w:rsidRPr="0039148B">
        <w:rPr>
          <w:rFonts w:ascii="Times New Roman" w:hAnsi="Times New Roman" w:cs="Times New Roman"/>
          <w:sz w:val="24"/>
          <w:szCs w:val="24"/>
        </w:rPr>
        <w:t>2009</w:t>
      </w:r>
      <w:r w:rsidR="0039148B">
        <w:rPr>
          <w:rFonts w:ascii="Times New Roman" w:hAnsi="Times New Roman" w:cs="Times New Roman"/>
          <w:sz w:val="24"/>
          <w:szCs w:val="24"/>
        </w:rPr>
        <w:t xml:space="preserve"> (1) ZLR 368</w:t>
      </w:r>
      <w:r w:rsidR="00BD424E">
        <w:rPr>
          <w:rFonts w:ascii="Times New Roman" w:hAnsi="Times New Roman" w:cs="Times New Roman"/>
          <w:sz w:val="24"/>
          <w:szCs w:val="24"/>
        </w:rPr>
        <w:t xml:space="preserve"> (SC) </w:t>
      </w:r>
      <w:r w:rsidR="00FD0A4B">
        <w:rPr>
          <w:rFonts w:ascii="Times New Roman" w:hAnsi="Times New Roman" w:cs="Times New Roman"/>
          <w:sz w:val="24"/>
          <w:szCs w:val="24"/>
        </w:rPr>
        <w:t>settled the pos</w:t>
      </w:r>
      <w:r w:rsidR="00386200">
        <w:rPr>
          <w:rFonts w:ascii="Times New Roman" w:hAnsi="Times New Roman" w:cs="Times New Roman"/>
          <w:sz w:val="24"/>
          <w:szCs w:val="24"/>
        </w:rPr>
        <w:t>i</w:t>
      </w:r>
      <w:r w:rsidR="00FD0A4B">
        <w:rPr>
          <w:rFonts w:ascii="Times New Roman" w:hAnsi="Times New Roman" w:cs="Times New Roman"/>
          <w:sz w:val="24"/>
          <w:szCs w:val="24"/>
        </w:rPr>
        <w:t>tion of the law as that, a spoliation being a final order cannot be granted as a provisional order.</w:t>
      </w:r>
      <w:r w:rsidR="00B35F1B">
        <w:rPr>
          <w:rFonts w:ascii="Times New Roman" w:hAnsi="Times New Roman" w:cs="Times New Roman"/>
          <w:sz w:val="24"/>
          <w:szCs w:val="24"/>
        </w:rPr>
        <w:t xml:space="preserve"> At any rate, </w:t>
      </w:r>
      <w:r w:rsidR="00D04108">
        <w:rPr>
          <w:rFonts w:ascii="Times New Roman" w:hAnsi="Times New Roman" w:cs="Times New Roman"/>
          <w:sz w:val="24"/>
          <w:szCs w:val="24"/>
        </w:rPr>
        <w:t xml:space="preserve">the application makes it clear that it is based on spoliation as well as </w:t>
      </w:r>
      <w:r w:rsidR="006A3F17">
        <w:rPr>
          <w:rFonts w:ascii="Times New Roman" w:hAnsi="Times New Roman" w:cs="Times New Roman"/>
          <w:sz w:val="24"/>
          <w:szCs w:val="24"/>
        </w:rPr>
        <w:t>breach of s</w:t>
      </w:r>
      <w:r w:rsidR="00185BAA">
        <w:rPr>
          <w:rFonts w:ascii="Times New Roman" w:hAnsi="Times New Roman" w:cs="Times New Roman"/>
          <w:sz w:val="24"/>
          <w:szCs w:val="24"/>
        </w:rPr>
        <w:t xml:space="preserve"> 68</w:t>
      </w:r>
      <w:r w:rsidR="006A3F17">
        <w:rPr>
          <w:rFonts w:ascii="Times New Roman" w:hAnsi="Times New Roman" w:cs="Times New Roman"/>
          <w:sz w:val="24"/>
          <w:szCs w:val="24"/>
        </w:rPr>
        <w:t xml:space="preserve"> of the Constitution and s</w:t>
      </w:r>
      <w:r w:rsidR="00185BAA">
        <w:rPr>
          <w:rFonts w:ascii="Times New Roman" w:hAnsi="Times New Roman" w:cs="Times New Roman"/>
          <w:sz w:val="24"/>
          <w:szCs w:val="24"/>
        </w:rPr>
        <w:t xml:space="preserve"> 3 (1) (a) of the AJA.</w:t>
      </w:r>
      <w:r w:rsidR="006A3F17">
        <w:rPr>
          <w:rFonts w:ascii="Times New Roman" w:hAnsi="Times New Roman" w:cs="Times New Roman"/>
          <w:sz w:val="24"/>
          <w:szCs w:val="24"/>
        </w:rPr>
        <w:t xml:space="preserve"> This where s</w:t>
      </w:r>
      <w:r w:rsidR="00757DE9">
        <w:rPr>
          <w:rFonts w:ascii="Times New Roman" w:hAnsi="Times New Roman" w:cs="Times New Roman"/>
          <w:sz w:val="24"/>
          <w:szCs w:val="24"/>
        </w:rPr>
        <w:t xml:space="preserve"> 4 </w:t>
      </w:r>
      <w:r w:rsidR="003029F0">
        <w:rPr>
          <w:rFonts w:ascii="Times New Roman" w:hAnsi="Times New Roman" w:cs="Times New Roman"/>
          <w:sz w:val="24"/>
          <w:szCs w:val="24"/>
        </w:rPr>
        <w:t xml:space="preserve">(1) </w:t>
      </w:r>
      <w:r w:rsidR="00757DE9">
        <w:rPr>
          <w:rFonts w:ascii="Times New Roman" w:hAnsi="Times New Roman" w:cs="Times New Roman"/>
          <w:sz w:val="24"/>
          <w:szCs w:val="24"/>
        </w:rPr>
        <w:t xml:space="preserve">of the AJA becomes </w:t>
      </w:r>
      <w:r w:rsidR="00407FCC">
        <w:rPr>
          <w:rFonts w:ascii="Times New Roman" w:hAnsi="Times New Roman" w:cs="Times New Roman"/>
          <w:sz w:val="24"/>
          <w:szCs w:val="24"/>
        </w:rPr>
        <w:t xml:space="preserve">of </w:t>
      </w:r>
      <w:r w:rsidR="003029F0">
        <w:rPr>
          <w:rFonts w:ascii="Times New Roman" w:hAnsi="Times New Roman" w:cs="Times New Roman"/>
          <w:sz w:val="24"/>
          <w:szCs w:val="24"/>
        </w:rPr>
        <w:t xml:space="preserve">particular relevance. As submitted by Counsel for the applicant, </w:t>
      </w:r>
      <w:r w:rsidR="00CA3D8C">
        <w:rPr>
          <w:rFonts w:ascii="Times New Roman" w:hAnsi="Times New Roman" w:cs="Times New Roman"/>
          <w:sz w:val="24"/>
          <w:szCs w:val="24"/>
        </w:rPr>
        <w:t xml:space="preserve">that provision allows </w:t>
      </w:r>
      <w:r w:rsidR="003029F0" w:rsidRPr="0005061B">
        <w:rPr>
          <w:rFonts w:ascii="Times New Roman" w:hAnsi="Times New Roman" w:cs="Times New Roman"/>
          <w:lang w:val="en-ZW"/>
        </w:rPr>
        <w:t>any person who is aggrieved by the failure of an administrative a</w:t>
      </w:r>
      <w:r w:rsidR="00F8670C">
        <w:rPr>
          <w:rFonts w:ascii="Times New Roman" w:hAnsi="Times New Roman" w:cs="Times New Roman"/>
          <w:lang w:val="en-ZW"/>
        </w:rPr>
        <w:t>uthority to comply with s</w:t>
      </w:r>
      <w:r w:rsidR="008B0357">
        <w:rPr>
          <w:rFonts w:ascii="Times New Roman" w:hAnsi="Times New Roman" w:cs="Times New Roman"/>
          <w:lang w:val="en-ZW"/>
        </w:rPr>
        <w:t xml:space="preserve"> 3 </w:t>
      </w:r>
      <w:r w:rsidR="00CA3D8C">
        <w:rPr>
          <w:rFonts w:ascii="Times New Roman" w:hAnsi="Times New Roman" w:cs="Times New Roman"/>
          <w:iCs/>
          <w:lang w:val="en-ZW"/>
        </w:rPr>
        <w:t>to</w:t>
      </w:r>
      <w:r w:rsidR="003029F0" w:rsidRPr="0005061B">
        <w:rPr>
          <w:rFonts w:ascii="Times New Roman" w:hAnsi="Times New Roman" w:cs="Times New Roman"/>
          <w:lang w:val="en-ZW"/>
        </w:rPr>
        <w:t xml:space="preserve"> apply to the High Court for relief.</w:t>
      </w:r>
      <w:r w:rsidR="00757DE9">
        <w:rPr>
          <w:rFonts w:ascii="Times New Roman" w:hAnsi="Times New Roman" w:cs="Times New Roman"/>
          <w:sz w:val="24"/>
          <w:szCs w:val="24"/>
        </w:rPr>
        <w:t xml:space="preserve"> </w:t>
      </w:r>
      <w:r w:rsidR="00AD520D">
        <w:rPr>
          <w:rFonts w:ascii="Times New Roman" w:hAnsi="Times New Roman" w:cs="Times New Roman"/>
          <w:sz w:val="24"/>
          <w:szCs w:val="24"/>
        </w:rPr>
        <w:t xml:space="preserve">There </w:t>
      </w:r>
      <w:r w:rsidR="008976D2">
        <w:rPr>
          <w:rFonts w:ascii="Times New Roman" w:hAnsi="Times New Roman" w:cs="Times New Roman"/>
          <w:sz w:val="24"/>
          <w:szCs w:val="24"/>
        </w:rPr>
        <w:t>seems nothin</w:t>
      </w:r>
      <w:r w:rsidR="00F8670C">
        <w:rPr>
          <w:rFonts w:ascii="Times New Roman" w:hAnsi="Times New Roman" w:cs="Times New Roman"/>
          <w:sz w:val="24"/>
          <w:szCs w:val="24"/>
        </w:rPr>
        <w:t>g in the architecture of s</w:t>
      </w:r>
      <w:r w:rsidR="008976D2">
        <w:rPr>
          <w:rFonts w:ascii="Times New Roman" w:hAnsi="Times New Roman" w:cs="Times New Roman"/>
          <w:sz w:val="24"/>
          <w:szCs w:val="24"/>
        </w:rPr>
        <w:t xml:space="preserve"> 4 that pr</w:t>
      </w:r>
      <w:r w:rsidR="008B0357">
        <w:rPr>
          <w:rFonts w:ascii="Times New Roman" w:hAnsi="Times New Roman" w:cs="Times New Roman"/>
          <w:sz w:val="24"/>
          <w:szCs w:val="24"/>
        </w:rPr>
        <w:t xml:space="preserve">ecludes such an approach to </w:t>
      </w:r>
      <w:r w:rsidR="008976D2">
        <w:rPr>
          <w:rFonts w:ascii="Times New Roman" w:hAnsi="Times New Roman" w:cs="Times New Roman"/>
          <w:sz w:val="24"/>
          <w:szCs w:val="24"/>
        </w:rPr>
        <w:t xml:space="preserve">this court to be made </w:t>
      </w:r>
      <w:r w:rsidR="006627CD">
        <w:rPr>
          <w:rFonts w:ascii="Times New Roman" w:hAnsi="Times New Roman" w:cs="Times New Roman"/>
          <w:sz w:val="24"/>
          <w:szCs w:val="24"/>
        </w:rPr>
        <w:t>through an urgent chamber application as long as</w:t>
      </w:r>
      <w:r w:rsidR="00F8670C">
        <w:rPr>
          <w:rFonts w:ascii="Times New Roman" w:hAnsi="Times New Roman" w:cs="Times New Roman"/>
          <w:sz w:val="24"/>
          <w:szCs w:val="24"/>
        </w:rPr>
        <w:t xml:space="preserve"> the non-compliance with s</w:t>
      </w:r>
      <w:r w:rsidR="006627CD">
        <w:rPr>
          <w:rFonts w:ascii="Times New Roman" w:hAnsi="Times New Roman" w:cs="Times New Roman"/>
          <w:sz w:val="24"/>
          <w:szCs w:val="24"/>
        </w:rPr>
        <w:t xml:space="preserve"> 3 can be demonstrated</w:t>
      </w:r>
      <w:r w:rsidR="008B0357">
        <w:rPr>
          <w:rFonts w:ascii="Times New Roman" w:hAnsi="Times New Roman" w:cs="Times New Roman"/>
          <w:sz w:val="24"/>
          <w:szCs w:val="24"/>
        </w:rPr>
        <w:t xml:space="preserve"> to the satisfaction of the court.</w:t>
      </w:r>
      <w:r w:rsidR="007F1895">
        <w:rPr>
          <w:rFonts w:ascii="Times New Roman" w:hAnsi="Times New Roman" w:cs="Times New Roman"/>
          <w:sz w:val="24"/>
          <w:szCs w:val="24"/>
        </w:rPr>
        <w:t xml:space="preserve"> The possible orders that this court can grant to a successful app</w:t>
      </w:r>
      <w:r w:rsidR="00FC2727">
        <w:rPr>
          <w:rFonts w:ascii="Times New Roman" w:hAnsi="Times New Roman" w:cs="Times New Roman"/>
          <w:sz w:val="24"/>
          <w:szCs w:val="24"/>
        </w:rPr>
        <w:t>licant are contained in s</w:t>
      </w:r>
      <w:r w:rsidR="007F1895">
        <w:rPr>
          <w:rFonts w:ascii="Times New Roman" w:hAnsi="Times New Roman" w:cs="Times New Roman"/>
          <w:sz w:val="24"/>
          <w:szCs w:val="24"/>
        </w:rPr>
        <w:t>4 (2) of the AJA.</w:t>
      </w:r>
      <w:r w:rsidR="00F8670C">
        <w:rPr>
          <w:rFonts w:ascii="Times New Roman" w:hAnsi="Times New Roman" w:cs="Times New Roman"/>
          <w:sz w:val="24"/>
          <w:szCs w:val="24"/>
        </w:rPr>
        <w:t xml:space="preserve"> It is noteworthy that s</w:t>
      </w:r>
      <w:r w:rsidR="003F603C">
        <w:rPr>
          <w:rFonts w:ascii="Times New Roman" w:hAnsi="Times New Roman" w:cs="Times New Roman"/>
          <w:sz w:val="24"/>
          <w:szCs w:val="24"/>
        </w:rPr>
        <w:t xml:space="preserve"> 4 (2) (a) allows the </w:t>
      </w:r>
      <w:r w:rsidR="003F603C">
        <w:rPr>
          <w:rFonts w:ascii="Times New Roman" w:hAnsi="Times New Roman" w:cs="Times New Roman"/>
          <w:sz w:val="24"/>
          <w:szCs w:val="24"/>
        </w:rPr>
        <w:lastRenderedPageBreak/>
        <w:t xml:space="preserve">High Court to confirm or set aside the decision </w:t>
      </w:r>
      <w:r w:rsidR="000054A7">
        <w:rPr>
          <w:rFonts w:ascii="Times New Roman" w:hAnsi="Times New Roman" w:cs="Times New Roman"/>
          <w:sz w:val="24"/>
          <w:szCs w:val="24"/>
        </w:rPr>
        <w:t xml:space="preserve">complained of. In this respect, it is important to clarify </w:t>
      </w:r>
      <w:r w:rsidR="00F603DD">
        <w:rPr>
          <w:rFonts w:ascii="Times New Roman" w:hAnsi="Times New Roman" w:cs="Times New Roman"/>
          <w:sz w:val="24"/>
          <w:szCs w:val="24"/>
        </w:rPr>
        <w:t>that an appl</w:t>
      </w:r>
      <w:r w:rsidR="00FC2727">
        <w:rPr>
          <w:rFonts w:ascii="Times New Roman" w:hAnsi="Times New Roman" w:cs="Times New Roman"/>
          <w:sz w:val="24"/>
          <w:szCs w:val="24"/>
        </w:rPr>
        <w:t>ication for review under s</w:t>
      </w:r>
      <w:r w:rsidR="00F603DD">
        <w:rPr>
          <w:rFonts w:ascii="Times New Roman" w:hAnsi="Times New Roman" w:cs="Times New Roman"/>
          <w:sz w:val="24"/>
          <w:szCs w:val="24"/>
        </w:rPr>
        <w:t xml:space="preserve"> 26 and 27 of the High Court Act </w:t>
      </w:r>
      <w:r w:rsidR="00F603DD" w:rsidRPr="00B4551E">
        <w:rPr>
          <w:rFonts w:ascii="Times New Roman" w:hAnsi="Times New Roman" w:cs="Times New Roman"/>
          <w:i/>
          <w:sz w:val="24"/>
          <w:szCs w:val="24"/>
        </w:rPr>
        <w:t>[Chapter 7:06]</w:t>
      </w:r>
      <w:r w:rsidR="00F603DD">
        <w:rPr>
          <w:rFonts w:ascii="Times New Roman" w:hAnsi="Times New Roman" w:cs="Times New Roman"/>
          <w:sz w:val="24"/>
          <w:szCs w:val="24"/>
        </w:rPr>
        <w:t xml:space="preserve"> is not the same as </w:t>
      </w:r>
      <w:r w:rsidR="00AF4C6A">
        <w:rPr>
          <w:rFonts w:ascii="Times New Roman" w:hAnsi="Times New Roman" w:cs="Times New Roman"/>
          <w:sz w:val="24"/>
          <w:szCs w:val="24"/>
        </w:rPr>
        <w:t>an</w:t>
      </w:r>
      <w:r w:rsidR="00FC2727">
        <w:rPr>
          <w:rFonts w:ascii="Times New Roman" w:hAnsi="Times New Roman" w:cs="Times New Roman"/>
          <w:sz w:val="24"/>
          <w:szCs w:val="24"/>
        </w:rPr>
        <w:t xml:space="preserve"> application in terms of s</w:t>
      </w:r>
      <w:r w:rsidR="00AF4C6A">
        <w:rPr>
          <w:rFonts w:ascii="Times New Roman" w:hAnsi="Times New Roman" w:cs="Times New Roman"/>
          <w:sz w:val="24"/>
          <w:szCs w:val="24"/>
        </w:rPr>
        <w:t xml:space="preserve"> 3 (1) (a) of the AJA.</w:t>
      </w:r>
      <w:r w:rsidR="00C87545">
        <w:rPr>
          <w:rFonts w:ascii="Times New Roman" w:hAnsi="Times New Roman" w:cs="Times New Roman"/>
          <w:sz w:val="24"/>
          <w:szCs w:val="24"/>
        </w:rPr>
        <w:t xml:space="preserve"> I say so because t</w:t>
      </w:r>
      <w:r w:rsidR="00C87545" w:rsidRPr="0094196D">
        <w:rPr>
          <w:rFonts w:ascii="Times New Roman" w:hAnsi="Times New Roman" w:cs="Times New Roman"/>
          <w:sz w:val="24"/>
          <w:szCs w:val="24"/>
        </w:rPr>
        <w:t>he grounds upon which a review may be brought ar</w:t>
      </w:r>
      <w:r w:rsidR="00C87545">
        <w:rPr>
          <w:rFonts w:ascii="Times New Roman" w:hAnsi="Times New Roman" w:cs="Times New Roman"/>
          <w:sz w:val="24"/>
          <w:szCs w:val="24"/>
        </w:rPr>
        <w:t xml:space="preserve">e set out in the </w:t>
      </w:r>
      <w:r w:rsidR="0010134C">
        <w:rPr>
          <w:rFonts w:ascii="Times New Roman" w:hAnsi="Times New Roman" w:cs="Times New Roman"/>
          <w:sz w:val="24"/>
          <w:szCs w:val="24"/>
        </w:rPr>
        <w:t xml:space="preserve">High Court Act, are contained in section in section 27 which </w:t>
      </w:r>
      <w:r w:rsidR="00263311">
        <w:rPr>
          <w:rFonts w:ascii="Times New Roman" w:hAnsi="Times New Roman" w:cs="Times New Roman"/>
          <w:sz w:val="24"/>
          <w:szCs w:val="24"/>
        </w:rPr>
        <w:t>states</w:t>
      </w:r>
      <w:r w:rsidR="00C87545" w:rsidRPr="0094196D">
        <w:rPr>
          <w:rFonts w:ascii="Times New Roman" w:hAnsi="Times New Roman" w:cs="Times New Roman"/>
          <w:sz w:val="24"/>
          <w:szCs w:val="24"/>
        </w:rPr>
        <w:t xml:space="preserve">: </w:t>
      </w:r>
    </w:p>
    <w:p w:rsidR="009E51D2" w:rsidRPr="00276C20" w:rsidRDefault="009E51D2" w:rsidP="002D75AF">
      <w:pPr>
        <w:spacing w:after="0" w:line="360" w:lineRule="auto"/>
        <w:ind w:firstLine="720"/>
        <w:jc w:val="both"/>
        <w:rPr>
          <w:rFonts w:ascii="Times New Roman" w:hAnsi="Times New Roman" w:cs="Times New Roman"/>
          <w:sz w:val="12"/>
          <w:szCs w:val="12"/>
        </w:rPr>
      </w:pPr>
    </w:p>
    <w:p w:rsidR="00C87545" w:rsidRPr="00467F05" w:rsidRDefault="00C87545" w:rsidP="00CA4E82">
      <w:pPr>
        <w:spacing w:after="0" w:line="240" w:lineRule="auto"/>
        <w:ind w:firstLine="720"/>
        <w:jc w:val="both"/>
        <w:rPr>
          <w:rFonts w:ascii="Times New Roman" w:hAnsi="Times New Roman" w:cs="Times New Roman"/>
          <w:b/>
        </w:rPr>
      </w:pPr>
      <w:r w:rsidRPr="00467F05">
        <w:rPr>
          <w:rFonts w:ascii="Times New Roman" w:hAnsi="Times New Roman" w:cs="Times New Roman"/>
          <w:b/>
        </w:rPr>
        <w:t xml:space="preserve">“27 Grounds for review </w:t>
      </w:r>
    </w:p>
    <w:p w:rsidR="00C87545" w:rsidRDefault="00C87545" w:rsidP="00CA4E82">
      <w:pPr>
        <w:pStyle w:val="ListParagraph"/>
        <w:numPr>
          <w:ilvl w:val="0"/>
          <w:numId w:val="7"/>
        </w:numPr>
        <w:spacing w:after="0" w:line="240" w:lineRule="auto"/>
        <w:jc w:val="both"/>
        <w:rPr>
          <w:rFonts w:ascii="Times New Roman" w:hAnsi="Times New Roman" w:cs="Times New Roman"/>
        </w:rPr>
      </w:pPr>
      <w:r w:rsidRPr="00954B51">
        <w:rPr>
          <w:rFonts w:ascii="Times New Roman" w:hAnsi="Times New Roman" w:cs="Times New Roman"/>
        </w:rPr>
        <w:t xml:space="preserve">Subject to this Act and any other law, the grounds on which any proceedings or decision may be brought on review before the High Court shall be </w:t>
      </w:r>
      <w:r>
        <w:rPr>
          <w:rFonts w:ascii="Times New Roman" w:hAnsi="Times New Roman" w:cs="Times New Roman"/>
        </w:rPr>
        <w:t>–</w:t>
      </w:r>
    </w:p>
    <w:p w:rsidR="00197DF4" w:rsidRPr="00197DF4" w:rsidRDefault="00197DF4" w:rsidP="00CA4E82">
      <w:pPr>
        <w:pStyle w:val="ListParagraph"/>
        <w:spacing w:after="0" w:line="240" w:lineRule="auto"/>
        <w:ind w:left="1080"/>
        <w:jc w:val="both"/>
        <w:rPr>
          <w:rFonts w:ascii="Times New Roman" w:hAnsi="Times New Roman" w:cs="Times New Roman"/>
          <w:sz w:val="6"/>
          <w:szCs w:val="6"/>
        </w:rPr>
      </w:pPr>
    </w:p>
    <w:p w:rsidR="00D34102" w:rsidRPr="00D34102" w:rsidRDefault="00D34102" w:rsidP="00CA4E82">
      <w:pPr>
        <w:pStyle w:val="ListParagraph"/>
        <w:spacing w:after="0" w:line="240" w:lineRule="auto"/>
        <w:ind w:left="1080"/>
        <w:jc w:val="both"/>
        <w:rPr>
          <w:rFonts w:ascii="Times New Roman" w:hAnsi="Times New Roman" w:cs="Times New Roman"/>
          <w:sz w:val="2"/>
          <w:szCs w:val="2"/>
        </w:rPr>
      </w:pPr>
    </w:p>
    <w:p w:rsidR="00C87545" w:rsidRPr="00467F05" w:rsidRDefault="00C87545" w:rsidP="00CA4E82">
      <w:pPr>
        <w:tabs>
          <w:tab w:val="left" w:pos="851"/>
          <w:tab w:val="left" w:pos="1418"/>
        </w:tabs>
        <w:spacing w:after="0" w:line="240" w:lineRule="auto"/>
        <w:ind w:left="720" w:firstLine="414"/>
        <w:jc w:val="both"/>
        <w:rPr>
          <w:rFonts w:ascii="Times New Roman" w:hAnsi="Times New Roman" w:cs="Times New Roman"/>
        </w:rPr>
      </w:pPr>
      <w:r w:rsidRPr="00467F05">
        <w:rPr>
          <w:rFonts w:ascii="Times New Roman" w:hAnsi="Times New Roman" w:cs="Times New Roman"/>
        </w:rPr>
        <w:t>(a) absence of jurisdiction on the part of the court, tribunal or authority concerned;</w:t>
      </w:r>
    </w:p>
    <w:p w:rsidR="00C87545" w:rsidRPr="00467F05" w:rsidRDefault="00C87545" w:rsidP="00CA4E82">
      <w:pPr>
        <w:tabs>
          <w:tab w:val="left" w:pos="851"/>
          <w:tab w:val="left" w:pos="1418"/>
        </w:tabs>
        <w:spacing w:after="0" w:line="240" w:lineRule="auto"/>
        <w:ind w:left="1134"/>
        <w:jc w:val="both"/>
        <w:rPr>
          <w:rFonts w:ascii="Times New Roman" w:hAnsi="Times New Roman" w:cs="Times New Roman"/>
        </w:rPr>
      </w:pPr>
      <w:r w:rsidRPr="00467F05">
        <w:rPr>
          <w:rFonts w:ascii="Times New Roman" w:hAnsi="Times New Roman" w:cs="Times New Roman"/>
        </w:rPr>
        <w:t xml:space="preserve">(b) interest in the cause, bias, malice or corruption on the part of the person presiding over the court or tribunal concerned or on the part of the authority concerned, as the case may be; </w:t>
      </w:r>
    </w:p>
    <w:p w:rsidR="00C87545" w:rsidRPr="00467F05" w:rsidRDefault="00C87545" w:rsidP="00CA4E82">
      <w:pPr>
        <w:tabs>
          <w:tab w:val="left" w:pos="851"/>
          <w:tab w:val="left" w:pos="1418"/>
        </w:tabs>
        <w:spacing w:after="120" w:line="240" w:lineRule="auto"/>
        <w:ind w:left="1276" w:hanging="142"/>
        <w:jc w:val="both"/>
        <w:rPr>
          <w:rFonts w:ascii="Times New Roman" w:hAnsi="Times New Roman" w:cs="Times New Roman"/>
        </w:rPr>
      </w:pPr>
      <w:r w:rsidRPr="00467F05">
        <w:rPr>
          <w:rFonts w:ascii="Times New Roman" w:hAnsi="Times New Roman" w:cs="Times New Roman"/>
        </w:rPr>
        <w:t>(c) gross irregularity in the proceedings or the decision.</w:t>
      </w:r>
    </w:p>
    <w:p w:rsidR="00C87545" w:rsidRPr="00467F05" w:rsidRDefault="00C87545" w:rsidP="00CA4E82">
      <w:pPr>
        <w:spacing w:line="240" w:lineRule="auto"/>
        <w:ind w:left="993" w:hanging="284"/>
        <w:jc w:val="both"/>
        <w:rPr>
          <w:rFonts w:ascii="Times New Roman" w:hAnsi="Times New Roman" w:cs="Times New Roman"/>
        </w:rPr>
      </w:pPr>
      <w:r w:rsidRPr="00467F05">
        <w:rPr>
          <w:rFonts w:ascii="Times New Roman" w:hAnsi="Times New Roman" w:cs="Times New Roman"/>
        </w:rPr>
        <w:t xml:space="preserve">(2) </w:t>
      </w:r>
      <w:r w:rsidRPr="005C3FB8">
        <w:rPr>
          <w:rFonts w:ascii="Times New Roman" w:hAnsi="Times New Roman" w:cs="Times New Roman"/>
          <w:u w:val="single"/>
        </w:rPr>
        <w:t>Nothing in subsection (1) shall affect any other law relating to the review of proceedings or decisions of inferior courts, tribunals or authorities</w:t>
      </w:r>
      <w:r w:rsidRPr="005C3FB8">
        <w:rPr>
          <w:rFonts w:ascii="Times New Roman" w:hAnsi="Times New Roman" w:cs="Times New Roman"/>
        </w:rPr>
        <w:t>.”</w:t>
      </w:r>
      <w:r w:rsidR="005C3FB8" w:rsidRPr="005C3FB8">
        <w:rPr>
          <w:rFonts w:ascii="Times New Roman" w:hAnsi="Times New Roman" w:cs="Times New Roman"/>
        </w:rPr>
        <w:t xml:space="preserve">  </w:t>
      </w:r>
      <w:r w:rsidR="005C3FB8" w:rsidRPr="00CC6BE0">
        <w:rPr>
          <w:rFonts w:ascii="Times New Roman" w:hAnsi="Times New Roman" w:cs="Times New Roman"/>
          <w:b/>
        </w:rPr>
        <w:t>[My own emphasis]</w:t>
      </w:r>
    </w:p>
    <w:p w:rsidR="00DA571C" w:rsidRPr="00D406DD" w:rsidRDefault="00DA571C" w:rsidP="002D75AF">
      <w:pPr>
        <w:spacing w:after="0" w:line="360" w:lineRule="auto"/>
        <w:jc w:val="both"/>
        <w:rPr>
          <w:rFonts w:ascii="Times New Roman" w:hAnsi="Times New Roman" w:cs="Times New Roman"/>
          <w:sz w:val="10"/>
          <w:szCs w:val="10"/>
        </w:rPr>
      </w:pPr>
    </w:p>
    <w:p w:rsidR="00BF3FCF" w:rsidRDefault="00074F0C" w:rsidP="002D75A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It is apparent that s</w:t>
      </w:r>
      <w:r w:rsidR="0011658E">
        <w:rPr>
          <w:rFonts w:ascii="Times New Roman" w:hAnsi="Times New Roman" w:cs="Times New Roman"/>
          <w:sz w:val="24"/>
          <w:szCs w:val="24"/>
        </w:rPr>
        <w:t xml:space="preserve">27 (2) </w:t>
      </w:r>
      <w:r w:rsidR="00185893">
        <w:rPr>
          <w:rFonts w:ascii="Times New Roman" w:hAnsi="Times New Roman" w:cs="Times New Roman"/>
          <w:sz w:val="24"/>
          <w:szCs w:val="24"/>
        </w:rPr>
        <w:t xml:space="preserve">of the High Court Act </w:t>
      </w:r>
      <w:r w:rsidR="0011658E">
        <w:rPr>
          <w:rFonts w:ascii="Times New Roman" w:hAnsi="Times New Roman" w:cs="Times New Roman"/>
          <w:sz w:val="24"/>
          <w:szCs w:val="24"/>
        </w:rPr>
        <w:t xml:space="preserve">contemplates and does not proscribe </w:t>
      </w:r>
      <w:r w:rsidR="00837F5D">
        <w:rPr>
          <w:rFonts w:ascii="Times New Roman" w:hAnsi="Times New Roman" w:cs="Times New Roman"/>
          <w:sz w:val="24"/>
          <w:szCs w:val="24"/>
        </w:rPr>
        <w:t>review proceedings brought under other statutes</w:t>
      </w:r>
      <w:r w:rsidR="00185893">
        <w:rPr>
          <w:rFonts w:ascii="Times New Roman" w:hAnsi="Times New Roman" w:cs="Times New Roman"/>
          <w:sz w:val="24"/>
          <w:szCs w:val="24"/>
        </w:rPr>
        <w:t>, in particular,</w:t>
      </w:r>
      <w:r w:rsidR="00837F5D">
        <w:rPr>
          <w:rFonts w:ascii="Times New Roman" w:hAnsi="Times New Roman" w:cs="Times New Roman"/>
          <w:sz w:val="24"/>
          <w:szCs w:val="24"/>
        </w:rPr>
        <w:t xml:space="preserve"> the AJA.</w:t>
      </w:r>
      <w:r w:rsidR="007D773A">
        <w:rPr>
          <w:rFonts w:ascii="Times New Roman" w:hAnsi="Times New Roman" w:cs="Times New Roman"/>
          <w:sz w:val="24"/>
          <w:szCs w:val="24"/>
        </w:rPr>
        <w:t xml:space="preserve"> Any confusion around t</w:t>
      </w:r>
      <w:r w:rsidR="00D71B84">
        <w:rPr>
          <w:rFonts w:ascii="Times New Roman" w:hAnsi="Times New Roman" w:cs="Times New Roman"/>
          <w:sz w:val="24"/>
          <w:szCs w:val="24"/>
        </w:rPr>
        <w:t xml:space="preserve">his </w:t>
      </w:r>
      <w:r w:rsidR="007D773A">
        <w:rPr>
          <w:rFonts w:ascii="Times New Roman" w:hAnsi="Times New Roman" w:cs="Times New Roman"/>
          <w:sz w:val="24"/>
          <w:szCs w:val="24"/>
        </w:rPr>
        <w:t xml:space="preserve">issue was resolved by the Supreme Court in </w:t>
      </w:r>
      <w:r w:rsidR="008631E6" w:rsidRPr="00D61595">
        <w:rPr>
          <w:rFonts w:ascii="Times New Roman" w:hAnsi="Times New Roman" w:cs="Times New Roman"/>
          <w:i/>
          <w:sz w:val="24"/>
          <w:szCs w:val="24"/>
        </w:rPr>
        <w:t xml:space="preserve">Gwaradzimba N.O. </w:t>
      </w:r>
      <w:r w:rsidR="008631E6" w:rsidRPr="00074F0C">
        <w:rPr>
          <w:rFonts w:ascii="Times New Roman" w:hAnsi="Times New Roman" w:cs="Times New Roman"/>
          <w:sz w:val="24"/>
          <w:szCs w:val="24"/>
        </w:rPr>
        <w:t>v</w:t>
      </w:r>
      <w:r w:rsidR="008631E6" w:rsidRPr="00D61595">
        <w:rPr>
          <w:rFonts w:ascii="Times New Roman" w:hAnsi="Times New Roman" w:cs="Times New Roman"/>
          <w:i/>
          <w:sz w:val="24"/>
          <w:szCs w:val="24"/>
        </w:rPr>
        <w:t xml:space="preserve"> Gurta AG</w:t>
      </w:r>
      <w:r w:rsidR="00FF74FE">
        <w:rPr>
          <w:rFonts w:ascii="Times New Roman" w:hAnsi="Times New Roman" w:cs="Times New Roman"/>
          <w:sz w:val="24"/>
          <w:szCs w:val="24"/>
        </w:rPr>
        <w:t xml:space="preserve"> SC  10-15,</w:t>
      </w:r>
      <w:r w:rsidR="008631E6">
        <w:rPr>
          <w:rFonts w:ascii="Times New Roman" w:hAnsi="Times New Roman" w:cs="Times New Roman"/>
          <w:sz w:val="24"/>
          <w:szCs w:val="24"/>
        </w:rPr>
        <w:t xml:space="preserve"> and it is instructive to quote in </w:t>
      </w:r>
      <w:r w:rsidR="008631E6" w:rsidRPr="000202ED">
        <w:rPr>
          <w:rFonts w:ascii="Times New Roman" w:hAnsi="Times New Roman" w:cs="Times New Roman"/>
          <w:i/>
          <w:sz w:val="24"/>
          <w:szCs w:val="24"/>
        </w:rPr>
        <w:t xml:space="preserve">extenso </w:t>
      </w:r>
      <w:r w:rsidR="008631E6">
        <w:rPr>
          <w:rFonts w:ascii="Times New Roman" w:hAnsi="Times New Roman" w:cs="Times New Roman"/>
          <w:sz w:val="24"/>
          <w:szCs w:val="24"/>
        </w:rPr>
        <w:t xml:space="preserve">what </w:t>
      </w:r>
      <w:r w:rsidRPr="00074F0C">
        <w:rPr>
          <w:rFonts w:ascii="Times New Roman" w:hAnsi="Times New Roman" w:cs="Times New Roman"/>
          <w:smallCaps/>
          <w:sz w:val="24"/>
          <w:szCs w:val="24"/>
        </w:rPr>
        <w:t>gwaunza</w:t>
      </w:r>
      <w:r>
        <w:rPr>
          <w:rFonts w:ascii="Times New Roman" w:hAnsi="Times New Roman" w:cs="Times New Roman"/>
          <w:sz w:val="24"/>
          <w:szCs w:val="24"/>
        </w:rPr>
        <w:t xml:space="preserve"> </w:t>
      </w:r>
      <w:r w:rsidRPr="00074F0C">
        <w:rPr>
          <w:rFonts w:ascii="Times New Roman" w:hAnsi="Times New Roman" w:cs="Times New Roman"/>
          <w:smallCaps/>
          <w:sz w:val="24"/>
          <w:szCs w:val="24"/>
        </w:rPr>
        <w:t>ja</w:t>
      </w:r>
      <w:r>
        <w:rPr>
          <w:rFonts w:ascii="Times New Roman" w:hAnsi="Times New Roman" w:cs="Times New Roman"/>
          <w:sz w:val="24"/>
          <w:szCs w:val="24"/>
        </w:rPr>
        <w:t xml:space="preserve"> </w:t>
      </w:r>
      <w:r w:rsidR="00BF3FCF">
        <w:rPr>
          <w:rFonts w:ascii="Times New Roman" w:hAnsi="Times New Roman" w:cs="Times New Roman"/>
          <w:sz w:val="24"/>
          <w:szCs w:val="24"/>
        </w:rPr>
        <w:t xml:space="preserve">(as </w:t>
      </w:r>
      <w:r w:rsidR="0083122A">
        <w:rPr>
          <w:rFonts w:ascii="Times New Roman" w:hAnsi="Times New Roman" w:cs="Times New Roman"/>
          <w:sz w:val="24"/>
          <w:szCs w:val="24"/>
        </w:rPr>
        <w:t>s</w:t>
      </w:r>
      <w:r w:rsidR="00BF3FCF">
        <w:rPr>
          <w:rFonts w:ascii="Times New Roman" w:hAnsi="Times New Roman" w:cs="Times New Roman"/>
          <w:sz w:val="24"/>
          <w:szCs w:val="24"/>
        </w:rPr>
        <w:t>he then was) had to say:</w:t>
      </w:r>
    </w:p>
    <w:p w:rsidR="00D73557" w:rsidRPr="00AD71D1" w:rsidRDefault="00D73557" w:rsidP="002D75AF">
      <w:pPr>
        <w:spacing w:after="0" w:line="360" w:lineRule="auto"/>
        <w:ind w:firstLine="709"/>
        <w:jc w:val="both"/>
        <w:rPr>
          <w:rFonts w:ascii="Times New Roman" w:hAnsi="Times New Roman" w:cs="Times New Roman"/>
          <w:sz w:val="14"/>
          <w:szCs w:val="14"/>
        </w:rPr>
      </w:pPr>
    </w:p>
    <w:p w:rsidR="00BF3FCF" w:rsidRPr="000202ED" w:rsidRDefault="00AD71D1" w:rsidP="00074F0C">
      <w:pPr>
        <w:spacing w:after="0" w:line="240" w:lineRule="auto"/>
        <w:ind w:left="709"/>
        <w:jc w:val="both"/>
        <w:rPr>
          <w:rFonts w:ascii="Times New Roman" w:hAnsi="Times New Roman" w:cs="Times New Roman"/>
        </w:rPr>
      </w:pPr>
      <w:r w:rsidRPr="000202ED">
        <w:rPr>
          <w:rFonts w:ascii="Times New Roman" w:hAnsi="Times New Roman" w:cs="Times New Roman"/>
        </w:rPr>
        <w:t>“</w:t>
      </w:r>
      <w:r w:rsidR="00BF3FCF" w:rsidRPr="000202ED">
        <w:rPr>
          <w:rFonts w:ascii="Times New Roman" w:hAnsi="Times New Roman" w:cs="Times New Roman"/>
        </w:rPr>
        <w:t xml:space="preserve">In holding that the application before him was not one for review, the judge </w:t>
      </w:r>
      <w:r w:rsidR="00BF3FCF" w:rsidRPr="000202ED">
        <w:rPr>
          <w:rFonts w:ascii="Times New Roman" w:hAnsi="Times New Roman" w:cs="Times New Roman"/>
          <w:i/>
        </w:rPr>
        <w:t>a quo</w:t>
      </w:r>
      <w:r w:rsidR="00BF3FCF" w:rsidRPr="000202ED">
        <w:rPr>
          <w:rFonts w:ascii="Times New Roman" w:hAnsi="Times New Roman" w:cs="Times New Roman"/>
        </w:rPr>
        <w:t xml:space="preserve"> stated as follows in </w:t>
      </w:r>
      <w:r w:rsidR="00B417F7" w:rsidRPr="000202ED">
        <w:rPr>
          <w:rFonts w:ascii="Times New Roman" w:hAnsi="Times New Roman" w:cs="Times New Roman"/>
        </w:rPr>
        <w:t>his judgment:</w:t>
      </w:r>
    </w:p>
    <w:p w:rsidR="00BF3FCF" w:rsidRPr="008D6B9C" w:rsidRDefault="00BF3FCF" w:rsidP="00074F0C">
      <w:pPr>
        <w:spacing w:after="0" w:line="240" w:lineRule="auto"/>
        <w:ind w:left="720"/>
        <w:jc w:val="both"/>
        <w:rPr>
          <w:rFonts w:ascii="Times New Roman" w:hAnsi="Times New Roman" w:cs="Times New Roman"/>
          <w:i/>
          <w:sz w:val="10"/>
          <w:szCs w:val="10"/>
        </w:rPr>
      </w:pPr>
    </w:p>
    <w:p w:rsidR="00BF3FCF" w:rsidRPr="000202ED" w:rsidRDefault="00BF3FCF" w:rsidP="00074F0C">
      <w:pPr>
        <w:spacing w:after="0" w:line="240" w:lineRule="auto"/>
        <w:ind w:left="1440"/>
        <w:jc w:val="both"/>
        <w:rPr>
          <w:rFonts w:ascii="Times New Roman" w:hAnsi="Times New Roman" w:cs="Times New Roman"/>
        </w:rPr>
      </w:pPr>
      <w:r w:rsidRPr="000202ED">
        <w:rPr>
          <w:rFonts w:ascii="Times New Roman" w:hAnsi="Times New Roman" w:cs="Times New Roman"/>
          <w:i/>
        </w:rPr>
        <w:t>“</w:t>
      </w:r>
      <w:r w:rsidRPr="000202ED">
        <w:rPr>
          <w:rFonts w:ascii="Times New Roman" w:hAnsi="Times New Roman" w:cs="Times New Roman"/>
        </w:rPr>
        <w:t>Mr</w:t>
      </w:r>
      <w:r w:rsidRPr="000202ED">
        <w:rPr>
          <w:rFonts w:ascii="Times New Roman" w:hAnsi="Times New Roman" w:cs="Times New Roman"/>
          <w:i/>
        </w:rPr>
        <w:t xml:space="preserve"> Mpofu</w:t>
      </w:r>
      <w:r w:rsidRPr="000202ED">
        <w:rPr>
          <w:rFonts w:ascii="Times New Roman" w:hAnsi="Times New Roman" w:cs="Times New Roman"/>
        </w:rPr>
        <w:t>, for the respondent protested that a wrong procedure was employed as s 4 of the Administrative Justice Act is an embodiment of the common law grounds for review.  For that reason the applicant should have brought a review application in terms of Ord</w:t>
      </w:r>
      <w:r w:rsidR="002C54A5">
        <w:rPr>
          <w:rFonts w:ascii="Times New Roman" w:hAnsi="Times New Roman" w:cs="Times New Roman"/>
        </w:rPr>
        <w:t xml:space="preserve">er 33 of the High Court Rules. </w:t>
      </w:r>
      <w:r w:rsidRPr="000202ED">
        <w:rPr>
          <w:rFonts w:ascii="Times New Roman" w:hAnsi="Times New Roman" w:cs="Times New Roman"/>
        </w:rPr>
        <w:t>I do not agree. Section 4 allows an aggrieved party t</w:t>
      </w:r>
      <w:r w:rsidR="002C54A5">
        <w:rPr>
          <w:rFonts w:ascii="Times New Roman" w:hAnsi="Times New Roman" w:cs="Times New Roman"/>
        </w:rPr>
        <w:t xml:space="preserve">o seek recourse in this Court. </w:t>
      </w:r>
      <w:r w:rsidRPr="000202ED">
        <w:rPr>
          <w:rFonts w:ascii="Times New Roman" w:hAnsi="Times New Roman" w:cs="Times New Roman"/>
        </w:rPr>
        <w:t>It makes no reference to a review application. I agree with Mr Moyo, for the applicant that if the legislature desired to provide for a remedy of review in terms of order 33, it wo</w:t>
      </w:r>
      <w:r w:rsidR="002C54A5">
        <w:rPr>
          <w:rFonts w:ascii="Times New Roman" w:hAnsi="Times New Roman" w:cs="Times New Roman"/>
        </w:rPr>
        <w:t xml:space="preserve">uld have specifically said so. </w:t>
      </w:r>
      <w:r w:rsidRPr="000202ED">
        <w:rPr>
          <w:rFonts w:ascii="Times New Roman" w:hAnsi="Times New Roman" w:cs="Times New Roman"/>
        </w:rPr>
        <w:t>It however elected to create a statutory remedy in terms of which a party is entitled to approach this court by application where the administrative authority has come short.”</w:t>
      </w:r>
    </w:p>
    <w:p w:rsidR="00BF3FCF" w:rsidRPr="00D55627" w:rsidRDefault="00BF3FCF" w:rsidP="002D75AF">
      <w:pPr>
        <w:spacing w:after="0" w:line="360" w:lineRule="auto"/>
        <w:jc w:val="both"/>
        <w:rPr>
          <w:rFonts w:ascii="Times New Roman" w:hAnsi="Times New Roman" w:cs="Times New Roman"/>
          <w:sz w:val="8"/>
          <w:szCs w:val="8"/>
        </w:rPr>
      </w:pPr>
    </w:p>
    <w:p w:rsidR="00BF3FCF" w:rsidRPr="009C6A9A" w:rsidRDefault="00BF3FCF" w:rsidP="00F8670C">
      <w:pPr>
        <w:spacing w:after="0" w:line="240" w:lineRule="auto"/>
        <w:ind w:left="720"/>
        <w:jc w:val="both"/>
        <w:rPr>
          <w:rFonts w:ascii="Times New Roman" w:hAnsi="Times New Roman" w:cs="Times New Roman"/>
        </w:rPr>
      </w:pPr>
      <w:r w:rsidRPr="009C6A9A">
        <w:rPr>
          <w:rFonts w:ascii="Times New Roman" w:hAnsi="Times New Roman" w:cs="Times New Roman"/>
        </w:rPr>
        <w:t xml:space="preserve">I find little to fault in the reasoning of the court </w:t>
      </w:r>
      <w:r w:rsidRPr="009C6A9A">
        <w:rPr>
          <w:rFonts w:ascii="Times New Roman" w:hAnsi="Times New Roman" w:cs="Times New Roman"/>
          <w:i/>
        </w:rPr>
        <w:t>a quo</w:t>
      </w:r>
      <w:r w:rsidRPr="009C6A9A">
        <w:rPr>
          <w:rFonts w:ascii="Times New Roman" w:hAnsi="Times New Roman" w:cs="Times New Roman"/>
        </w:rPr>
        <w:t xml:space="preserve"> on this point. </w:t>
      </w:r>
      <w:r w:rsidRPr="00F0045E">
        <w:rPr>
          <w:rFonts w:ascii="Times New Roman" w:hAnsi="Times New Roman" w:cs="Times New Roman"/>
          <w:u w:val="single"/>
        </w:rPr>
        <w:t xml:space="preserve">As correctly stated, s 4 (1) of the Administrative Court Act (“the Act”) provides that the statutory relief referred to by the judge </w:t>
      </w:r>
      <w:r w:rsidRPr="00F0045E">
        <w:rPr>
          <w:rFonts w:ascii="Times New Roman" w:hAnsi="Times New Roman" w:cs="Times New Roman"/>
          <w:i/>
          <w:u w:val="single"/>
        </w:rPr>
        <w:t>a quo</w:t>
      </w:r>
      <w:r w:rsidRPr="00F0045E">
        <w:rPr>
          <w:rFonts w:ascii="Times New Roman" w:hAnsi="Times New Roman" w:cs="Times New Roman"/>
          <w:u w:val="single"/>
        </w:rPr>
        <w:t xml:space="preserve"> may be sought by way of an application to the High Court</w:t>
      </w:r>
      <w:r w:rsidR="00983CFB" w:rsidRPr="00F0045E">
        <w:rPr>
          <w:rFonts w:ascii="Times New Roman" w:hAnsi="Times New Roman" w:cs="Times New Roman"/>
          <w:u w:val="single"/>
        </w:rPr>
        <w:t xml:space="preserve">. </w:t>
      </w:r>
      <w:r w:rsidRPr="00F0045E">
        <w:rPr>
          <w:rFonts w:ascii="Times New Roman" w:hAnsi="Times New Roman" w:cs="Times New Roman"/>
          <w:u w:val="single"/>
        </w:rPr>
        <w:t>However no specific format for such application is prescribed</w:t>
      </w:r>
      <w:r w:rsidRPr="009C6A9A">
        <w:rPr>
          <w:rFonts w:ascii="Times New Roman" w:hAnsi="Times New Roman" w:cs="Times New Roman"/>
        </w:rPr>
        <w:t>.  While a review in terms of the High Court Rules is a special form of application, there is nothing in s 4(1) to suggest that any other form of application for judicial review would in any way offend against that sub-section as long as it meets the requirements o</w:t>
      </w:r>
      <w:r w:rsidR="009C6A9A">
        <w:rPr>
          <w:rFonts w:ascii="Times New Roman" w:hAnsi="Times New Roman" w:cs="Times New Roman"/>
        </w:rPr>
        <w:t>f an ordinary court application”.</w:t>
      </w:r>
      <w:r w:rsidRPr="009C6A9A">
        <w:rPr>
          <w:rFonts w:ascii="Times New Roman" w:hAnsi="Times New Roman" w:cs="Times New Roman"/>
        </w:rPr>
        <w:t xml:space="preserve"> </w:t>
      </w:r>
      <w:r w:rsidR="00F0045E" w:rsidRPr="00F0045E">
        <w:rPr>
          <w:rFonts w:ascii="Times New Roman" w:hAnsi="Times New Roman" w:cs="Times New Roman"/>
          <w:b/>
        </w:rPr>
        <w:t>[My own emphasis]</w:t>
      </w:r>
    </w:p>
    <w:p w:rsidR="00276C20" w:rsidRPr="00F0045E" w:rsidRDefault="00276C20" w:rsidP="002D75AF">
      <w:pPr>
        <w:spacing w:after="0" w:line="360" w:lineRule="auto"/>
        <w:jc w:val="both"/>
        <w:rPr>
          <w:rFonts w:ascii="Times New Roman" w:hAnsi="Times New Roman" w:cs="Times New Roman"/>
          <w:sz w:val="18"/>
          <w:szCs w:val="18"/>
        </w:rPr>
      </w:pPr>
    </w:p>
    <w:p w:rsidR="00A40409" w:rsidRDefault="004142FD" w:rsidP="000628E5">
      <w:pPr>
        <w:spacing w:after="0" w:line="360" w:lineRule="auto"/>
        <w:ind w:firstLine="720"/>
        <w:jc w:val="both"/>
        <w:rPr>
          <w:rFonts w:ascii="Times New Roman" w:hAnsi="Times New Roman" w:cs="Times New Roman"/>
          <w:sz w:val="24"/>
          <w:szCs w:val="24"/>
        </w:rPr>
      </w:pPr>
      <w:r w:rsidRPr="003626A0">
        <w:rPr>
          <w:rFonts w:ascii="Times New Roman" w:hAnsi="Times New Roman" w:cs="Times New Roman"/>
          <w:sz w:val="24"/>
          <w:szCs w:val="24"/>
        </w:rPr>
        <w:lastRenderedPageBreak/>
        <w:t>I am satisfied that the applicant has shown that it</w:t>
      </w:r>
      <w:r w:rsidR="00EE014C" w:rsidRPr="003626A0">
        <w:rPr>
          <w:rFonts w:ascii="Times New Roman" w:hAnsi="Times New Roman" w:cs="Times New Roman"/>
          <w:sz w:val="24"/>
          <w:szCs w:val="24"/>
        </w:rPr>
        <w:t xml:space="preserve"> was deprived of its trucks and fuel on board those trucks without its consent and </w:t>
      </w:r>
      <w:r w:rsidR="00AE3ACF" w:rsidRPr="003626A0">
        <w:rPr>
          <w:rFonts w:ascii="Times New Roman" w:hAnsi="Times New Roman" w:cs="Times New Roman"/>
          <w:sz w:val="24"/>
          <w:szCs w:val="24"/>
        </w:rPr>
        <w:t>in circumstances where the respondent did not follow due process</w:t>
      </w:r>
      <w:r w:rsidRPr="003626A0">
        <w:rPr>
          <w:rFonts w:ascii="Times New Roman" w:hAnsi="Times New Roman" w:cs="Times New Roman"/>
          <w:sz w:val="24"/>
          <w:szCs w:val="24"/>
        </w:rPr>
        <w:t xml:space="preserve">. </w:t>
      </w:r>
      <w:r w:rsidR="00584BC7" w:rsidRPr="003626A0">
        <w:rPr>
          <w:rFonts w:ascii="Times New Roman" w:hAnsi="Times New Roman" w:cs="Times New Roman"/>
          <w:sz w:val="24"/>
          <w:szCs w:val="24"/>
        </w:rPr>
        <w:t>Additionally, I am sat</w:t>
      </w:r>
      <w:r w:rsidR="000628E5">
        <w:rPr>
          <w:rFonts w:ascii="Times New Roman" w:hAnsi="Times New Roman" w:cs="Times New Roman"/>
          <w:sz w:val="24"/>
          <w:szCs w:val="24"/>
        </w:rPr>
        <w:t>isfied that in terms of s</w:t>
      </w:r>
      <w:r w:rsidR="00584BC7" w:rsidRPr="003626A0">
        <w:rPr>
          <w:rFonts w:ascii="Times New Roman" w:hAnsi="Times New Roman" w:cs="Times New Roman"/>
          <w:sz w:val="24"/>
          <w:szCs w:val="24"/>
        </w:rPr>
        <w:t>4 of the AJA this court can revie</w:t>
      </w:r>
      <w:r w:rsidR="009271C4" w:rsidRPr="003626A0">
        <w:rPr>
          <w:rFonts w:ascii="Times New Roman" w:hAnsi="Times New Roman" w:cs="Times New Roman"/>
          <w:sz w:val="24"/>
          <w:szCs w:val="24"/>
        </w:rPr>
        <w:t xml:space="preserve">w the </w:t>
      </w:r>
      <w:r w:rsidR="00584BC7" w:rsidRPr="003626A0">
        <w:rPr>
          <w:rFonts w:ascii="Times New Roman" w:hAnsi="Times New Roman" w:cs="Times New Roman"/>
          <w:sz w:val="24"/>
          <w:szCs w:val="24"/>
        </w:rPr>
        <w:t xml:space="preserve">decision of the respondent </w:t>
      </w:r>
      <w:r w:rsidR="000628E5">
        <w:rPr>
          <w:rFonts w:ascii="Times New Roman" w:hAnsi="Times New Roman" w:cs="Times New Roman"/>
          <w:sz w:val="24"/>
          <w:szCs w:val="24"/>
        </w:rPr>
        <w:t>upon demonstration that s</w:t>
      </w:r>
      <w:r w:rsidR="00971C9A" w:rsidRPr="003626A0">
        <w:rPr>
          <w:rFonts w:ascii="Times New Roman" w:hAnsi="Times New Roman" w:cs="Times New Roman"/>
          <w:sz w:val="24"/>
          <w:szCs w:val="24"/>
        </w:rPr>
        <w:t xml:space="preserve"> 3 of the same legislation was not complied with. </w:t>
      </w:r>
      <w:r w:rsidR="009271C4" w:rsidRPr="003626A0">
        <w:rPr>
          <w:rFonts w:ascii="Times New Roman" w:hAnsi="Times New Roman" w:cs="Times New Roman"/>
          <w:sz w:val="24"/>
          <w:szCs w:val="24"/>
        </w:rPr>
        <w:t>I return to the respondent</w:t>
      </w:r>
      <w:r w:rsidR="003A2497" w:rsidRPr="003626A0">
        <w:rPr>
          <w:rFonts w:ascii="Times New Roman" w:hAnsi="Times New Roman" w:cs="Times New Roman"/>
          <w:sz w:val="24"/>
          <w:szCs w:val="24"/>
        </w:rPr>
        <w:t xml:space="preserve">’s point in </w:t>
      </w:r>
      <w:r w:rsidR="003A2497" w:rsidRPr="003626A0">
        <w:rPr>
          <w:rFonts w:ascii="Times New Roman" w:hAnsi="Times New Roman" w:cs="Times New Roman"/>
          <w:i/>
          <w:sz w:val="24"/>
          <w:szCs w:val="24"/>
        </w:rPr>
        <w:t>limine</w:t>
      </w:r>
      <w:r w:rsidR="003A2497" w:rsidRPr="003626A0">
        <w:rPr>
          <w:rFonts w:ascii="Times New Roman" w:hAnsi="Times New Roman" w:cs="Times New Roman"/>
          <w:sz w:val="24"/>
          <w:szCs w:val="24"/>
        </w:rPr>
        <w:t xml:space="preserve"> on propriety of the application before me </w:t>
      </w:r>
      <w:r w:rsidR="00472881" w:rsidRPr="003626A0">
        <w:rPr>
          <w:rFonts w:ascii="Times New Roman" w:hAnsi="Times New Roman" w:cs="Times New Roman"/>
          <w:sz w:val="24"/>
          <w:szCs w:val="24"/>
        </w:rPr>
        <w:t xml:space="preserve">and conclude that it has no merit. In this respect, the Supreme Court decision in </w:t>
      </w:r>
      <w:r w:rsidR="00472881" w:rsidRPr="003626A0">
        <w:rPr>
          <w:rFonts w:ascii="Times New Roman" w:hAnsi="Times New Roman" w:cs="Times New Roman"/>
          <w:i/>
          <w:sz w:val="24"/>
          <w:szCs w:val="24"/>
        </w:rPr>
        <w:t>Gwaradzimba N.O</w:t>
      </w:r>
      <w:r w:rsidR="00472881" w:rsidRPr="000628E5">
        <w:rPr>
          <w:rFonts w:ascii="Times New Roman" w:hAnsi="Times New Roman" w:cs="Times New Roman"/>
          <w:sz w:val="24"/>
          <w:szCs w:val="24"/>
        </w:rPr>
        <w:t>. v</w:t>
      </w:r>
      <w:r w:rsidR="00472881" w:rsidRPr="003626A0">
        <w:rPr>
          <w:rFonts w:ascii="Times New Roman" w:hAnsi="Times New Roman" w:cs="Times New Roman"/>
          <w:i/>
          <w:sz w:val="24"/>
          <w:szCs w:val="24"/>
        </w:rPr>
        <w:t xml:space="preserve"> Gurta AG supra </w:t>
      </w:r>
      <w:r w:rsidR="00472881" w:rsidRPr="003626A0">
        <w:rPr>
          <w:rFonts w:ascii="Times New Roman" w:hAnsi="Times New Roman" w:cs="Times New Roman"/>
          <w:sz w:val="24"/>
          <w:szCs w:val="24"/>
        </w:rPr>
        <w:t>is apposite.</w:t>
      </w:r>
      <w:r w:rsidR="00DF1B80" w:rsidRPr="003626A0">
        <w:rPr>
          <w:rFonts w:ascii="Times New Roman" w:hAnsi="Times New Roman" w:cs="Times New Roman"/>
          <w:i/>
          <w:sz w:val="24"/>
          <w:szCs w:val="24"/>
        </w:rPr>
        <w:t xml:space="preserve"> </w:t>
      </w:r>
      <w:r w:rsidR="0053255B" w:rsidRPr="003626A0">
        <w:rPr>
          <w:rFonts w:ascii="Times New Roman" w:hAnsi="Times New Roman" w:cs="Times New Roman"/>
          <w:sz w:val="24"/>
          <w:szCs w:val="24"/>
        </w:rPr>
        <w:t xml:space="preserve">Let me place it on record that </w:t>
      </w:r>
      <w:r w:rsidR="00AD158A" w:rsidRPr="003626A0">
        <w:rPr>
          <w:rFonts w:ascii="Times New Roman" w:hAnsi="Times New Roman" w:cs="Times New Roman"/>
          <w:sz w:val="24"/>
          <w:szCs w:val="24"/>
        </w:rPr>
        <w:t>Counsel for the respondent conceded</w:t>
      </w:r>
      <w:r w:rsidR="0053255B" w:rsidRPr="003626A0">
        <w:rPr>
          <w:rFonts w:ascii="Times New Roman" w:hAnsi="Times New Roman" w:cs="Times New Roman"/>
          <w:sz w:val="24"/>
          <w:szCs w:val="24"/>
        </w:rPr>
        <w:t>,</w:t>
      </w:r>
      <w:r w:rsidR="00AD158A" w:rsidRPr="003626A0">
        <w:rPr>
          <w:rFonts w:ascii="Times New Roman" w:hAnsi="Times New Roman" w:cs="Times New Roman"/>
          <w:sz w:val="24"/>
          <w:szCs w:val="24"/>
        </w:rPr>
        <w:t xml:space="preserve"> when asked by the court, that the Notices of Sei</w:t>
      </w:r>
      <w:r w:rsidR="009E0AE5" w:rsidRPr="003626A0">
        <w:rPr>
          <w:rFonts w:ascii="Times New Roman" w:hAnsi="Times New Roman" w:cs="Times New Roman"/>
          <w:sz w:val="24"/>
          <w:szCs w:val="24"/>
        </w:rPr>
        <w:t xml:space="preserve">zure did not state the offence allegedly committed by the applicant or reason for the seizure. </w:t>
      </w:r>
      <w:r w:rsidR="003169B3" w:rsidRPr="003626A0">
        <w:rPr>
          <w:rFonts w:ascii="Times New Roman" w:hAnsi="Times New Roman" w:cs="Times New Roman"/>
          <w:sz w:val="24"/>
          <w:szCs w:val="24"/>
        </w:rPr>
        <w:t>That being the case</w:t>
      </w:r>
      <w:r w:rsidR="00791C97" w:rsidRPr="003626A0">
        <w:rPr>
          <w:rFonts w:ascii="Times New Roman" w:hAnsi="Times New Roman" w:cs="Times New Roman"/>
          <w:sz w:val="24"/>
          <w:szCs w:val="24"/>
        </w:rPr>
        <w:t>,</w:t>
      </w:r>
      <w:r w:rsidR="003169B3" w:rsidRPr="003626A0">
        <w:rPr>
          <w:rFonts w:ascii="Times New Roman" w:hAnsi="Times New Roman" w:cs="Times New Roman"/>
          <w:sz w:val="24"/>
          <w:szCs w:val="24"/>
        </w:rPr>
        <w:t xml:space="preserve"> the</w:t>
      </w:r>
      <w:r w:rsidR="00791C97" w:rsidRPr="003626A0">
        <w:rPr>
          <w:rFonts w:ascii="Times New Roman" w:hAnsi="Times New Roman" w:cs="Times New Roman"/>
          <w:sz w:val="24"/>
          <w:szCs w:val="24"/>
        </w:rPr>
        <w:t xml:space="preserve"> </w:t>
      </w:r>
      <w:r w:rsidR="00366479" w:rsidRPr="003626A0">
        <w:rPr>
          <w:rFonts w:ascii="Times New Roman" w:hAnsi="Times New Roman" w:cs="Times New Roman"/>
          <w:sz w:val="24"/>
          <w:szCs w:val="24"/>
        </w:rPr>
        <w:t xml:space="preserve">relief sought </w:t>
      </w:r>
      <w:r w:rsidR="00791C97" w:rsidRPr="003626A0">
        <w:rPr>
          <w:rFonts w:ascii="Times New Roman" w:hAnsi="Times New Roman" w:cs="Times New Roman"/>
          <w:sz w:val="24"/>
          <w:szCs w:val="24"/>
        </w:rPr>
        <w:t xml:space="preserve">in the amended draft order </w:t>
      </w:r>
      <w:r w:rsidR="000B649A" w:rsidRPr="003626A0">
        <w:rPr>
          <w:rFonts w:ascii="Times New Roman" w:hAnsi="Times New Roman" w:cs="Times New Roman"/>
          <w:sz w:val="24"/>
          <w:szCs w:val="24"/>
        </w:rPr>
        <w:t>can be afforde</w:t>
      </w:r>
      <w:r w:rsidR="003169B3" w:rsidRPr="003626A0">
        <w:rPr>
          <w:rFonts w:ascii="Times New Roman" w:hAnsi="Times New Roman" w:cs="Times New Roman"/>
          <w:sz w:val="24"/>
          <w:szCs w:val="24"/>
        </w:rPr>
        <w:t xml:space="preserve">d, as it is provided </w:t>
      </w:r>
      <w:r w:rsidR="000628E5">
        <w:rPr>
          <w:rFonts w:ascii="Times New Roman" w:hAnsi="Times New Roman" w:cs="Times New Roman"/>
          <w:sz w:val="24"/>
          <w:szCs w:val="24"/>
        </w:rPr>
        <w:t>for under s</w:t>
      </w:r>
      <w:r w:rsidR="0097234A" w:rsidRPr="003626A0">
        <w:rPr>
          <w:rFonts w:ascii="Times New Roman" w:hAnsi="Times New Roman" w:cs="Times New Roman"/>
          <w:sz w:val="24"/>
          <w:szCs w:val="24"/>
        </w:rPr>
        <w:t xml:space="preserve"> 4</w:t>
      </w:r>
      <w:r w:rsidR="005C01F3" w:rsidRPr="003626A0">
        <w:rPr>
          <w:rFonts w:ascii="Times New Roman" w:hAnsi="Times New Roman" w:cs="Times New Roman"/>
          <w:sz w:val="24"/>
          <w:szCs w:val="24"/>
        </w:rPr>
        <w:t xml:space="preserve"> of the AJA.</w:t>
      </w:r>
      <w:r w:rsidR="002A0080">
        <w:rPr>
          <w:rFonts w:ascii="Times New Roman" w:hAnsi="Times New Roman" w:cs="Times New Roman"/>
          <w:sz w:val="24"/>
          <w:szCs w:val="24"/>
        </w:rPr>
        <w:t xml:space="preserve"> </w:t>
      </w:r>
      <w:r w:rsidR="00A14565">
        <w:rPr>
          <w:rFonts w:ascii="Times New Roman" w:hAnsi="Times New Roman" w:cs="Times New Roman"/>
          <w:sz w:val="24"/>
          <w:szCs w:val="24"/>
        </w:rPr>
        <w:t>I need to comment on my reference to</w:t>
      </w:r>
      <w:r w:rsidR="00DF49C5">
        <w:rPr>
          <w:rFonts w:ascii="Times New Roman" w:hAnsi="Times New Roman" w:cs="Times New Roman"/>
          <w:sz w:val="24"/>
          <w:szCs w:val="24"/>
        </w:rPr>
        <w:t xml:space="preserve"> </w:t>
      </w:r>
      <w:r w:rsidR="00A14565">
        <w:rPr>
          <w:rFonts w:ascii="Times New Roman" w:hAnsi="Times New Roman" w:cs="Times New Roman"/>
          <w:sz w:val="24"/>
          <w:szCs w:val="24"/>
        </w:rPr>
        <w:t>the</w:t>
      </w:r>
      <w:r w:rsidR="005F2EF3">
        <w:rPr>
          <w:rFonts w:ascii="Times New Roman" w:hAnsi="Times New Roman" w:cs="Times New Roman"/>
          <w:sz w:val="24"/>
          <w:szCs w:val="24"/>
        </w:rPr>
        <w:t xml:space="preserve"> amended draft or</w:t>
      </w:r>
      <w:r w:rsidR="00A14565">
        <w:rPr>
          <w:rFonts w:ascii="Times New Roman" w:hAnsi="Times New Roman" w:cs="Times New Roman"/>
          <w:sz w:val="24"/>
          <w:szCs w:val="24"/>
        </w:rPr>
        <w:t>der.</w:t>
      </w:r>
      <w:r w:rsidR="005F2EF3">
        <w:rPr>
          <w:rFonts w:ascii="Times New Roman" w:hAnsi="Times New Roman" w:cs="Times New Roman"/>
          <w:sz w:val="24"/>
          <w:szCs w:val="24"/>
        </w:rPr>
        <w:t xml:space="preserve"> </w:t>
      </w:r>
      <w:r w:rsidR="00C91417">
        <w:rPr>
          <w:rFonts w:ascii="Times New Roman" w:hAnsi="Times New Roman" w:cs="Times New Roman"/>
          <w:sz w:val="24"/>
          <w:szCs w:val="24"/>
        </w:rPr>
        <w:t>In terms of</w:t>
      </w:r>
      <w:r w:rsidR="003626A0" w:rsidRPr="003626A0">
        <w:rPr>
          <w:rFonts w:ascii="Times New Roman" w:hAnsi="Times New Roman" w:cs="Times New Roman"/>
          <w:sz w:val="24"/>
          <w:szCs w:val="24"/>
        </w:rPr>
        <w:t xml:space="preserve"> </w:t>
      </w:r>
      <w:r w:rsidR="000628E5">
        <w:rPr>
          <w:rFonts w:ascii="Times New Roman" w:hAnsi="Times New Roman" w:cs="Times New Roman"/>
          <w:sz w:val="24"/>
          <w:szCs w:val="24"/>
        </w:rPr>
        <w:t>r</w:t>
      </w:r>
      <w:r w:rsidR="00C91417">
        <w:rPr>
          <w:rFonts w:ascii="Times New Roman" w:hAnsi="Times New Roman" w:cs="Times New Roman"/>
          <w:sz w:val="24"/>
          <w:szCs w:val="24"/>
        </w:rPr>
        <w:t xml:space="preserve"> 59 (27)</w:t>
      </w:r>
      <w:r w:rsidR="003626A0" w:rsidRPr="003626A0">
        <w:rPr>
          <w:rFonts w:ascii="Times New Roman" w:hAnsi="Times New Roman" w:cs="Times New Roman"/>
          <w:sz w:val="24"/>
          <w:szCs w:val="24"/>
        </w:rPr>
        <w:t xml:space="preserve"> </w:t>
      </w:r>
      <w:r w:rsidR="007E3DDF">
        <w:rPr>
          <w:rFonts w:ascii="Times New Roman" w:hAnsi="Times New Roman" w:cs="Times New Roman"/>
          <w:sz w:val="24"/>
          <w:szCs w:val="24"/>
        </w:rPr>
        <w:t xml:space="preserve">(b) </w:t>
      </w:r>
      <w:r w:rsidR="003626A0" w:rsidRPr="003626A0">
        <w:rPr>
          <w:rFonts w:ascii="Times New Roman" w:hAnsi="Times New Roman" w:cs="Times New Roman"/>
          <w:sz w:val="24"/>
          <w:szCs w:val="24"/>
        </w:rPr>
        <w:t>of the Hi</w:t>
      </w:r>
      <w:r w:rsidR="00C91417">
        <w:rPr>
          <w:rFonts w:ascii="Times New Roman" w:hAnsi="Times New Roman" w:cs="Times New Roman"/>
          <w:sz w:val="24"/>
          <w:szCs w:val="24"/>
        </w:rPr>
        <w:t>gh Court of Zimbabwe Rules, 2021</w:t>
      </w:r>
      <w:r w:rsidR="007E3DDF">
        <w:rPr>
          <w:rFonts w:ascii="Times New Roman" w:hAnsi="Times New Roman" w:cs="Times New Roman"/>
          <w:sz w:val="24"/>
          <w:szCs w:val="24"/>
        </w:rPr>
        <w:t xml:space="preserve">, at the conclusion of the hearing the court may grant the order sought </w:t>
      </w:r>
      <w:r w:rsidR="00DB02A6">
        <w:rPr>
          <w:rFonts w:ascii="Times New Roman" w:hAnsi="Times New Roman" w:cs="Times New Roman"/>
          <w:sz w:val="24"/>
          <w:szCs w:val="24"/>
        </w:rPr>
        <w:t>or variation of such order whether or not general or other relief has been asked for.</w:t>
      </w:r>
      <w:r w:rsidR="00BD18D5">
        <w:rPr>
          <w:rFonts w:ascii="Times New Roman" w:hAnsi="Times New Roman" w:cs="Times New Roman"/>
          <w:sz w:val="24"/>
          <w:szCs w:val="24"/>
        </w:rPr>
        <w:t xml:space="preserve"> This rule is</w:t>
      </w:r>
      <w:r w:rsidR="00953C00">
        <w:rPr>
          <w:rFonts w:ascii="Times New Roman" w:hAnsi="Times New Roman" w:cs="Times New Roman"/>
          <w:sz w:val="24"/>
          <w:szCs w:val="24"/>
        </w:rPr>
        <w:t xml:space="preserve"> more or less replicated in r</w:t>
      </w:r>
      <w:r w:rsidR="0099195F">
        <w:rPr>
          <w:rFonts w:ascii="Times New Roman" w:hAnsi="Times New Roman" w:cs="Times New Roman"/>
          <w:sz w:val="24"/>
          <w:szCs w:val="24"/>
        </w:rPr>
        <w:t xml:space="preserve"> 60 (9)</w:t>
      </w:r>
      <w:r w:rsidR="00BD18D5">
        <w:rPr>
          <w:rFonts w:ascii="Times New Roman" w:hAnsi="Times New Roman" w:cs="Times New Roman"/>
          <w:sz w:val="24"/>
          <w:szCs w:val="24"/>
        </w:rPr>
        <w:t xml:space="preserve"> in relation to </w:t>
      </w:r>
      <w:r w:rsidR="00C53B07">
        <w:rPr>
          <w:rFonts w:ascii="Times New Roman" w:hAnsi="Times New Roman" w:cs="Times New Roman"/>
          <w:sz w:val="24"/>
          <w:szCs w:val="24"/>
        </w:rPr>
        <w:t xml:space="preserve">provisional orders. </w:t>
      </w:r>
      <w:r w:rsidR="00F67A9C">
        <w:rPr>
          <w:rFonts w:ascii="Times New Roman" w:hAnsi="Times New Roman" w:cs="Times New Roman"/>
          <w:sz w:val="24"/>
          <w:szCs w:val="24"/>
        </w:rPr>
        <w:t xml:space="preserve">In granting the order as amended, I </w:t>
      </w:r>
      <w:r w:rsidR="00C46CBF">
        <w:rPr>
          <w:rFonts w:ascii="Times New Roman" w:hAnsi="Times New Roman" w:cs="Times New Roman"/>
          <w:sz w:val="24"/>
          <w:szCs w:val="24"/>
        </w:rPr>
        <w:t xml:space="preserve">am instructed by the remarks of </w:t>
      </w:r>
      <w:r w:rsidR="000628E5" w:rsidRPr="000628E5">
        <w:rPr>
          <w:rFonts w:ascii="Times New Roman" w:hAnsi="Times New Roman" w:cs="Times New Roman"/>
          <w:smallCaps/>
          <w:sz w:val="24"/>
          <w:szCs w:val="24"/>
        </w:rPr>
        <w:t>kwenda</w:t>
      </w:r>
      <w:r w:rsidR="000628E5">
        <w:rPr>
          <w:rFonts w:ascii="Times New Roman" w:hAnsi="Times New Roman" w:cs="Times New Roman"/>
          <w:sz w:val="24"/>
          <w:szCs w:val="24"/>
        </w:rPr>
        <w:t xml:space="preserve"> </w:t>
      </w:r>
      <w:r w:rsidR="00C46CBF">
        <w:rPr>
          <w:rFonts w:ascii="Times New Roman" w:hAnsi="Times New Roman" w:cs="Times New Roman"/>
          <w:sz w:val="24"/>
          <w:szCs w:val="24"/>
        </w:rPr>
        <w:t xml:space="preserve">J in </w:t>
      </w:r>
      <w:r w:rsidR="00C46CBF" w:rsidRPr="00A40409">
        <w:rPr>
          <w:rFonts w:ascii="Times New Roman" w:hAnsi="Times New Roman" w:cs="Times New Roman"/>
          <w:i/>
          <w:sz w:val="24"/>
          <w:szCs w:val="24"/>
        </w:rPr>
        <w:t xml:space="preserve">Chiswa </w:t>
      </w:r>
      <w:r w:rsidR="00C46CBF" w:rsidRPr="00C27491">
        <w:rPr>
          <w:rFonts w:ascii="Times New Roman" w:hAnsi="Times New Roman" w:cs="Times New Roman"/>
          <w:sz w:val="24"/>
          <w:szCs w:val="24"/>
        </w:rPr>
        <w:t>v</w:t>
      </w:r>
      <w:r w:rsidR="00C46CBF" w:rsidRPr="00A40409">
        <w:rPr>
          <w:rFonts w:ascii="Times New Roman" w:hAnsi="Times New Roman" w:cs="Times New Roman"/>
          <w:i/>
          <w:sz w:val="24"/>
          <w:szCs w:val="24"/>
        </w:rPr>
        <w:t xml:space="preserve"> </w:t>
      </w:r>
      <w:r w:rsidR="00A40409" w:rsidRPr="00A40409">
        <w:rPr>
          <w:rFonts w:ascii="Times New Roman" w:hAnsi="Times New Roman" w:cs="Times New Roman"/>
          <w:i/>
          <w:sz w:val="24"/>
          <w:szCs w:val="24"/>
        </w:rPr>
        <w:t xml:space="preserve">Maxess Marketing (Pvt) Ltd &amp; Ors </w:t>
      </w:r>
      <w:r w:rsidR="00A40409">
        <w:rPr>
          <w:rFonts w:ascii="Times New Roman" w:hAnsi="Times New Roman" w:cs="Times New Roman"/>
          <w:sz w:val="24"/>
          <w:szCs w:val="24"/>
        </w:rPr>
        <w:t>HH 116-20, where he said:</w:t>
      </w:r>
    </w:p>
    <w:p w:rsidR="00A40409" w:rsidRPr="00154D2A" w:rsidRDefault="00154D2A" w:rsidP="002D75AF">
      <w:pPr>
        <w:tabs>
          <w:tab w:val="left" w:pos="1991"/>
        </w:tabs>
        <w:spacing w:after="0" w:line="360" w:lineRule="auto"/>
        <w:ind w:firstLine="720"/>
        <w:jc w:val="both"/>
        <w:rPr>
          <w:rFonts w:ascii="Times New Roman" w:hAnsi="Times New Roman" w:cs="Times New Roman"/>
          <w:sz w:val="16"/>
          <w:szCs w:val="16"/>
        </w:rPr>
      </w:pPr>
      <w:r>
        <w:rPr>
          <w:rFonts w:ascii="Times New Roman" w:hAnsi="Times New Roman" w:cs="Times New Roman"/>
          <w:sz w:val="24"/>
          <w:szCs w:val="24"/>
        </w:rPr>
        <w:tab/>
      </w:r>
    </w:p>
    <w:p w:rsidR="00FE3516" w:rsidRPr="00EB525D" w:rsidRDefault="00FE3516" w:rsidP="000628E5">
      <w:pPr>
        <w:spacing w:after="0" w:line="240" w:lineRule="auto"/>
        <w:ind w:left="720"/>
        <w:jc w:val="both"/>
        <w:rPr>
          <w:rFonts w:ascii="Times New Roman" w:hAnsi="Times New Roman" w:cs="Times New Roman"/>
        </w:rPr>
      </w:pPr>
      <w:r w:rsidRPr="00EB525D">
        <w:rPr>
          <w:rFonts w:ascii="Times New Roman" w:hAnsi="Times New Roman" w:cs="Times New Roman"/>
        </w:rPr>
        <w:t>“My understanding is that the final wording of any court order (whether final or provisional) is the prerogative of the court as long as the order resolves the dispute(s) before the court. The draft provisional order submitted by the applicant with the application remains a proposal</w:t>
      </w:r>
      <w:r w:rsidR="00154D2A" w:rsidRPr="00EB525D">
        <w:rPr>
          <w:rFonts w:ascii="Times New Roman" w:hAnsi="Times New Roman" w:cs="Times New Roman"/>
        </w:rPr>
        <w:t>”</w:t>
      </w:r>
      <w:r w:rsidRPr="00EB525D">
        <w:rPr>
          <w:rFonts w:ascii="Times New Roman" w:hAnsi="Times New Roman" w:cs="Times New Roman"/>
        </w:rPr>
        <w:t>.</w:t>
      </w:r>
    </w:p>
    <w:p w:rsidR="003626A0" w:rsidRPr="003626A0" w:rsidRDefault="003626A0" w:rsidP="002D75AF">
      <w:pPr>
        <w:spacing w:after="0" w:line="360" w:lineRule="auto"/>
        <w:ind w:firstLine="720"/>
        <w:jc w:val="both"/>
        <w:rPr>
          <w:rFonts w:ascii="Times New Roman" w:hAnsi="Times New Roman" w:cs="Times New Roman"/>
          <w:sz w:val="24"/>
          <w:szCs w:val="24"/>
        </w:rPr>
      </w:pPr>
      <w:r w:rsidRPr="003626A0">
        <w:rPr>
          <w:rFonts w:ascii="Times New Roman" w:hAnsi="Times New Roman" w:cs="Times New Roman"/>
          <w:sz w:val="24"/>
          <w:szCs w:val="24"/>
        </w:rPr>
        <w:t xml:space="preserve">  </w:t>
      </w:r>
    </w:p>
    <w:p w:rsidR="004142FD" w:rsidRPr="009826AD" w:rsidRDefault="003626A0" w:rsidP="002D75AF">
      <w:pPr>
        <w:pStyle w:val="Default"/>
        <w:spacing w:line="360" w:lineRule="auto"/>
        <w:ind w:firstLine="720"/>
        <w:jc w:val="both"/>
      </w:pPr>
      <w:r>
        <w:t xml:space="preserve"> </w:t>
      </w:r>
      <w:r w:rsidR="00B711D3">
        <w:t>Finally,</w:t>
      </w:r>
      <w:r w:rsidR="00791C97">
        <w:rPr>
          <w:i/>
        </w:rPr>
        <w:t xml:space="preserve"> </w:t>
      </w:r>
      <w:r w:rsidR="00B711D3">
        <w:t>o</w:t>
      </w:r>
      <w:r w:rsidR="009826AD">
        <w:t xml:space="preserve">n the issue of costs, Counsel for the </w:t>
      </w:r>
      <w:r w:rsidR="001C1D87">
        <w:t>applicant’s position is that th</w:t>
      </w:r>
      <w:r w:rsidR="00BB4634">
        <w:t xml:space="preserve">e respondent is a department or </w:t>
      </w:r>
      <w:r w:rsidR="001C1D87">
        <w:t>agency of the State</w:t>
      </w:r>
      <w:r w:rsidR="00BB4634">
        <w:t xml:space="preserve"> funded by taxpayers</w:t>
      </w:r>
      <w:r w:rsidR="001C1D87">
        <w:t xml:space="preserve">, so if saddled with costs that would ultimately be a burden on the </w:t>
      </w:r>
      <w:r w:rsidR="00BB4634">
        <w:t>public</w:t>
      </w:r>
      <w:r w:rsidR="001C1D87">
        <w:t>. Beca</w:t>
      </w:r>
      <w:r w:rsidR="005944DB">
        <w:t>use of this, he su</w:t>
      </w:r>
      <w:r w:rsidR="005C01F3">
        <w:t>bmitted</w:t>
      </w:r>
      <w:r w:rsidR="005944DB">
        <w:t xml:space="preserve"> that no costs be awarded against the respondent in the even the application was successful. That is </w:t>
      </w:r>
      <w:r w:rsidR="005C01F3">
        <w:t>an eminently reasonable approach, in my view, and I endorse it</w:t>
      </w:r>
      <w:r w:rsidR="005944DB">
        <w:t>.</w:t>
      </w:r>
      <w:r w:rsidR="009826AD">
        <w:t xml:space="preserve"> </w:t>
      </w:r>
    </w:p>
    <w:p w:rsidR="009C5B3F" w:rsidRDefault="003D0FDB" w:rsidP="002D75AF">
      <w:pPr>
        <w:pStyle w:val="Default"/>
        <w:spacing w:line="360" w:lineRule="auto"/>
        <w:jc w:val="both"/>
        <w:rPr>
          <w:b/>
        </w:rPr>
      </w:pPr>
      <w:r>
        <w:rPr>
          <w:b/>
        </w:rPr>
        <w:tab/>
      </w:r>
    </w:p>
    <w:p w:rsidR="004E7367" w:rsidRDefault="004E7367" w:rsidP="002D75AF">
      <w:pPr>
        <w:pStyle w:val="Default"/>
        <w:spacing w:line="360" w:lineRule="auto"/>
        <w:jc w:val="both"/>
        <w:rPr>
          <w:b/>
        </w:rPr>
      </w:pPr>
      <w:r>
        <w:rPr>
          <w:b/>
        </w:rPr>
        <w:t>Disposition</w:t>
      </w:r>
    </w:p>
    <w:p w:rsidR="00B427D8" w:rsidRPr="00B66051" w:rsidRDefault="00B427D8" w:rsidP="002D75AF">
      <w:pPr>
        <w:pStyle w:val="Default"/>
        <w:spacing w:line="360" w:lineRule="auto"/>
        <w:jc w:val="both"/>
        <w:rPr>
          <w:b/>
          <w:sz w:val="8"/>
          <w:szCs w:val="8"/>
        </w:rPr>
      </w:pPr>
    </w:p>
    <w:p w:rsidR="009D6C3F" w:rsidRDefault="004E7367" w:rsidP="002D75AF">
      <w:pPr>
        <w:pStyle w:val="Default"/>
        <w:spacing w:line="360" w:lineRule="auto"/>
        <w:ind w:firstLine="360"/>
        <w:jc w:val="both"/>
      </w:pPr>
      <w:r w:rsidRPr="004E7367">
        <w:t>In the result, I grant the following order:</w:t>
      </w:r>
    </w:p>
    <w:p w:rsidR="00BD61AF" w:rsidRPr="00BD61AF" w:rsidRDefault="00BD61AF" w:rsidP="002D75AF">
      <w:pPr>
        <w:pStyle w:val="Default"/>
        <w:spacing w:line="360" w:lineRule="auto"/>
        <w:ind w:firstLine="360"/>
        <w:jc w:val="both"/>
        <w:rPr>
          <w:sz w:val="10"/>
          <w:szCs w:val="10"/>
        </w:rPr>
      </w:pPr>
    </w:p>
    <w:p w:rsidR="001455C5" w:rsidRDefault="001455C5" w:rsidP="002D75AF">
      <w:pPr>
        <w:pStyle w:val="Default"/>
        <w:numPr>
          <w:ilvl w:val="0"/>
          <w:numId w:val="5"/>
        </w:numPr>
        <w:spacing w:line="360" w:lineRule="auto"/>
        <w:jc w:val="both"/>
      </w:pPr>
      <w:r>
        <w:t xml:space="preserve">The points in </w:t>
      </w:r>
      <w:r w:rsidRPr="001455C5">
        <w:rPr>
          <w:i/>
        </w:rPr>
        <w:t>limine</w:t>
      </w:r>
      <w:r>
        <w:t xml:space="preserve"> are hereby dismissed.</w:t>
      </w:r>
    </w:p>
    <w:p w:rsidR="00BD61AF" w:rsidRDefault="00F13198" w:rsidP="002D75AF">
      <w:pPr>
        <w:pStyle w:val="Default"/>
        <w:numPr>
          <w:ilvl w:val="0"/>
          <w:numId w:val="5"/>
        </w:numPr>
        <w:spacing w:line="360" w:lineRule="auto"/>
        <w:jc w:val="both"/>
      </w:pPr>
      <w:r>
        <w:t>The application be and is hereby granted.</w:t>
      </w:r>
    </w:p>
    <w:p w:rsidR="00993299" w:rsidRDefault="006B6359" w:rsidP="002D75AF">
      <w:pPr>
        <w:pStyle w:val="Default"/>
        <w:numPr>
          <w:ilvl w:val="0"/>
          <w:numId w:val="5"/>
        </w:numPr>
        <w:spacing w:line="360" w:lineRule="auto"/>
        <w:jc w:val="both"/>
      </w:pPr>
      <w:r>
        <w:lastRenderedPageBreak/>
        <w:t xml:space="preserve">The respondent’s </w:t>
      </w:r>
      <w:r w:rsidR="001E663E">
        <w:t xml:space="preserve">decision to seize </w:t>
      </w:r>
      <w:r>
        <w:t>p</w:t>
      </w:r>
      <w:r w:rsidR="00CB142C">
        <w:t>etrol amounting to 53,644 litres seized from the applicant under Notice of Seizure No. 00</w:t>
      </w:r>
      <w:r w:rsidR="00327A57">
        <w:t>5685</w:t>
      </w:r>
      <w:r w:rsidR="00B82E63">
        <w:t xml:space="preserve"> and </w:t>
      </w:r>
      <w:r w:rsidR="00A03C4C">
        <w:t xml:space="preserve">which is </w:t>
      </w:r>
      <w:r w:rsidR="00B82E63">
        <w:t>in ZIMRA’s custody at Chirundu Border Post be and is hereby</w:t>
      </w:r>
      <w:r w:rsidR="001E663E">
        <w:t xml:space="preserve"> set aside.</w:t>
      </w:r>
    </w:p>
    <w:p w:rsidR="00993299" w:rsidRDefault="001E663E" w:rsidP="002D75AF">
      <w:pPr>
        <w:pStyle w:val="Default"/>
        <w:numPr>
          <w:ilvl w:val="0"/>
          <w:numId w:val="5"/>
        </w:numPr>
        <w:spacing w:line="360" w:lineRule="auto"/>
        <w:jc w:val="both"/>
      </w:pPr>
      <w:r>
        <w:t>The respondent’s decision to seize p</w:t>
      </w:r>
      <w:r w:rsidR="00993299">
        <w:t>etrol amounting to 5</w:t>
      </w:r>
      <w:r w:rsidR="00327A57">
        <w:t>3,868</w:t>
      </w:r>
      <w:r w:rsidR="00993299">
        <w:t xml:space="preserve"> litres seized from the applicant under Notice of Seizure No. 005686 and which is in ZIMRA’s custody at Chirund</w:t>
      </w:r>
      <w:r w:rsidR="00EF0699">
        <w:t>u Border Post be and is hereby set aside.</w:t>
      </w:r>
    </w:p>
    <w:p w:rsidR="00AC513D" w:rsidRDefault="00285E29" w:rsidP="002D75AF">
      <w:pPr>
        <w:pStyle w:val="Default"/>
        <w:numPr>
          <w:ilvl w:val="0"/>
          <w:numId w:val="5"/>
        </w:numPr>
        <w:spacing w:line="360" w:lineRule="auto"/>
        <w:jc w:val="both"/>
      </w:pPr>
      <w:r>
        <w:t xml:space="preserve">The respondent’s decision to seize </w:t>
      </w:r>
      <w:r w:rsidR="00F236FE">
        <w:t>Ho</w:t>
      </w:r>
      <w:r w:rsidR="00304601">
        <w:t>rse registration number AEZ7438;</w:t>
      </w:r>
      <w:r w:rsidR="00F236FE">
        <w:t xml:space="preserve"> Tanker registration number AEZ</w:t>
      </w:r>
      <w:r w:rsidR="00304601">
        <w:t>7022; Tanker registrati</w:t>
      </w:r>
      <w:r w:rsidR="00AA2D35">
        <w:t xml:space="preserve">on number AEZ2287; Horse registration number </w:t>
      </w:r>
      <w:r w:rsidR="0053163B">
        <w:t>AEG9297</w:t>
      </w:r>
      <w:r w:rsidR="0097030D">
        <w:t xml:space="preserve">; </w:t>
      </w:r>
      <w:r w:rsidR="00E054CB">
        <w:t xml:space="preserve">Tanker registration number </w:t>
      </w:r>
      <w:r w:rsidR="00E61B47">
        <w:t xml:space="preserve">AEZ7042; Tanker registration number </w:t>
      </w:r>
      <w:r>
        <w:t>AEZ7018 be and is hereby set aside.</w:t>
      </w:r>
    </w:p>
    <w:p w:rsidR="0022598A" w:rsidRDefault="0022598A" w:rsidP="002D75AF">
      <w:pPr>
        <w:pStyle w:val="Default"/>
        <w:numPr>
          <w:ilvl w:val="0"/>
          <w:numId w:val="5"/>
        </w:numPr>
        <w:spacing w:line="360" w:lineRule="auto"/>
        <w:jc w:val="both"/>
      </w:pPr>
      <w:r>
        <w:t xml:space="preserve">The respondent or its Regional Manager or other responsible </w:t>
      </w:r>
      <w:r w:rsidR="00A52DBE">
        <w:t>officer manning the Chirundu</w:t>
      </w:r>
      <w:r w:rsidR="00C55328">
        <w:t xml:space="preserve"> Border Post is hereby ordered </w:t>
      </w:r>
      <w:r w:rsidR="00A52DBE">
        <w:t xml:space="preserve">o do all acts and sign all documents as may be necessary to </w:t>
      </w:r>
      <w:r w:rsidR="00C55328">
        <w:t xml:space="preserve">release of </w:t>
      </w:r>
      <w:r w:rsidR="00A200A1">
        <w:t xml:space="preserve">the vehicles </w:t>
      </w:r>
      <w:r w:rsidR="00900388">
        <w:t xml:space="preserve">and petrol consignment </w:t>
      </w:r>
      <w:r w:rsidR="004B2C72">
        <w:t>referred to in paragraphs 3 to 5</w:t>
      </w:r>
      <w:r w:rsidR="00A200A1">
        <w:t xml:space="preserve"> of this Order</w:t>
      </w:r>
      <w:r w:rsidR="00900388">
        <w:t xml:space="preserve"> </w:t>
      </w:r>
      <w:r w:rsidR="004B2C72">
        <w:t xml:space="preserve">and ensure the smooth passage of same </w:t>
      </w:r>
      <w:r w:rsidR="007C65ED">
        <w:t>from</w:t>
      </w:r>
      <w:r w:rsidR="00900388">
        <w:t xml:space="preserve"> Zimbabwe to the Zambia (Chirundu) Border Post.</w:t>
      </w:r>
      <w:r w:rsidR="00A200A1">
        <w:t xml:space="preserve"> </w:t>
      </w:r>
    </w:p>
    <w:p w:rsidR="00DC15C2" w:rsidRDefault="008246AC" w:rsidP="002D75AF">
      <w:pPr>
        <w:pStyle w:val="Default"/>
        <w:numPr>
          <w:ilvl w:val="0"/>
          <w:numId w:val="5"/>
        </w:numPr>
        <w:spacing w:line="360" w:lineRule="auto"/>
        <w:jc w:val="both"/>
      </w:pPr>
      <w:r>
        <w:t>The Sheriff of Zimbabwe or his lawful deputy, with the assistance of</w:t>
      </w:r>
      <w:r w:rsidR="00E87B2F">
        <w:t xml:space="preserve"> officers from</w:t>
      </w:r>
      <w:r>
        <w:t xml:space="preserve"> the Zimbabwe Republic Police</w:t>
      </w:r>
      <w:r w:rsidR="00DD61E0">
        <w:t>,</w:t>
      </w:r>
      <w:r>
        <w:t xml:space="preserve"> </w:t>
      </w:r>
      <w:r w:rsidR="00A03C4C">
        <w:t xml:space="preserve"> </w:t>
      </w:r>
      <w:r w:rsidR="00E87B2F">
        <w:t>when necessary, be and is hereby directed</w:t>
      </w:r>
      <w:r w:rsidR="00DC15C2">
        <w:t xml:space="preserve"> and authorized to effectuate this order.</w:t>
      </w:r>
    </w:p>
    <w:p w:rsidR="00F13198" w:rsidRPr="00AB331B" w:rsidRDefault="000B6045" w:rsidP="002D75AF">
      <w:pPr>
        <w:pStyle w:val="Default"/>
        <w:numPr>
          <w:ilvl w:val="0"/>
          <w:numId w:val="5"/>
        </w:numPr>
        <w:spacing w:line="360" w:lineRule="auto"/>
        <w:jc w:val="both"/>
      </w:pPr>
      <w:r>
        <w:t xml:space="preserve">Each party shall bear its own </w:t>
      </w:r>
      <w:r w:rsidR="00DC15C2">
        <w:t>costs.</w:t>
      </w:r>
      <w:r w:rsidR="00B82E63">
        <w:t xml:space="preserve"> </w:t>
      </w:r>
    </w:p>
    <w:p w:rsidR="009D6C3F" w:rsidRPr="00AB331B" w:rsidRDefault="009D6C3F" w:rsidP="002E719A">
      <w:pPr>
        <w:pStyle w:val="Default"/>
        <w:spacing w:line="360" w:lineRule="auto"/>
        <w:jc w:val="both"/>
      </w:pPr>
    </w:p>
    <w:p w:rsidR="001B4B0C" w:rsidRDefault="001B4B0C" w:rsidP="002E719A">
      <w:pPr>
        <w:pStyle w:val="Default"/>
        <w:jc w:val="both"/>
        <w:rPr>
          <w:i/>
        </w:rPr>
      </w:pPr>
    </w:p>
    <w:p w:rsidR="00492875" w:rsidRDefault="00492875" w:rsidP="002E719A">
      <w:pPr>
        <w:pStyle w:val="Default"/>
        <w:jc w:val="both"/>
        <w:rPr>
          <w:i/>
        </w:rPr>
      </w:pPr>
    </w:p>
    <w:p w:rsidR="00492875" w:rsidRDefault="00492875" w:rsidP="002E719A">
      <w:pPr>
        <w:pStyle w:val="Default"/>
        <w:jc w:val="both"/>
        <w:rPr>
          <w:i/>
        </w:rPr>
      </w:pPr>
    </w:p>
    <w:p w:rsidR="009D6C3F" w:rsidRDefault="00381DC6" w:rsidP="00F233E8">
      <w:pPr>
        <w:pStyle w:val="Default"/>
      </w:pPr>
      <w:r>
        <w:rPr>
          <w:i/>
        </w:rPr>
        <w:t>Ushewokunze</w:t>
      </w:r>
      <w:r w:rsidR="00A6521B">
        <w:rPr>
          <w:i/>
        </w:rPr>
        <w:t xml:space="preserve"> Law Chambers</w:t>
      </w:r>
      <w:r w:rsidR="009D6C3F" w:rsidRPr="00AB331B">
        <w:t>, applicant’s legal practitioners</w:t>
      </w:r>
    </w:p>
    <w:p w:rsidR="007B3EF8" w:rsidRPr="00AB331B" w:rsidRDefault="00A6521B" w:rsidP="00FE3283">
      <w:pPr>
        <w:pStyle w:val="Default"/>
      </w:pPr>
      <w:r w:rsidRPr="008B695E">
        <w:rPr>
          <w:i/>
        </w:rPr>
        <w:t>Z</w:t>
      </w:r>
      <w:r w:rsidR="00F233E8" w:rsidRPr="008B695E">
        <w:rPr>
          <w:i/>
        </w:rPr>
        <w:t>IMRA Legal Services Division</w:t>
      </w:r>
      <w:r w:rsidR="00F233E8">
        <w:t>, respondent’s legal practitioners</w:t>
      </w:r>
    </w:p>
    <w:sectPr w:rsidR="007B3EF8" w:rsidRPr="00AB331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F7E" w:rsidRDefault="00517F7E" w:rsidP="00D25F61">
      <w:pPr>
        <w:spacing w:after="0" w:line="240" w:lineRule="auto"/>
      </w:pPr>
      <w:r>
        <w:separator/>
      </w:r>
    </w:p>
  </w:endnote>
  <w:endnote w:type="continuationSeparator" w:id="0">
    <w:p w:rsidR="00517F7E" w:rsidRDefault="00517F7E" w:rsidP="00D25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F7E" w:rsidRDefault="00517F7E" w:rsidP="00D25F61">
      <w:pPr>
        <w:spacing w:after="0" w:line="240" w:lineRule="auto"/>
      </w:pPr>
      <w:r>
        <w:separator/>
      </w:r>
    </w:p>
  </w:footnote>
  <w:footnote w:type="continuationSeparator" w:id="0">
    <w:p w:rsidR="00517F7E" w:rsidRDefault="00517F7E" w:rsidP="00D25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377753"/>
      <w:docPartObj>
        <w:docPartGallery w:val="Page Numbers (Top of Page)"/>
        <w:docPartUnique/>
      </w:docPartObj>
    </w:sdtPr>
    <w:sdtEndPr>
      <w:rPr>
        <w:noProof/>
      </w:rPr>
    </w:sdtEndPr>
    <w:sdtContent>
      <w:p w:rsidR="007B380B" w:rsidRDefault="00D25F61">
        <w:pPr>
          <w:pStyle w:val="Header"/>
          <w:jc w:val="right"/>
          <w:rPr>
            <w:noProof/>
          </w:rPr>
        </w:pPr>
        <w:r>
          <w:fldChar w:fldCharType="begin"/>
        </w:r>
        <w:r>
          <w:instrText xml:space="preserve"> PAGE   \* MERGEFORMAT </w:instrText>
        </w:r>
        <w:r>
          <w:fldChar w:fldCharType="separate"/>
        </w:r>
        <w:r w:rsidR="009754AF">
          <w:rPr>
            <w:noProof/>
          </w:rPr>
          <w:t>1</w:t>
        </w:r>
        <w:r>
          <w:rPr>
            <w:noProof/>
          </w:rPr>
          <w:fldChar w:fldCharType="end"/>
        </w:r>
      </w:p>
      <w:p w:rsidR="007B380B" w:rsidRDefault="00DA28D1">
        <w:pPr>
          <w:pStyle w:val="Header"/>
          <w:jc w:val="right"/>
          <w:rPr>
            <w:noProof/>
          </w:rPr>
        </w:pPr>
        <w:r>
          <w:rPr>
            <w:noProof/>
          </w:rPr>
          <w:t>HH</w:t>
        </w:r>
        <w:r w:rsidR="00AA204E">
          <w:rPr>
            <w:noProof/>
          </w:rPr>
          <w:t xml:space="preserve"> 09-23</w:t>
        </w:r>
      </w:p>
      <w:p w:rsidR="00D25F61" w:rsidRDefault="00622786">
        <w:pPr>
          <w:pStyle w:val="Header"/>
          <w:jc w:val="right"/>
        </w:pPr>
        <w:r>
          <w:rPr>
            <w:noProof/>
          </w:rPr>
          <w:t>HC 8607</w:t>
        </w:r>
        <w:r w:rsidR="007B380B">
          <w:rPr>
            <w:noProof/>
          </w:rPr>
          <w:t>/22</w:t>
        </w:r>
      </w:p>
    </w:sdtContent>
  </w:sdt>
  <w:p w:rsidR="00D25F61" w:rsidRDefault="00D25F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521E"/>
    <w:multiLevelType w:val="hybridMultilevel"/>
    <w:tmpl w:val="44B2C824"/>
    <w:lvl w:ilvl="0" w:tplc="8092C1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E24304D"/>
    <w:multiLevelType w:val="hybridMultilevel"/>
    <w:tmpl w:val="6D3C36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99586D"/>
    <w:multiLevelType w:val="hybridMultilevel"/>
    <w:tmpl w:val="91EA5344"/>
    <w:lvl w:ilvl="0" w:tplc="5010DE8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53786CF7"/>
    <w:multiLevelType w:val="hybridMultilevel"/>
    <w:tmpl w:val="5BF67550"/>
    <w:lvl w:ilvl="0" w:tplc="9B4E726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045CAA"/>
    <w:multiLevelType w:val="hybridMultilevel"/>
    <w:tmpl w:val="7E3886B8"/>
    <w:lvl w:ilvl="0" w:tplc="0274862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DF37E03"/>
    <w:multiLevelType w:val="hybridMultilevel"/>
    <w:tmpl w:val="B2005ABE"/>
    <w:lvl w:ilvl="0" w:tplc="C4801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1B1DDD"/>
    <w:multiLevelType w:val="hybridMultilevel"/>
    <w:tmpl w:val="98F686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1"/>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A58"/>
    <w:rsid w:val="000054A7"/>
    <w:rsid w:val="00005B73"/>
    <w:rsid w:val="00013584"/>
    <w:rsid w:val="00017A84"/>
    <w:rsid w:val="000202ED"/>
    <w:rsid w:val="00023DBD"/>
    <w:rsid w:val="000258C9"/>
    <w:rsid w:val="00027C29"/>
    <w:rsid w:val="000321C0"/>
    <w:rsid w:val="00034CFE"/>
    <w:rsid w:val="00035870"/>
    <w:rsid w:val="0003745A"/>
    <w:rsid w:val="00053105"/>
    <w:rsid w:val="0006041A"/>
    <w:rsid w:val="000628E5"/>
    <w:rsid w:val="0006387D"/>
    <w:rsid w:val="00070975"/>
    <w:rsid w:val="00074F0C"/>
    <w:rsid w:val="000861B1"/>
    <w:rsid w:val="0008687A"/>
    <w:rsid w:val="00091454"/>
    <w:rsid w:val="00093E4F"/>
    <w:rsid w:val="00095254"/>
    <w:rsid w:val="000A0E90"/>
    <w:rsid w:val="000A10E6"/>
    <w:rsid w:val="000A372E"/>
    <w:rsid w:val="000A5226"/>
    <w:rsid w:val="000A61E8"/>
    <w:rsid w:val="000B1146"/>
    <w:rsid w:val="000B4DF5"/>
    <w:rsid w:val="000B6045"/>
    <w:rsid w:val="000B649A"/>
    <w:rsid w:val="000C0EA9"/>
    <w:rsid w:val="000C2AAA"/>
    <w:rsid w:val="000C6030"/>
    <w:rsid w:val="000E37B6"/>
    <w:rsid w:val="000E63C6"/>
    <w:rsid w:val="000E6A84"/>
    <w:rsid w:val="000F0036"/>
    <w:rsid w:val="000F070D"/>
    <w:rsid w:val="0010134C"/>
    <w:rsid w:val="001040A1"/>
    <w:rsid w:val="00107F22"/>
    <w:rsid w:val="001130FD"/>
    <w:rsid w:val="001133C0"/>
    <w:rsid w:val="0011658E"/>
    <w:rsid w:val="00120AAF"/>
    <w:rsid w:val="0012108C"/>
    <w:rsid w:val="00122721"/>
    <w:rsid w:val="001234DD"/>
    <w:rsid w:val="00125B86"/>
    <w:rsid w:val="001312B6"/>
    <w:rsid w:val="00134A39"/>
    <w:rsid w:val="00136381"/>
    <w:rsid w:val="00142F21"/>
    <w:rsid w:val="001452BD"/>
    <w:rsid w:val="001455C5"/>
    <w:rsid w:val="00154D2A"/>
    <w:rsid w:val="00163D66"/>
    <w:rsid w:val="00164752"/>
    <w:rsid w:val="00164C7D"/>
    <w:rsid w:val="0018262C"/>
    <w:rsid w:val="00185553"/>
    <w:rsid w:val="00185893"/>
    <w:rsid w:val="00185BAA"/>
    <w:rsid w:val="001923A4"/>
    <w:rsid w:val="0019582B"/>
    <w:rsid w:val="00197DF4"/>
    <w:rsid w:val="001A0BB9"/>
    <w:rsid w:val="001A0FF5"/>
    <w:rsid w:val="001A4BD7"/>
    <w:rsid w:val="001A6FB4"/>
    <w:rsid w:val="001B04AA"/>
    <w:rsid w:val="001B09DC"/>
    <w:rsid w:val="001B41D4"/>
    <w:rsid w:val="001B4B0C"/>
    <w:rsid w:val="001C0093"/>
    <w:rsid w:val="001C1D87"/>
    <w:rsid w:val="001C3738"/>
    <w:rsid w:val="001D1F1B"/>
    <w:rsid w:val="001D2860"/>
    <w:rsid w:val="001D458F"/>
    <w:rsid w:val="001E5299"/>
    <w:rsid w:val="001E663E"/>
    <w:rsid w:val="001F332B"/>
    <w:rsid w:val="002251F2"/>
    <w:rsid w:val="0022598A"/>
    <w:rsid w:val="002275EE"/>
    <w:rsid w:val="00231CE2"/>
    <w:rsid w:val="0024622E"/>
    <w:rsid w:val="002558B0"/>
    <w:rsid w:val="00263311"/>
    <w:rsid w:val="00276C20"/>
    <w:rsid w:val="00282B15"/>
    <w:rsid w:val="002845CA"/>
    <w:rsid w:val="002850BE"/>
    <w:rsid w:val="00285E29"/>
    <w:rsid w:val="0029378A"/>
    <w:rsid w:val="00294972"/>
    <w:rsid w:val="00296538"/>
    <w:rsid w:val="00296AEC"/>
    <w:rsid w:val="002A0080"/>
    <w:rsid w:val="002A3746"/>
    <w:rsid w:val="002A37F9"/>
    <w:rsid w:val="002A5DC6"/>
    <w:rsid w:val="002B573B"/>
    <w:rsid w:val="002B7AE2"/>
    <w:rsid w:val="002C54A5"/>
    <w:rsid w:val="002C774A"/>
    <w:rsid w:val="002D16A2"/>
    <w:rsid w:val="002D173F"/>
    <w:rsid w:val="002D2045"/>
    <w:rsid w:val="002D21E9"/>
    <w:rsid w:val="002D2EE0"/>
    <w:rsid w:val="002D5A32"/>
    <w:rsid w:val="002D75AF"/>
    <w:rsid w:val="002E3939"/>
    <w:rsid w:val="002E719A"/>
    <w:rsid w:val="002F070D"/>
    <w:rsid w:val="002F5F45"/>
    <w:rsid w:val="002F72CC"/>
    <w:rsid w:val="002F7C3A"/>
    <w:rsid w:val="003029F0"/>
    <w:rsid w:val="00303C5E"/>
    <w:rsid w:val="00304564"/>
    <w:rsid w:val="00304601"/>
    <w:rsid w:val="00304ADE"/>
    <w:rsid w:val="003169B3"/>
    <w:rsid w:val="00317EF8"/>
    <w:rsid w:val="003218DA"/>
    <w:rsid w:val="00327A57"/>
    <w:rsid w:val="00327E45"/>
    <w:rsid w:val="0033036E"/>
    <w:rsid w:val="0033609F"/>
    <w:rsid w:val="00361B21"/>
    <w:rsid w:val="003626A0"/>
    <w:rsid w:val="00363C37"/>
    <w:rsid w:val="0036442D"/>
    <w:rsid w:val="00366479"/>
    <w:rsid w:val="00367198"/>
    <w:rsid w:val="00376C91"/>
    <w:rsid w:val="00377A86"/>
    <w:rsid w:val="00381DC6"/>
    <w:rsid w:val="00386200"/>
    <w:rsid w:val="00387811"/>
    <w:rsid w:val="0039148B"/>
    <w:rsid w:val="00391B13"/>
    <w:rsid w:val="00393405"/>
    <w:rsid w:val="003934C2"/>
    <w:rsid w:val="003A2497"/>
    <w:rsid w:val="003B0416"/>
    <w:rsid w:val="003B205D"/>
    <w:rsid w:val="003B2506"/>
    <w:rsid w:val="003D0FDB"/>
    <w:rsid w:val="003D6903"/>
    <w:rsid w:val="003D7BE7"/>
    <w:rsid w:val="003F3E30"/>
    <w:rsid w:val="003F510F"/>
    <w:rsid w:val="003F603C"/>
    <w:rsid w:val="00400330"/>
    <w:rsid w:val="00407FCC"/>
    <w:rsid w:val="00410064"/>
    <w:rsid w:val="004142FD"/>
    <w:rsid w:val="004202D3"/>
    <w:rsid w:val="00426E49"/>
    <w:rsid w:val="00426F4B"/>
    <w:rsid w:val="00432AB4"/>
    <w:rsid w:val="00437C62"/>
    <w:rsid w:val="00442FA9"/>
    <w:rsid w:val="004432ED"/>
    <w:rsid w:val="00444B5D"/>
    <w:rsid w:val="0044581A"/>
    <w:rsid w:val="004473EE"/>
    <w:rsid w:val="00456F35"/>
    <w:rsid w:val="00457A07"/>
    <w:rsid w:val="00462F2D"/>
    <w:rsid w:val="004637E2"/>
    <w:rsid w:val="004672EF"/>
    <w:rsid w:val="004673B2"/>
    <w:rsid w:val="00471ADD"/>
    <w:rsid w:val="00472881"/>
    <w:rsid w:val="00482DEB"/>
    <w:rsid w:val="00485832"/>
    <w:rsid w:val="00490D56"/>
    <w:rsid w:val="00492875"/>
    <w:rsid w:val="0049296E"/>
    <w:rsid w:val="00492BB7"/>
    <w:rsid w:val="00493AC6"/>
    <w:rsid w:val="0049510A"/>
    <w:rsid w:val="004B2C72"/>
    <w:rsid w:val="004C7653"/>
    <w:rsid w:val="004D036B"/>
    <w:rsid w:val="004D4CC1"/>
    <w:rsid w:val="004E7367"/>
    <w:rsid w:val="004F548B"/>
    <w:rsid w:val="004F5878"/>
    <w:rsid w:val="004F5A37"/>
    <w:rsid w:val="00517F7E"/>
    <w:rsid w:val="00530451"/>
    <w:rsid w:val="0053163B"/>
    <w:rsid w:val="0053255B"/>
    <w:rsid w:val="005353CC"/>
    <w:rsid w:val="0054343F"/>
    <w:rsid w:val="005447F8"/>
    <w:rsid w:val="00546464"/>
    <w:rsid w:val="00547EFC"/>
    <w:rsid w:val="005570C1"/>
    <w:rsid w:val="00561A3C"/>
    <w:rsid w:val="0056354C"/>
    <w:rsid w:val="005645FA"/>
    <w:rsid w:val="0057112A"/>
    <w:rsid w:val="00574AB5"/>
    <w:rsid w:val="00580482"/>
    <w:rsid w:val="00581585"/>
    <w:rsid w:val="00584BC7"/>
    <w:rsid w:val="005944DB"/>
    <w:rsid w:val="005A040E"/>
    <w:rsid w:val="005A5074"/>
    <w:rsid w:val="005A5EB4"/>
    <w:rsid w:val="005A7141"/>
    <w:rsid w:val="005B0BF6"/>
    <w:rsid w:val="005B3132"/>
    <w:rsid w:val="005B6D1B"/>
    <w:rsid w:val="005C01F3"/>
    <w:rsid w:val="005C3FB8"/>
    <w:rsid w:val="005C4E4E"/>
    <w:rsid w:val="005C59D0"/>
    <w:rsid w:val="005D6D8E"/>
    <w:rsid w:val="005E74B5"/>
    <w:rsid w:val="005F2EF3"/>
    <w:rsid w:val="005F364B"/>
    <w:rsid w:val="005F6292"/>
    <w:rsid w:val="00617FCF"/>
    <w:rsid w:val="00622786"/>
    <w:rsid w:val="00626406"/>
    <w:rsid w:val="00630D13"/>
    <w:rsid w:val="00636379"/>
    <w:rsid w:val="00642360"/>
    <w:rsid w:val="00651ABB"/>
    <w:rsid w:val="00661779"/>
    <w:rsid w:val="006627CD"/>
    <w:rsid w:val="00665469"/>
    <w:rsid w:val="00677929"/>
    <w:rsid w:val="00681C37"/>
    <w:rsid w:val="006839DA"/>
    <w:rsid w:val="00685006"/>
    <w:rsid w:val="00691300"/>
    <w:rsid w:val="0069378E"/>
    <w:rsid w:val="00696D9A"/>
    <w:rsid w:val="006973D5"/>
    <w:rsid w:val="006A3F17"/>
    <w:rsid w:val="006A696E"/>
    <w:rsid w:val="006B1777"/>
    <w:rsid w:val="006B3D09"/>
    <w:rsid w:val="006B5463"/>
    <w:rsid w:val="006B5E92"/>
    <w:rsid w:val="006B6359"/>
    <w:rsid w:val="006B6AAE"/>
    <w:rsid w:val="006D1941"/>
    <w:rsid w:val="006D299E"/>
    <w:rsid w:val="006D4FC5"/>
    <w:rsid w:val="006E4761"/>
    <w:rsid w:val="006E506A"/>
    <w:rsid w:val="006E6273"/>
    <w:rsid w:val="006F22AC"/>
    <w:rsid w:val="006F3176"/>
    <w:rsid w:val="006F3E2B"/>
    <w:rsid w:val="006F4222"/>
    <w:rsid w:val="00713C18"/>
    <w:rsid w:val="007211A1"/>
    <w:rsid w:val="00723846"/>
    <w:rsid w:val="00723B18"/>
    <w:rsid w:val="00730155"/>
    <w:rsid w:val="00731DA2"/>
    <w:rsid w:val="00732590"/>
    <w:rsid w:val="00735F65"/>
    <w:rsid w:val="00746972"/>
    <w:rsid w:val="007559FB"/>
    <w:rsid w:val="00757DE9"/>
    <w:rsid w:val="00764255"/>
    <w:rsid w:val="007679D0"/>
    <w:rsid w:val="0077784B"/>
    <w:rsid w:val="00781616"/>
    <w:rsid w:val="00791C97"/>
    <w:rsid w:val="00793177"/>
    <w:rsid w:val="007A78B9"/>
    <w:rsid w:val="007B0410"/>
    <w:rsid w:val="007B045B"/>
    <w:rsid w:val="007B380B"/>
    <w:rsid w:val="007B3EF8"/>
    <w:rsid w:val="007C30E2"/>
    <w:rsid w:val="007C65ED"/>
    <w:rsid w:val="007C7615"/>
    <w:rsid w:val="007D773A"/>
    <w:rsid w:val="007E06B3"/>
    <w:rsid w:val="007E3B6B"/>
    <w:rsid w:val="007E3DDF"/>
    <w:rsid w:val="007F1895"/>
    <w:rsid w:val="0080180E"/>
    <w:rsid w:val="0080223D"/>
    <w:rsid w:val="00805524"/>
    <w:rsid w:val="0081056A"/>
    <w:rsid w:val="00810EA8"/>
    <w:rsid w:val="00812C8D"/>
    <w:rsid w:val="008207A7"/>
    <w:rsid w:val="00820907"/>
    <w:rsid w:val="0082182C"/>
    <w:rsid w:val="008246AC"/>
    <w:rsid w:val="00824BA7"/>
    <w:rsid w:val="00827007"/>
    <w:rsid w:val="0083122A"/>
    <w:rsid w:val="00833C27"/>
    <w:rsid w:val="00837F5D"/>
    <w:rsid w:val="008402B5"/>
    <w:rsid w:val="008631E6"/>
    <w:rsid w:val="00867015"/>
    <w:rsid w:val="00875D60"/>
    <w:rsid w:val="00881891"/>
    <w:rsid w:val="00893045"/>
    <w:rsid w:val="00893739"/>
    <w:rsid w:val="00893EA0"/>
    <w:rsid w:val="008976D2"/>
    <w:rsid w:val="008A1342"/>
    <w:rsid w:val="008A2B5C"/>
    <w:rsid w:val="008A3B27"/>
    <w:rsid w:val="008A7640"/>
    <w:rsid w:val="008B0357"/>
    <w:rsid w:val="008B695E"/>
    <w:rsid w:val="008B75D5"/>
    <w:rsid w:val="008B78DD"/>
    <w:rsid w:val="008C7C30"/>
    <w:rsid w:val="008D1D8B"/>
    <w:rsid w:val="008D6B9C"/>
    <w:rsid w:val="008D72E7"/>
    <w:rsid w:val="008E3BCD"/>
    <w:rsid w:val="008F0F4B"/>
    <w:rsid w:val="008F1FA7"/>
    <w:rsid w:val="00900388"/>
    <w:rsid w:val="00901FDA"/>
    <w:rsid w:val="00906224"/>
    <w:rsid w:val="00910D74"/>
    <w:rsid w:val="0091231D"/>
    <w:rsid w:val="00912B7D"/>
    <w:rsid w:val="00925DF9"/>
    <w:rsid w:val="009268EC"/>
    <w:rsid w:val="009271C4"/>
    <w:rsid w:val="00935121"/>
    <w:rsid w:val="00940B70"/>
    <w:rsid w:val="00942275"/>
    <w:rsid w:val="00943606"/>
    <w:rsid w:val="00953B8E"/>
    <w:rsid w:val="00953C00"/>
    <w:rsid w:val="009629F4"/>
    <w:rsid w:val="009633DC"/>
    <w:rsid w:val="0096391C"/>
    <w:rsid w:val="0097030D"/>
    <w:rsid w:val="00971C9A"/>
    <w:rsid w:val="0097234A"/>
    <w:rsid w:val="009754AF"/>
    <w:rsid w:val="009756CA"/>
    <w:rsid w:val="00975ECC"/>
    <w:rsid w:val="009826AD"/>
    <w:rsid w:val="00983CFB"/>
    <w:rsid w:val="0099195F"/>
    <w:rsid w:val="00993299"/>
    <w:rsid w:val="009A3161"/>
    <w:rsid w:val="009A64ED"/>
    <w:rsid w:val="009B055F"/>
    <w:rsid w:val="009B5C33"/>
    <w:rsid w:val="009C127E"/>
    <w:rsid w:val="009C5189"/>
    <w:rsid w:val="009C5B3F"/>
    <w:rsid w:val="009C6A9A"/>
    <w:rsid w:val="009D6C3F"/>
    <w:rsid w:val="009E0AE5"/>
    <w:rsid w:val="009E51D2"/>
    <w:rsid w:val="009F4ADD"/>
    <w:rsid w:val="009F4E08"/>
    <w:rsid w:val="009F4E2F"/>
    <w:rsid w:val="009F605C"/>
    <w:rsid w:val="00A002AC"/>
    <w:rsid w:val="00A0162F"/>
    <w:rsid w:val="00A03C4C"/>
    <w:rsid w:val="00A1245D"/>
    <w:rsid w:val="00A14565"/>
    <w:rsid w:val="00A17B53"/>
    <w:rsid w:val="00A200A1"/>
    <w:rsid w:val="00A22984"/>
    <w:rsid w:val="00A2345B"/>
    <w:rsid w:val="00A23A4D"/>
    <w:rsid w:val="00A2519B"/>
    <w:rsid w:val="00A40409"/>
    <w:rsid w:val="00A41CDC"/>
    <w:rsid w:val="00A4740F"/>
    <w:rsid w:val="00A52DBE"/>
    <w:rsid w:val="00A54E9C"/>
    <w:rsid w:val="00A56F7D"/>
    <w:rsid w:val="00A579BA"/>
    <w:rsid w:val="00A6521B"/>
    <w:rsid w:val="00A832B4"/>
    <w:rsid w:val="00A96F42"/>
    <w:rsid w:val="00AA204E"/>
    <w:rsid w:val="00AA2D35"/>
    <w:rsid w:val="00AA47AC"/>
    <w:rsid w:val="00AB331B"/>
    <w:rsid w:val="00AC1ACB"/>
    <w:rsid w:val="00AC2188"/>
    <w:rsid w:val="00AC513D"/>
    <w:rsid w:val="00AD158A"/>
    <w:rsid w:val="00AD2983"/>
    <w:rsid w:val="00AD3DB0"/>
    <w:rsid w:val="00AD520D"/>
    <w:rsid w:val="00AD6B35"/>
    <w:rsid w:val="00AD71D1"/>
    <w:rsid w:val="00AD74A0"/>
    <w:rsid w:val="00AE3ACF"/>
    <w:rsid w:val="00AE4DD3"/>
    <w:rsid w:val="00AE6EC6"/>
    <w:rsid w:val="00AF4C6A"/>
    <w:rsid w:val="00AF53E0"/>
    <w:rsid w:val="00B004AD"/>
    <w:rsid w:val="00B00D1A"/>
    <w:rsid w:val="00B03B7A"/>
    <w:rsid w:val="00B14173"/>
    <w:rsid w:val="00B14783"/>
    <w:rsid w:val="00B217CC"/>
    <w:rsid w:val="00B33A6D"/>
    <w:rsid w:val="00B34E53"/>
    <w:rsid w:val="00B35F1B"/>
    <w:rsid w:val="00B417F7"/>
    <w:rsid w:val="00B4189F"/>
    <w:rsid w:val="00B427D8"/>
    <w:rsid w:val="00B4551E"/>
    <w:rsid w:val="00B46C6D"/>
    <w:rsid w:val="00B5522D"/>
    <w:rsid w:val="00B61299"/>
    <w:rsid w:val="00B66051"/>
    <w:rsid w:val="00B711D3"/>
    <w:rsid w:val="00B721BC"/>
    <w:rsid w:val="00B74102"/>
    <w:rsid w:val="00B82E63"/>
    <w:rsid w:val="00B912CF"/>
    <w:rsid w:val="00B92A32"/>
    <w:rsid w:val="00BA1518"/>
    <w:rsid w:val="00BA55A5"/>
    <w:rsid w:val="00BB0E96"/>
    <w:rsid w:val="00BB4494"/>
    <w:rsid w:val="00BB4634"/>
    <w:rsid w:val="00BC6BE5"/>
    <w:rsid w:val="00BD18D5"/>
    <w:rsid w:val="00BD40EE"/>
    <w:rsid w:val="00BD424E"/>
    <w:rsid w:val="00BD4F1A"/>
    <w:rsid w:val="00BD61AF"/>
    <w:rsid w:val="00BE236E"/>
    <w:rsid w:val="00BF0F4C"/>
    <w:rsid w:val="00BF3FCF"/>
    <w:rsid w:val="00C26058"/>
    <w:rsid w:val="00C27491"/>
    <w:rsid w:val="00C40B82"/>
    <w:rsid w:val="00C4454D"/>
    <w:rsid w:val="00C46CBF"/>
    <w:rsid w:val="00C46F8B"/>
    <w:rsid w:val="00C50F77"/>
    <w:rsid w:val="00C512B8"/>
    <w:rsid w:val="00C53B07"/>
    <w:rsid w:val="00C55328"/>
    <w:rsid w:val="00C5583A"/>
    <w:rsid w:val="00C6219C"/>
    <w:rsid w:val="00C64E22"/>
    <w:rsid w:val="00C66C84"/>
    <w:rsid w:val="00C768DC"/>
    <w:rsid w:val="00C76D8A"/>
    <w:rsid w:val="00C8347D"/>
    <w:rsid w:val="00C84F0A"/>
    <w:rsid w:val="00C85BEC"/>
    <w:rsid w:val="00C87545"/>
    <w:rsid w:val="00C91032"/>
    <w:rsid w:val="00C91417"/>
    <w:rsid w:val="00CA3D39"/>
    <w:rsid w:val="00CA3D8C"/>
    <w:rsid w:val="00CA43B1"/>
    <w:rsid w:val="00CA4E82"/>
    <w:rsid w:val="00CA54FB"/>
    <w:rsid w:val="00CA7A58"/>
    <w:rsid w:val="00CA7FF3"/>
    <w:rsid w:val="00CB142C"/>
    <w:rsid w:val="00CB4DC1"/>
    <w:rsid w:val="00CC02BE"/>
    <w:rsid w:val="00CC1099"/>
    <w:rsid w:val="00CC2A52"/>
    <w:rsid w:val="00CC3304"/>
    <w:rsid w:val="00CC6BE0"/>
    <w:rsid w:val="00CD393A"/>
    <w:rsid w:val="00CD4BF9"/>
    <w:rsid w:val="00CD6905"/>
    <w:rsid w:val="00CE0F4D"/>
    <w:rsid w:val="00CE0FE0"/>
    <w:rsid w:val="00CE2878"/>
    <w:rsid w:val="00D00F8E"/>
    <w:rsid w:val="00D04108"/>
    <w:rsid w:val="00D05E62"/>
    <w:rsid w:val="00D20636"/>
    <w:rsid w:val="00D2525D"/>
    <w:rsid w:val="00D25F61"/>
    <w:rsid w:val="00D30CDD"/>
    <w:rsid w:val="00D316B3"/>
    <w:rsid w:val="00D34102"/>
    <w:rsid w:val="00D378DA"/>
    <w:rsid w:val="00D406DD"/>
    <w:rsid w:val="00D417EC"/>
    <w:rsid w:val="00D44935"/>
    <w:rsid w:val="00D4495C"/>
    <w:rsid w:val="00D47B65"/>
    <w:rsid w:val="00D55627"/>
    <w:rsid w:val="00D564B0"/>
    <w:rsid w:val="00D61595"/>
    <w:rsid w:val="00D639BE"/>
    <w:rsid w:val="00D64E81"/>
    <w:rsid w:val="00D71B84"/>
    <w:rsid w:val="00D73557"/>
    <w:rsid w:val="00D83005"/>
    <w:rsid w:val="00D8494B"/>
    <w:rsid w:val="00D879D9"/>
    <w:rsid w:val="00D87B14"/>
    <w:rsid w:val="00D91F10"/>
    <w:rsid w:val="00D93629"/>
    <w:rsid w:val="00DA0743"/>
    <w:rsid w:val="00DA1EB3"/>
    <w:rsid w:val="00DA28D1"/>
    <w:rsid w:val="00DA571C"/>
    <w:rsid w:val="00DB02A6"/>
    <w:rsid w:val="00DB35D3"/>
    <w:rsid w:val="00DB66EE"/>
    <w:rsid w:val="00DC15C2"/>
    <w:rsid w:val="00DC3D5B"/>
    <w:rsid w:val="00DC637F"/>
    <w:rsid w:val="00DD02D0"/>
    <w:rsid w:val="00DD61E0"/>
    <w:rsid w:val="00DE34B1"/>
    <w:rsid w:val="00DE38B8"/>
    <w:rsid w:val="00DF0CFF"/>
    <w:rsid w:val="00DF1B80"/>
    <w:rsid w:val="00DF49C5"/>
    <w:rsid w:val="00DF59B9"/>
    <w:rsid w:val="00DF6304"/>
    <w:rsid w:val="00E054CB"/>
    <w:rsid w:val="00E069B6"/>
    <w:rsid w:val="00E12693"/>
    <w:rsid w:val="00E12FAA"/>
    <w:rsid w:val="00E153D8"/>
    <w:rsid w:val="00E1651A"/>
    <w:rsid w:val="00E25615"/>
    <w:rsid w:val="00E27700"/>
    <w:rsid w:val="00E30204"/>
    <w:rsid w:val="00E33712"/>
    <w:rsid w:val="00E3574D"/>
    <w:rsid w:val="00E42210"/>
    <w:rsid w:val="00E42286"/>
    <w:rsid w:val="00E42837"/>
    <w:rsid w:val="00E460F0"/>
    <w:rsid w:val="00E602FB"/>
    <w:rsid w:val="00E61B47"/>
    <w:rsid w:val="00E651C8"/>
    <w:rsid w:val="00E6783B"/>
    <w:rsid w:val="00E7414C"/>
    <w:rsid w:val="00E7432D"/>
    <w:rsid w:val="00E75AD7"/>
    <w:rsid w:val="00E76D51"/>
    <w:rsid w:val="00E81650"/>
    <w:rsid w:val="00E8343E"/>
    <w:rsid w:val="00E8539C"/>
    <w:rsid w:val="00E85C73"/>
    <w:rsid w:val="00E87B2F"/>
    <w:rsid w:val="00EA6FDF"/>
    <w:rsid w:val="00EA7B54"/>
    <w:rsid w:val="00EB2F4A"/>
    <w:rsid w:val="00EB49EA"/>
    <w:rsid w:val="00EB525D"/>
    <w:rsid w:val="00EB53A3"/>
    <w:rsid w:val="00EC203B"/>
    <w:rsid w:val="00EC64DE"/>
    <w:rsid w:val="00ED1350"/>
    <w:rsid w:val="00EE014C"/>
    <w:rsid w:val="00EE1C3E"/>
    <w:rsid w:val="00EF0699"/>
    <w:rsid w:val="00EF3172"/>
    <w:rsid w:val="00F0045E"/>
    <w:rsid w:val="00F04409"/>
    <w:rsid w:val="00F06C86"/>
    <w:rsid w:val="00F07DC7"/>
    <w:rsid w:val="00F10B64"/>
    <w:rsid w:val="00F13198"/>
    <w:rsid w:val="00F15590"/>
    <w:rsid w:val="00F16325"/>
    <w:rsid w:val="00F20EFE"/>
    <w:rsid w:val="00F22830"/>
    <w:rsid w:val="00F233E8"/>
    <w:rsid w:val="00F236FE"/>
    <w:rsid w:val="00F25076"/>
    <w:rsid w:val="00F2670A"/>
    <w:rsid w:val="00F273E8"/>
    <w:rsid w:val="00F27E01"/>
    <w:rsid w:val="00F305BA"/>
    <w:rsid w:val="00F40AD1"/>
    <w:rsid w:val="00F41053"/>
    <w:rsid w:val="00F463AC"/>
    <w:rsid w:val="00F5272C"/>
    <w:rsid w:val="00F5535B"/>
    <w:rsid w:val="00F603DD"/>
    <w:rsid w:val="00F67A9C"/>
    <w:rsid w:val="00F70873"/>
    <w:rsid w:val="00F74634"/>
    <w:rsid w:val="00F81822"/>
    <w:rsid w:val="00F82951"/>
    <w:rsid w:val="00F8670C"/>
    <w:rsid w:val="00FA11FD"/>
    <w:rsid w:val="00FA1BC2"/>
    <w:rsid w:val="00FA2107"/>
    <w:rsid w:val="00FA541A"/>
    <w:rsid w:val="00FA6DD8"/>
    <w:rsid w:val="00FB6426"/>
    <w:rsid w:val="00FC2727"/>
    <w:rsid w:val="00FC3BE7"/>
    <w:rsid w:val="00FD0A4B"/>
    <w:rsid w:val="00FD6248"/>
    <w:rsid w:val="00FE3283"/>
    <w:rsid w:val="00FE3516"/>
    <w:rsid w:val="00FE6A01"/>
    <w:rsid w:val="00FF1CF4"/>
    <w:rsid w:val="00FF405E"/>
    <w:rsid w:val="00FF7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7B3DCD-73D1-412B-8305-049B3304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A58"/>
    <w:pPr>
      <w:ind w:left="720"/>
      <w:contextualSpacing/>
    </w:pPr>
  </w:style>
  <w:style w:type="paragraph" w:customStyle="1" w:styleId="Default">
    <w:name w:val="Default"/>
    <w:rsid w:val="000861B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25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F61"/>
  </w:style>
  <w:style w:type="paragraph" w:styleId="Footer">
    <w:name w:val="footer"/>
    <w:basedOn w:val="Normal"/>
    <w:link w:val="FooterChar"/>
    <w:uiPriority w:val="99"/>
    <w:unhideWhenUsed/>
    <w:rsid w:val="00D25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F61"/>
  </w:style>
  <w:style w:type="paragraph" w:styleId="BalloonText">
    <w:name w:val="Balloon Text"/>
    <w:basedOn w:val="Normal"/>
    <w:link w:val="BalloonTextChar"/>
    <w:uiPriority w:val="99"/>
    <w:semiHidden/>
    <w:unhideWhenUsed/>
    <w:rsid w:val="00A251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19B"/>
    <w:rPr>
      <w:rFonts w:ascii="Segoe UI" w:hAnsi="Segoe UI" w:cs="Segoe UI"/>
      <w:sz w:val="18"/>
      <w:szCs w:val="18"/>
    </w:rPr>
  </w:style>
  <w:style w:type="paragraph" w:styleId="FootnoteText">
    <w:name w:val="footnote text"/>
    <w:basedOn w:val="Normal"/>
    <w:link w:val="FootnoteTextChar"/>
    <w:uiPriority w:val="99"/>
    <w:semiHidden/>
    <w:unhideWhenUsed/>
    <w:rsid w:val="00A54E9C"/>
    <w:pPr>
      <w:spacing w:after="0" w:line="240" w:lineRule="auto"/>
    </w:pPr>
    <w:rPr>
      <w:rFonts w:ascii="Times New Roman" w:eastAsia="Calibri" w:hAnsi="Times New Roman" w:cs="Times New Roman"/>
      <w:sz w:val="20"/>
      <w:szCs w:val="20"/>
      <w:lang w:val="en-ZW"/>
    </w:rPr>
  </w:style>
  <w:style w:type="character" w:customStyle="1" w:styleId="FootnoteTextChar">
    <w:name w:val="Footnote Text Char"/>
    <w:basedOn w:val="DefaultParagraphFont"/>
    <w:link w:val="FootnoteText"/>
    <w:uiPriority w:val="99"/>
    <w:semiHidden/>
    <w:rsid w:val="00A54E9C"/>
    <w:rPr>
      <w:rFonts w:ascii="Times New Roman" w:eastAsia="Calibri" w:hAnsi="Times New Roman" w:cs="Times New Roman"/>
      <w:sz w:val="20"/>
      <w:szCs w:val="20"/>
      <w:lang w:val="en-ZW"/>
    </w:rPr>
  </w:style>
  <w:style w:type="character" w:styleId="FootnoteReference">
    <w:name w:val="footnote reference"/>
    <w:uiPriority w:val="99"/>
    <w:semiHidden/>
    <w:unhideWhenUsed/>
    <w:rsid w:val="00A54E9C"/>
    <w:rPr>
      <w:vertAlign w:val="superscript"/>
    </w:rPr>
  </w:style>
  <w:style w:type="character" w:styleId="Emphasis">
    <w:name w:val="Emphasis"/>
    <w:uiPriority w:val="20"/>
    <w:qFormat/>
    <w:rsid w:val="00136381"/>
    <w:rPr>
      <w:rFonts w:cs="Times New Roman"/>
      <w:i/>
    </w:rPr>
  </w:style>
  <w:style w:type="character" w:styleId="Strong">
    <w:name w:val="Strong"/>
    <w:uiPriority w:val="22"/>
    <w:qFormat/>
    <w:rsid w:val="002C774A"/>
    <w:rPr>
      <w:rFonts w:cs="Times New Roman"/>
      <w:b/>
    </w:rPr>
  </w:style>
  <w:style w:type="paragraph" w:styleId="NormalWeb">
    <w:name w:val="Normal (Web)"/>
    <w:basedOn w:val="Normal"/>
    <w:uiPriority w:val="99"/>
    <w:unhideWhenUsed/>
    <w:rsid w:val="006B5463"/>
    <w:pPr>
      <w:spacing w:before="100" w:beforeAutospacing="1" w:after="100" w:afterAutospacing="1" w:line="240" w:lineRule="auto"/>
    </w:pPr>
    <w:rPr>
      <w:rFonts w:ascii="Times New Roman" w:eastAsia="Times New Roman" w:hAnsi="Times New Roman" w:cs="Times New Roman"/>
      <w:sz w:val="24"/>
      <w:szCs w:val="24"/>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3225</Words>
  <Characters>18387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2023-01-10T10:10:00Z</cp:lastPrinted>
  <dcterms:created xsi:type="dcterms:W3CDTF">2023-01-13T09:20:00Z</dcterms:created>
  <dcterms:modified xsi:type="dcterms:W3CDTF">2023-01-13T09:20:00Z</dcterms:modified>
</cp:coreProperties>
</file>