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242" w:rsidRDefault="00BE11D6" w:rsidP="00252CC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AIR NAMIBIA (PROPRIETARY) LIMITED </w:t>
      </w:r>
    </w:p>
    <w:p w:rsidR="009C5BBA" w:rsidRDefault="009C5BB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A57E5B" w:rsidRDefault="00BE11D6"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CHENJERAI MAWUMBA</w:t>
      </w:r>
    </w:p>
    <w:p w:rsidR="00BE11D6" w:rsidRDefault="00BE11D6"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E11D6" w:rsidRDefault="00BE11D6"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JULIANA MAGOMBEDZE</w:t>
      </w:r>
    </w:p>
    <w:p w:rsidR="00BE11D6" w:rsidRDefault="00BE11D6"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E11D6" w:rsidRDefault="00BE11D6"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FADZAI NICOLE MAWUMBA</w:t>
      </w:r>
    </w:p>
    <w:p w:rsidR="00BE11D6" w:rsidRDefault="00BE11D6"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E11D6" w:rsidRDefault="00BE11D6"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RUTENDO RUTH MUWUMBA</w:t>
      </w:r>
    </w:p>
    <w:p w:rsidR="00BE11D6" w:rsidRDefault="00BE11D6"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minor duly represented by Chenjerai Mawumba in</w:t>
      </w:r>
    </w:p>
    <w:p w:rsidR="00BE11D6" w:rsidRDefault="00BE11D6"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his capacity as the father and natural guardian)</w:t>
      </w:r>
    </w:p>
    <w:p w:rsidR="00BE11D6" w:rsidRDefault="00BE11D6"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E11D6" w:rsidRDefault="00BE11D6"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TADIWANASHE SETH MAWUMBA</w:t>
      </w:r>
    </w:p>
    <w:p w:rsidR="00BE11D6" w:rsidRDefault="00BE11D6" w:rsidP="00BE1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minor duly represented by Chenjerai Mawumba in</w:t>
      </w:r>
    </w:p>
    <w:p w:rsidR="00BE11D6" w:rsidRDefault="00BE11D6" w:rsidP="00BE1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his capacity as the father and natural guardian)</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CHITAPI </w:t>
      </w:r>
      <w:r w:rsidR="006B7A88">
        <w:rPr>
          <w:rFonts w:ascii="Times New Roman" w:hAnsi="Times New Roman" w:cs="Times New Roman"/>
          <w:sz w:val="24"/>
          <w:szCs w:val="24"/>
        </w:rPr>
        <w:t>J</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00DDC">
        <w:rPr>
          <w:rFonts w:ascii="Times New Roman" w:hAnsi="Times New Roman" w:cs="Times New Roman"/>
          <w:sz w:val="24"/>
          <w:szCs w:val="24"/>
        </w:rPr>
        <w:t xml:space="preserve"> </w:t>
      </w:r>
      <w:r w:rsidR="00BE11D6">
        <w:rPr>
          <w:rFonts w:ascii="Times New Roman" w:hAnsi="Times New Roman" w:cs="Times New Roman"/>
          <w:sz w:val="24"/>
          <w:szCs w:val="24"/>
        </w:rPr>
        <w:t xml:space="preserve">20 July 2018 and </w:t>
      </w:r>
      <w:r w:rsidR="00752961">
        <w:rPr>
          <w:rFonts w:ascii="Times New Roman" w:hAnsi="Times New Roman" w:cs="Times New Roman"/>
          <w:sz w:val="24"/>
          <w:szCs w:val="24"/>
        </w:rPr>
        <w:t xml:space="preserve">12 </w:t>
      </w:r>
      <w:r w:rsidR="009A310D">
        <w:rPr>
          <w:rFonts w:ascii="Times New Roman" w:hAnsi="Times New Roman" w:cs="Times New Roman"/>
          <w:sz w:val="24"/>
          <w:szCs w:val="24"/>
        </w:rPr>
        <w:t xml:space="preserve">September </w:t>
      </w:r>
      <w:r w:rsidR="00BE11D6">
        <w:rPr>
          <w:rFonts w:ascii="Times New Roman" w:hAnsi="Times New Roman" w:cs="Times New Roman"/>
          <w:sz w:val="24"/>
          <w:szCs w:val="24"/>
        </w:rPr>
        <w:t>2018</w:t>
      </w:r>
    </w:p>
    <w:p w:rsidR="00252CCA" w:rsidRDefault="00252CCA" w:rsidP="00252CCA">
      <w:pPr>
        <w:spacing w:after="0" w:line="240" w:lineRule="auto"/>
        <w:jc w:val="both"/>
        <w:rPr>
          <w:rFonts w:ascii="Times New Roman" w:hAnsi="Times New Roman" w:cs="Times New Roman"/>
          <w:sz w:val="24"/>
          <w:szCs w:val="24"/>
        </w:rPr>
      </w:pPr>
    </w:p>
    <w:p w:rsidR="00252CCA" w:rsidRDefault="003857A6"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432CA" w:rsidRDefault="000432CA" w:rsidP="00252CCA">
      <w:pPr>
        <w:spacing w:after="0" w:line="240" w:lineRule="auto"/>
        <w:jc w:val="both"/>
        <w:rPr>
          <w:rFonts w:ascii="Times New Roman" w:hAnsi="Times New Roman" w:cs="Times New Roman"/>
          <w:sz w:val="24"/>
          <w:szCs w:val="24"/>
        </w:rPr>
      </w:pPr>
    </w:p>
    <w:p w:rsidR="00B11E44" w:rsidRPr="00794E8E" w:rsidRDefault="00BE11D6" w:rsidP="00252C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6B7A88" w:rsidRDefault="006B7A88" w:rsidP="00252CCA">
      <w:pPr>
        <w:spacing w:after="0" w:line="240" w:lineRule="auto"/>
        <w:jc w:val="both"/>
        <w:rPr>
          <w:rFonts w:ascii="Times New Roman" w:hAnsi="Times New Roman" w:cs="Times New Roman"/>
          <w:b/>
          <w:sz w:val="24"/>
          <w:szCs w:val="24"/>
        </w:rPr>
      </w:pPr>
    </w:p>
    <w:p w:rsidR="00BE11D6" w:rsidRDefault="00BE11D6" w:rsidP="009C5BBA">
      <w:pPr>
        <w:spacing w:after="0" w:line="240" w:lineRule="auto"/>
        <w:jc w:val="both"/>
        <w:rPr>
          <w:rFonts w:ascii="Times New Roman" w:hAnsi="Times New Roman" w:cs="Times New Roman"/>
          <w:i/>
          <w:sz w:val="24"/>
          <w:szCs w:val="24"/>
        </w:rPr>
      </w:pPr>
    </w:p>
    <w:p w:rsidR="006B7A88" w:rsidRDefault="00BE11D6" w:rsidP="009C5BBA">
      <w:pPr>
        <w:spacing w:after="0" w:line="240" w:lineRule="auto"/>
        <w:jc w:val="both"/>
        <w:rPr>
          <w:rFonts w:ascii="Times New Roman" w:hAnsi="Times New Roman" w:cs="Times New Roman"/>
          <w:sz w:val="24"/>
          <w:szCs w:val="24"/>
        </w:rPr>
      </w:pPr>
      <w:r w:rsidRPr="00BE11D6">
        <w:rPr>
          <w:rFonts w:ascii="Times New Roman" w:hAnsi="Times New Roman" w:cs="Times New Roman"/>
          <w:i/>
          <w:sz w:val="24"/>
          <w:szCs w:val="24"/>
        </w:rPr>
        <w:t>S. Hashiti instructed by K Musimwa</w:t>
      </w:r>
      <w:r>
        <w:rPr>
          <w:rFonts w:ascii="Times New Roman" w:hAnsi="Times New Roman" w:cs="Times New Roman"/>
          <w:sz w:val="24"/>
          <w:szCs w:val="24"/>
        </w:rPr>
        <w:t>, for the applicant</w:t>
      </w:r>
    </w:p>
    <w:p w:rsidR="009C5BBA" w:rsidRDefault="00BE11D6" w:rsidP="009C5B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Mutevedzi with R Gwatsvaira</w:t>
      </w:r>
      <w:r w:rsidR="00037F62">
        <w:rPr>
          <w:rFonts w:ascii="Times New Roman" w:hAnsi="Times New Roman" w:cs="Times New Roman"/>
          <w:sz w:val="24"/>
          <w:szCs w:val="24"/>
        </w:rPr>
        <w:t>,</w:t>
      </w:r>
      <w:r w:rsidR="009C5BBA">
        <w:rPr>
          <w:rFonts w:ascii="Times New Roman" w:hAnsi="Times New Roman" w:cs="Times New Roman"/>
          <w:sz w:val="24"/>
          <w:szCs w:val="24"/>
        </w:rPr>
        <w:t xml:space="preserve"> for the respondent</w:t>
      </w:r>
      <w:r>
        <w:rPr>
          <w:rFonts w:ascii="Times New Roman" w:hAnsi="Times New Roman" w:cs="Times New Roman"/>
          <w:sz w:val="24"/>
          <w:szCs w:val="24"/>
        </w:rPr>
        <w:t>s</w:t>
      </w:r>
    </w:p>
    <w:p w:rsidR="006B7A88" w:rsidRPr="006B7A88" w:rsidRDefault="006B7A88"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E01650" w:rsidRDefault="00252CCA" w:rsidP="00BE11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CHITAPI J:</w:t>
      </w:r>
      <w:r w:rsidR="00B64D90" w:rsidRPr="004B7D31">
        <w:rPr>
          <w:rFonts w:ascii="Times New Roman" w:hAnsi="Times New Roman" w:cs="Times New Roman"/>
          <w:sz w:val="24"/>
          <w:szCs w:val="24"/>
        </w:rPr>
        <w:t xml:space="preserve"> </w:t>
      </w:r>
      <w:r w:rsidR="00BE11D6">
        <w:rPr>
          <w:rFonts w:ascii="Times New Roman" w:hAnsi="Times New Roman" w:cs="Times New Roman"/>
          <w:sz w:val="24"/>
          <w:szCs w:val="24"/>
        </w:rPr>
        <w:t xml:space="preserve">In </w:t>
      </w:r>
      <w:r w:rsidR="009A310D">
        <w:rPr>
          <w:rFonts w:ascii="Times New Roman" w:hAnsi="Times New Roman" w:cs="Times New Roman"/>
          <w:sz w:val="24"/>
          <w:szCs w:val="24"/>
        </w:rPr>
        <w:t>t</w:t>
      </w:r>
      <w:r w:rsidR="00BE11D6">
        <w:rPr>
          <w:rFonts w:ascii="Times New Roman" w:hAnsi="Times New Roman" w:cs="Times New Roman"/>
          <w:sz w:val="24"/>
          <w:szCs w:val="24"/>
        </w:rPr>
        <w:t>his urgent application for a provisional order the applicant prays for relief as set out as follows</w:t>
      </w:r>
      <w:r w:rsidR="00615352">
        <w:rPr>
          <w:rFonts w:ascii="Times New Roman" w:hAnsi="Times New Roman" w:cs="Times New Roman"/>
          <w:sz w:val="24"/>
          <w:szCs w:val="24"/>
        </w:rPr>
        <w:t>;</w:t>
      </w:r>
    </w:p>
    <w:p w:rsidR="00615352" w:rsidRDefault="00A732C1" w:rsidP="00BE11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 ORDER SOUGHT</w:t>
      </w:r>
    </w:p>
    <w:p w:rsidR="00615352" w:rsidRDefault="00615352" w:rsidP="00615352">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stay of execution is hereby granted</w:t>
      </w:r>
    </w:p>
    <w:p w:rsidR="00615352" w:rsidRDefault="00615352" w:rsidP="00615352">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Respondents shall pay costs of suit on an attorney-client scale.</w:t>
      </w:r>
    </w:p>
    <w:p w:rsidR="00615352" w:rsidRDefault="00A732C1" w:rsidP="00615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INTERIM RELIEF GRANTED</w:t>
      </w:r>
    </w:p>
    <w:p w:rsidR="00615352" w:rsidRDefault="00615352" w:rsidP="00615352">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are interdicted to conduct the attachment of the applicant’s property until finalization of the applicant’s appeal under case no. SC 550/18.</w:t>
      </w:r>
    </w:p>
    <w:p w:rsidR="00615352" w:rsidRDefault="00615352" w:rsidP="00A732C1">
      <w:pPr>
        <w:spacing w:after="0" w:line="240" w:lineRule="auto"/>
        <w:jc w:val="both"/>
        <w:rPr>
          <w:rFonts w:ascii="Times New Roman" w:hAnsi="Times New Roman" w:cs="Times New Roman"/>
          <w:sz w:val="24"/>
          <w:szCs w:val="24"/>
        </w:rPr>
      </w:pPr>
    </w:p>
    <w:p w:rsidR="00615352" w:rsidRPr="00A732C1" w:rsidRDefault="00615352" w:rsidP="00615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reserved judgment in this matter after argument. It is seldom that a judge finds himself having to contend with listening to academic presentations on law made for no other purpose than perhaps to simply</w:t>
      </w:r>
      <w:r w:rsidR="009A310D">
        <w:rPr>
          <w:rFonts w:ascii="Times New Roman" w:hAnsi="Times New Roman" w:cs="Times New Roman"/>
          <w:sz w:val="24"/>
          <w:szCs w:val="24"/>
        </w:rPr>
        <w:t xml:space="preserve"> satisfy </w:t>
      </w:r>
      <w:r>
        <w:rPr>
          <w:rFonts w:ascii="Times New Roman" w:hAnsi="Times New Roman" w:cs="Times New Roman"/>
          <w:sz w:val="24"/>
          <w:szCs w:val="24"/>
        </w:rPr>
        <w:t xml:space="preserve">the ego of the presenter. A judge unfortunately does not engage in debate with the parties or their legal practitioners. </w:t>
      </w:r>
      <w:r w:rsidR="00417E82">
        <w:rPr>
          <w:rFonts w:ascii="Times New Roman" w:hAnsi="Times New Roman" w:cs="Times New Roman"/>
          <w:sz w:val="24"/>
          <w:szCs w:val="24"/>
        </w:rPr>
        <w:t xml:space="preserve">The judge can only </w:t>
      </w:r>
      <w:r w:rsidR="009A310D">
        <w:rPr>
          <w:rFonts w:ascii="Times New Roman" w:hAnsi="Times New Roman" w:cs="Times New Roman"/>
          <w:sz w:val="24"/>
          <w:szCs w:val="24"/>
        </w:rPr>
        <w:t xml:space="preserve">listen to submissions made, </w:t>
      </w:r>
      <w:r w:rsidR="00417E82">
        <w:rPr>
          <w:rFonts w:ascii="Times New Roman" w:hAnsi="Times New Roman" w:cs="Times New Roman"/>
          <w:sz w:val="24"/>
          <w:szCs w:val="24"/>
        </w:rPr>
        <w:t xml:space="preserve">seek clarifications and if merited require any of the parties or any other person to give further information which may assist in the determination of </w:t>
      </w:r>
      <w:r w:rsidR="009A310D">
        <w:rPr>
          <w:rFonts w:ascii="Times New Roman" w:hAnsi="Times New Roman" w:cs="Times New Roman"/>
          <w:sz w:val="24"/>
          <w:szCs w:val="24"/>
        </w:rPr>
        <w:t>the</w:t>
      </w:r>
      <w:r w:rsidR="00417E82">
        <w:rPr>
          <w:rFonts w:ascii="Times New Roman" w:hAnsi="Times New Roman" w:cs="Times New Roman"/>
          <w:sz w:val="24"/>
          <w:szCs w:val="24"/>
        </w:rPr>
        <w:t xml:space="preserve"> urgent application as provided for under rule 246 (1) of the High Court Civil Rules, 1971. This application on the papers appeared to be a very simple one</w:t>
      </w:r>
      <w:r w:rsidR="000157E6">
        <w:rPr>
          <w:rFonts w:ascii="Times New Roman" w:hAnsi="Times New Roman" w:cs="Times New Roman"/>
          <w:sz w:val="24"/>
          <w:szCs w:val="24"/>
        </w:rPr>
        <w:t>.</w:t>
      </w:r>
      <w:r w:rsidR="00417E82">
        <w:rPr>
          <w:rFonts w:ascii="Times New Roman" w:hAnsi="Times New Roman" w:cs="Times New Roman"/>
          <w:sz w:val="24"/>
          <w:szCs w:val="24"/>
        </w:rPr>
        <w:t xml:space="preserve"> l had </w:t>
      </w:r>
      <w:r w:rsidR="000157E6">
        <w:rPr>
          <w:rFonts w:ascii="Times New Roman" w:hAnsi="Times New Roman" w:cs="Times New Roman"/>
          <w:sz w:val="24"/>
          <w:szCs w:val="24"/>
        </w:rPr>
        <w:t xml:space="preserve">thus </w:t>
      </w:r>
      <w:r w:rsidR="00417E82">
        <w:rPr>
          <w:rFonts w:ascii="Times New Roman" w:hAnsi="Times New Roman" w:cs="Times New Roman"/>
          <w:sz w:val="24"/>
          <w:szCs w:val="24"/>
        </w:rPr>
        <w:t xml:space="preserve">scheduled to deal with on </w:t>
      </w:r>
      <w:r w:rsidR="00A31568">
        <w:rPr>
          <w:rFonts w:ascii="Times New Roman" w:hAnsi="Times New Roman" w:cs="Times New Roman"/>
          <w:sz w:val="24"/>
          <w:szCs w:val="24"/>
        </w:rPr>
        <w:t>the turn after hearing the parties</w:t>
      </w:r>
      <w:r w:rsidR="000157E6">
        <w:rPr>
          <w:rFonts w:ascii="Times New Roman" w:hAnsi="Times New Roman" w:cs="Times New Roman"/>
          <w:sz w:val="24"/>
          <w:szCs w:val="24"/>
        </w:rPr>
        <w:t>. It</w:t>
      </w:r>
      <w:r w:rsidR="00A31568">
        <w:rPr>
          <w:rFonts w:ascii="Times New Roman" w:hAnsi="Times New Roman" w:cs="Times New Roman"/>
          <w:sz w:val="24"/>
          <w:szCs w:val="24"/>
        </w:rPr>
        <w:t xml:space="preserve"> ended up being unexpectedly very prolonged on account of the rather unmerited opposition which was mounted by the respondents through their counsel Mr </w:t>
      </w:r>
      <w:r w:rsidR="00A31568" w:rsidRPr="00A732C1">
        <w:rPr>
          <w:rFonts w:ascii="Times New Roman" w:hAnsi="Times New Roman" w:cs="Times New Roman"/>
          <w:i/>
          <w:sz w:val="24"/>
          <w:szCs w:val="24"/>
        </w:rPr>
        <w:t>Mutevedzi</w:t>
      </w:r>
      <w:r w:rsidR="00A31568" w:rsidRPr="00A732C1">
        <w:rPr>
          <w:rFonts w:ascii="Times New Roman" w:hAnsi="Times New Roman" w:cs="Times New Roman"/>
          <w:sz w:val="24"/>
          <w:szCs w:val="24"/>
        </w:rPr>
        <w:t>.</w:t>
      </w:r>
    </w:p>
    <w:p w:rsidR="00A31568" w:rsidRDefault="00A31568" w:rsidP="00615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this application is as follows:</w:t>
      </w:r>
    </w:p>
    <w:p w:rsidR="00A31568" w:rsidRDefault="00A31568" w:rsidP="00A31568">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which is a Namibian registered company operates an airline which makes scheduled flights into and from Zimbabwe.</w:t>
      </w:r>
    </w:p>
    <w:p w:rsidR="00A31568" w:rsidRDefault="00A31568" w:rsidP="00A31568">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are Zimbabwean nationals who made a chamber application in terms of s 15 of the High Court Act, [</w:t>
      </w:r>
      <w:r w:rsidRPr="00A732C1">
        <w:rPr>
          <w:rFonts w:ascii="Times New Roman" w:hAnsi="Times New Roman" w:cs="Times New Roman"/>
          <w:i/>
          <w:sz w:val="24"/>
          <w:szCs w:val="24"/>
        </w:rPr>
        <w:t>Chapter 7:06</w:t>
      </w:r>
      <w:r>
        <w:rPr>
          <w:rFonts w:ascii="Times New Roman" w:hAnsi="Times New Roman" w:cs="Times New Roman"/>
          <w:sz w:val="24"/>
          <w:szCs w:val="24"/>
        </w:rPr>
        <w:t xml:space="preserve">] under case no. HC 2355/18. The said application was made against the applicant herein as respondent. </w:t>
      </w:r>
      <w:r w:rsidR="00A732C1">
        <w:rPr>
          <w:rFonts w:ascii="Times New Roman" w:hAnsi="Times New Roman" w:cs="Times New Roman"/>
          <w:sz w:val="24"/>
          <w:szCs w:val="24"/>
        </w:rPr>
        <w:t>Its</w:t>
      </w:r>
      <w:r>
        <w:rPr>
          <w:rFonts w:ascii="Times New Roman" w:hAnsi="Times New Roman" w:cs="Times New Roman"/>
          <w:sz w:val="24"/>
          <w:szCs w:val="24"/>
        </w:rPr>
        <w:t xml:space="preserve"> purport was to seek an order for attachment of the applicant’s property to found and confirm jurisdiction in a case for d</w:t>
      </w:r>
      <w:r w:rsidR="008963B7">
        <w:rPr>
          <w:rFonts w:ascii="Times New Roman" w:hAnsi="Times New Roman" w:cs="Times New Roman"/>
          <w:sz w:val="24"/>
          <w:szCs w:val="24"/>
        </w:rPr>
        <w:t>i</w:t>
      </w:r>
      <w:r>
        <w:rPr>
          <w:rFonts w:ascii="Times New Roman" w:hAnsi="Times New Roman" w:cs="Times New Roman"/>
          <w:sz w:val="24"/>
          <w:szCs w:val="24"/>
        </w:rPr>
        <w:t>lectual damages in the sum of US$1 million dollars which the respondents intended to institute against the applicant.</w:t>
      </w:r>
    </w:p>
    <w:p w:rsidR="00A31568" w:rsidRDefault="00A31568" w:rsidP="00A31568">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27 June, 2018 I granted the said application in case no. HC 2355/18. I granted the order made </w:t>
      </w:r>
      <w:r w:rsidRPr="00A732C1">
        <w:rPr>
          <w:rFonts w:ascii="Times New Roman" w:hAnsi="Times New Roman" w:cs="Times New Roman"/>
          <w:i/>
          <w:sz w:val="24"/>
          <w:szCs w:val="24"/>
        </w:rPr>
        <w:t>ex parte</w:t>
      </w:r>
      <w:r>
        <w:rPr>
          <w:rFonts w:ascii="Times New Roman" w:hAnsi="Times New Roman" w:cs="Times New Roman"/>
          <w:sz w:val="24"/>
          <w:szCs w:val="24"/>
        </w:rPr>
        <w:t xml:space="preserve"> following submissions by the respondents that the matter be dealt with as such in terms of Order 32 Rule 242 (1) (b) – (2) of the High Court Rules, 1971. I was satisfied that the giving of notice to the applicant would have </w:t>
      </w:r>
      <w:r w:rsidR="009A310D">
        <w:rPr>
          <w:rFonts w:ascii="Times New Roman" w:hAnsi="Times New Roman" w:cs="Times New Roman"/>
          <w:sz w:val="24"/>
          <w:szCs w:val="24"/>
        </w:rPr>
        <w:t xml:space="preserve">had </w:t>
      </w:r>
      <w:r>
        <w:rPr>
          <w:rFonts w:ascii="Times New Roman" w:hAnsi="Times New Roman" w:cs="Times New Roman"/>
          <w:sz w:val="24"/>
          <w:szCs w:val="24"/>
        </w:rPr>
        <w:t>the effect of forewarning the applicant of the proposed attachment with the result that the applicant could defeat the attachment if forewarned.</w:t>
      </w:r>
    </w:p>
    <w:p w:rsidR="0014527A" w:rsidRDefault="0014527A" w:rsidP="00A31568">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reasons which will become apparent later in this judgment, I will set out the content of the order which l granted. It reads as follows:</w:t>
      </w:r>
    </w:p>
    <w:p w:rsidR="009A310D" w:rsidRDefault="009A310D" w:rsidP="0014527A">
      <w:pPr>
        <w:pStyle w:val="ListParagraph"/>
        <w:spacing w:after="0" w:line="360" w:lineRule="auto"/>
        <w:jc w:val="both"/>
        <w:rPr>
          <w:rFonts w:ascii="Times New Roman" w:hAnsi="Times New Roman" w:cs="Times New Roman"/>
          <w:sz w:val="24"/>
          <w:szCs w:val="24"/>
        </w:rPr>
      </w:pPr>
    </w:p>
    <w:p w:rsidR="0014527A" w:rsidRDefault="0014527A" w:rsidP="0014527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ORDERED THAT: </w:t>
      </w:r>
    </w:p>
    <w:p w:rsidR="0014527A" w:rsidRPr="009A310D" w:rsidRDefault="0014527A" w:rsidP="009A310D">
      <w:pPr>
        <w:pStyle w:val="ListParagraph"/>
        <w:numPr>
          <w:ilvl w:val="0"/>
          <w:numId w:val="31"/>
        </w:numPr>
        <w:spacing w:after="0" w:line="240" w:lineRule="auto"/>
        <w:jc w:val="both"/>
        <w:rPr>
          <w:rFonts w:ascii="Times New Roman" w:hAnsi="Times New Roman" w:cs="Times New Roman"/>
        </w:rPr>
      </w:pPr>
      <w:r w:rsidRPr="009A310D">
        <w:rPr>
          <w:rFonts w:ascii="Times New Roman" w:hAnsi="Times New Roman" w:cs="Times New Roman"/>
        </w:rPr>
        <w:t>The Sheriff of the High Court or his lawful deputy be and is hereby authorised and directed to attach any of the respondents’ movable property at its official address at shop number 202, Joina City, Harare and to impound any of the respondents airplanes situate in Zimbabwe in order to confirm and / or found the jurisdiction of the High Court of Zimbabwe, and this order shall be his warrant to do so.</w:t>
      </w:r>
    </w:p>
    <w:p w:rsidR="0014527A" w:rsidRPr="009A310D" w:rsidRDefault="0014527A" w:rsidP="009A310D">
      <w:pPr>
        <w:pStyle w:val="ListParagraph"/>
        <w:numPr>
          <w:ilvl w:val="0"/>
          <w:numId w:val="31"/>
        </w:numPr>
        <w:spacing w:after="0" w:line="240" w:lineRule="auto"/>
        <w:jc w:val="both"/>
        <w:rPr>
          <w:rFonts w:ascii="Times New Roman" w:hAnsi="Times New Roman" w:cs="Times New Roman"/>
        </w:rPr>
      </w:pPr>
      <w:r w:rsidRPr="009A310D">
        <w:rPr>
          <w:rFonts w:ascii="Times New Roman" w:hAnsi="Times New Roman" w:cs="Times New Roman"/>
        </w:rPr>
        <w:t>The Sheriff of the High Court or his lawful Deputy be and is hereby ordered to keep the property attached pursuant to this order so attached until the action which the applicants intend to institute is finalized.</w:t>
      </w:r>
    </w:p>
    <w:p w:rsidR="0014527A" w:rsidRPr="009A310D" w:rsidRDefault="0014527A" w:rsidP="009A310D">
      <w:pPr>
        <w:pStyle w:val="ListParagraph"/>
        <w:numPr>
          <w:ilvl w:val="0"/>
          <w:numId w:val="31"/>
        </w:numPr>
        <w:spacing w:after="0" w:line="240" w:lineRule="auto"/>
        <w:jc w:val="both"/>
        <w:rPr>
          <w:rFonts w:ascii="Times New Roman" w:hAnsi="Times New Roman" w:cs="Times New Roman"/>
        </w:rPr>
      </w:pPr>
      <w:r w:rsidRPr="009A310D">
        <w:rPr>
          <w:rFonts w:ascii="Times New Roman" w:hAnsi="Times New Roman" w:cs="Times New Roman"/>
        </w:rPr>
        <w:t>Respondent shall be liable for the Sheriff of High Court or his lawful Deputy’s costs of storage of the property attached by the Sheriff’s office pursuant to this order as well as any other costs arising from the said attachment.</w:t>
      </w:r>
    </w:p>
    <w:p w:rsidR="0014527A" w:rsidRDefault="0014527A" w:rsidP="009A310D">
      <w:pPr>
        <w:pStyle w:val="ListParagraph"/>
        <w:numPr>
          <w:ilvl w:val="0"/>
          <w:numId w:val="31"/>
        </w:numPr>
        <w:spacing w:after="0" w:line="240" w:lineRule="auto"/>
        <w:jc w:val="both"/>
        <w:rPr>
          <w:rFonts w:ascii="Times New Roman" w:hAnsi="Times New Roman" w:cs="Times New Roman"/>
        </w:rPr>
      </w:pPr>
      <w:r w:rsidRPr="009A310D">
        <w:rPr>
          <w:rFonts w:ascii="Times New Roman" w:hAnsi="Times New Roman" w:cs="Times New Roman"/>
        </w:rPr>
        <w:t>Respondent to pay costs.</w:t>
      </w:r>
    </w:p>
    <w:p w:rsidR="009A310D" w:rsidRPr="009A310D" w:rsidRDefault="009A310D" w:rsidP="009A310D">
      <w:pPr>
        <w:pStyle w:val="ListParagraph"/>
        <w:spacing w:after="0" w:line="240" w:lineRule="auto"/>
        <w:jc w:val="both"/>
        <w:rPr>
          <w:rFonts w:ascii="Times New Roman" w:hAnsi="Times New Roman" w:cs="Times New Roman"/>
        </w:rPr>
      </w:pPr>
    </w:p>
    <w:p w:rsidR="0014527A" w:rsidRDefault="0014527A" w:rsidP="0014527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goes without saying that because the application was made </w:t>
      </w:r>
      <w:r w:rsidRPr="009A310D">
        <w:rPr>
          <w:rFonts w:ascii="Times New Roman" w:hAnsi="Times New Roman" w:cs="Times New Roman"/>
          <w:i/>
          <w:sz w:val="24"/>
          <w:szCs w:val="24"/>
        </w:rPr>
        <w:t>ex-parte</w:t>
      </w:r>
      <w:r>
        <w:rPr>
          <w:rFonts w:ascii="Times New Roman" w:hAnsi="Times New Roman" w:cs="Times New Roman"/>
          <w:sz w:val="24"/>
          <w:szCs w:val="24"/>
        </w:rPr>
        <w:t xml:space="preserve"> and the relief similarly given </w:t>
      </w:r>
      <w:r w:rsidRPr="009A310D">
        <w:rPr>
          <w:rFonts w:ascii="Times New Roman" w:hAnsi="Times New Roman" w:cs="Times New Roman"/>
          <w:i/>
          <w:sz w:val="24"/>
          <w:szCs w:val="24"/>
        </w:rPr>
        <w:t>ex-parte</w:t>
      </w:r>
      <w:r>
        <w:rPr>
          <w:rFonts w:ascii="Times New Roman" w:hAnsi="Times New Roman" w:cs="Times New Roman"/>
          <w:sz w:val="24"/>
          <w:szCs w:val="24"/>
        </w:rPr>
        <w:t>, the applicant herein was not aware of the making of the order.</w:t>
      </w:r>
    </w:p>
    <w:p w:rsidR="0014527A" w:rsidRDefault="0014527A" w:rsidP="0014527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reasons not apparent in regard to how the applicant became aware of the application made under case no. HC 2355/18, since it had not been served on the applicant</w:t>
      </w:r>
      <w:r w:rsidR="009A310D">
        <w:rPr>
          <w:rFonts w:ascii="Times New Roman" w:hAnsi="Times New Roman" w:cs="Times New Roman"/>
          <w:sz w:val="24"/>
          <w:szCs w:val="24"/>
        </w:rPr>
        <w:t>,</w:t>
      </w:r>
      <w:r>
        <w:rPr>
          <w:rFonts w:ascii="Times New Roman" w:hAnsi="Times New Roman" w:cs="Times New Roman"/>
          <w:sz w:val="24"/>
          <w:szCs w:val="24"/>
        </w:rPr>
        <w:t xml:space="preserve"> the applicant’s legal practitioners filed a chamber application under case no. HC 5808/18 on 22 June, 2018. In the said application, the applicant sought the dismissal of application no. HC 2355/18 for want of prosecution purportedly in terms of Order 32 Rule 236 (3). The applicant alleged that it filed a notice of opposition in case no. HC 2355/18 on 21 March, 2018 following service of the said application which had been filed on 14 March, 2018.</w:t>
      </w:r>
    </w:p>
    <w:p w:rsidR="0014527A" w:rsidRDefault="0014527A" w:rsidP="00145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indicated that it is not apparent as to how the applicant became aware of the </w:t>
      </w:r>
      <w:r w:rsidR="00906B74">
        <w:rPr>
          <w:rFonts w:ascii="Times New Roman" w:hAnsi="Times New Roman" w:cs="Times New Roman"/>
          <w:sz w:val="24"/>
          <w:szCs w:val="24"/>
        </w:rPr>
        <w:tab/>
      </w:r>
      <w:r>
        <w:rPr>
          <w:rFonts w:ascii="Times New Roman" w:hAnsi="Times New Roman" w:cs="Times New Roman"/>
          <w:sz w:val="24"/>
          <w:szCs w:val="24"/>
        </w:rPr>
        <w:t>application no. HC 2355/18</w:t>
      </w:r>
      <w:r w:rsidR="00D32EEB">
        <w:rPr>
          <w:rFonts w:ascii="Times New Roman" w:hAnsi="Times New Roman" w:cs="Times New Roman"/>
          <w:sz w:val="24"/>
          <w:szCs w:val="24"/>
        </w:rPr>
        <w:t xml:space="preserve"> because, the respondent in making their application aforesaid </w:t>
      </w:r>
      <w:r w:rsidR="00906B74">
        <w:rPr>
          <w:rFonts w:ascii="Times New Roman" w:hAnsi="Times New Roman" w:cs="Times New Roman"/>
          <w:sz w:val="24"/>
          <w:szCs w:val="24"/>
        </w:rPr>
        <w:tab/>
      </w:r>
      <w:r w:rsidR="00D32EEB">
        <w:rPr>
          <w:rFonts w:ascii="Times New Roman" w:hAnsi="Times New Roman" w:cs="Times New Roman"/>
          <w:sz w:val="24"/>
          <w:szCs w:val="24"/>
        </w:rPr>
        <w:t xml:space="preserve">indicated that they had not served it. I also granted it on the understanding that it had not </w:t>
      </w:r>
      <w:r w:rsidR="00906B74">
        <w:rPr>
          <w:rFonts w:ascii="Times New Roman" w:hAnsi="Times New Roman" w:cs="Times New Roman"/>
          <w:sz w:val="24"/>
          <w:szCs w:val="24"/>
        </w:rPr>
        <w:tab/>
      </w:r>
      <w:r w:rsidR="00D32EEB">
        <w:rPr>
          <w:rFonts w:ascii="Times New Roman" w:hAnsi="Times New Roman" w:cs="Times New Roman"/>
          <w:sz w:val="24"/>
          <w:szCs w:val="24"/>
        </w:rPr>
        <w:t xml:space="preserve">for reasons which l agreed with been served. Further, the </w:t>
      </w:r>
      <w:r w:rsidR="00970F24">
        <w:rPr>
          <w:rFonts w:ascii="Times New Roman" w:hAnsi="Times New Roman" w:cs="Times New Roman"/>
          <w:sz w:val="24"/>
          <w:szCs w:val="24"/>
        </w:rPr>
        <w:t xml:space="preserve">notice of opposition purportedly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filed by the applicant was not brought to my attention and is not filed in case no. HC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2355/18. There is no proof of service of the notice of opposition filed </w:t>
      </w:r>
      <w:r w:rsidR="009A310D">
        <w:rPr>
          <w:rFonts w:ascii="Times New Roman" w:hAnsi="Times New Roman" w:cs="Times New Roman"/>
          <w:sz w:val="24"/>
          <w:szCs w:val="24"/>
        </w:rPr>
        <w:t>i</w:t>
      </w:r>
      <w:r w:rsidR="00970F24">
        <w:rPr>
          <w:rFonts w:ascii="Times New Roman" w:hAnsi="Times New Roman" w:cs="Times New Roman"/>
          <w:sz w:val="24"/>
          <w:szCs w:val="24"/>
        </w:rPr>
        <w:t xml:space="preserve">n case no. HC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2355/18. I am also not persuaded that the application case no. HC 5808/18 was a proper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or competent application for the simple reason that because application HC 2355/18 was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a chamber application, its disposal was not party driven but judge driven. Chamber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applications are referred to a judge by the Registrar for disposal and do not require that a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party should set down a chamber application for hearing. It is up to the judge to dispose </w:t>
      </w:r>
      <w:r w:rsidR="00906B74">
        <w:rPr>
          <w:rFonts w:ascii="Times New Roman" w:hAnsi="Times New Roman" w:cs="Times New Roman"/>
          <w:sz w:val="24"/>
          <w:szCs w:val="24"/>
        </w:rPr>
        <w:lastRenderedPageBreak/>
        <w:tab/>
      </w:r>
      <w:r w:rsidR="00970F24">
        <w:rPr>
          <w:rFonts w:ascii="Times New Roman" w:hAnsi="Times New Roman" w:cs="Times New Roman"/>
          <w:sz w:val="24"/>
          <w:szCs w:val="24"/>
        </w:rPr>
        <w:t xml:space="preserve">of the application in terms of either rule 245 which deals with non-urgent applications or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rule 246 which deals with urgent applications. Rule 236 (3) which allows for a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respondent to apply for the dismissal of an application where the applicant has not set it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down for hearing within one month after the filing of a notice of opposition does not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apply to chamber applications. Be that as it may, application HC 5808/18 became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academic and was overtaken by events because the main application HC 2355/18 was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determined before the said application was referred to the judge for determination. For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purposes of good order, the applicant having noted that its application had been overtaken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by </w:t>
      </w:r>
      <w:r w:rsidR="00906B74">
        <w:rPr>
          <w:rFonts w:ascii="Times New Roman" w:hAnsi="Times New Roman" w:cs="Times New Roman"/>
          <w:sz w:val="24"/>
          <w:szCs w:val="24"/>
        </w:rPr>
        <w:t>events</w:t>
      </w:r>
      <w:r w:rsidR="00970F24">
        <w:rPr>
          <w:rFonts w:ascii="Times New Roman" w:hAnsi="Times New Roman" w:cs="Times New Roman"/>
          <w:sz w:val="24"/>
          <w:szCs w:val="24"/>
        </w:rPr>
        <w:t xml:space="preserve"> should have filed a notice of withdrawal of the same. For the record, having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perused the said application HC 5808/18, I noticed that the certificate of service was filed </w:t>
      </w:r>
      <w:r w:rsidR="00906B74">
        <w:rPr>
          <w:rFonts w:ascii="Times New Roman" w:hAnsi="Times New Roman" w:cs="Times New Roman"/>
          <w:sz w:val="24"/>
          <w:szCs w:val="24"/>
        </w:rPr>
        <w:tab/>
      </w:r>
      <w:r w:rsidR="00970F24">
        <w:rPr>
          <w:rFonts w:ascii="Times New Roman" w:hAnsi="Times New Roman" w:cs="Times New Roman"/>
          <w:sz w:val="24"/>
          <w:szCs w:val="24"/>
        </w:rPr>
        <w:t xml:space="preserve">on 29 June, 2018. The filing of the certificate of urgency would have been </w:t>
      </w:r>
      <w:r w:rsidR="009A310D">
        <w:rPr>
          <w:rFonts w:ascii="Times New Roman" w:hAnsi="Times New Roman" w:cs="Times New Roman"/>
          <w:sz w:val="24"/>
          <w:szCs w:val="24"/>
        </w:rPr>
        <w:t>required</w:t>
      </w:r>
      <w:r w:rsidR="00970F24">
        <w:rPr>
          <w:rFonts w:ascii="Times New Roman" w:hAnsi="Times New Roman" w:cs="Times New Roman"/>
          <w:sz w:val="24"/>
          <w:szCs w:val="24"/>
        </w:rPr>
        <w:t xml:space="preserve"> to </w:t>
      </w:r>
      <w:r w:rsidR="00906B74">
        <w:rPr>
          <w:rFonts w:ascii="Times New Roman" w:hAnsi="Times New Roman" w:cs="Times New Roman"/>
          <w:sz w:val="24"/>
          <w:szCs w:val="24"/>
        </w:rPr>
        <w:tab/>
      </w:r>
      <w:r w:rsidR="00970F24">
        <w:rPr>
          <w:rFonts w:ascii="Times New Roman" w:hAnsi="Times New Roman" w:cs="Times New Roman"/>
          <w:sz w:val="24"/>
          <w:szCs w:val="24"/>
        </w:rPr>
        <w:t>be filed before the application was referred to a judge. By 29 June, 2018</w:t>
      </w:r>
      <w:r w:rsidR="00906B74">
        <w:rPr>
          <w:rFonts w:ascii="Times New Roman" w:hAnsi="Times New Roman" w:cs="Times New Roman"/>
          <w:sz w:val="24"/>
          <w:szCs w:val="24"/>
        </w:rPr>
        <w:t xml:space="preserve">, case no HC </w:t>
      </w:r>
      <w:r w:rsidR="00906B74">
        <w:rPr>
          <w:rFonts w:ascii="Times New Roman" w:hAnsi="Times New Roman" w:cs="Times New Roman"/>
          <w:sz w:val="24"/>
          <w:szCs w:val="24"/>
        </w:rPr>
        <w:tab/>
        <w:t xml:space="preserve">2355/18 whose dismissal was sought had already been determined on 27 June, 2018. I </w:t>
      </w:r>
      <w:r w:rsidR="00906B74">
        <w:rPr>
          <w:rFonts w:ascii="Times New Roman" w:hAnsi="Times New Roman" w:cs="Times New Roman"/>
          <w:sz w:val="24"/>
          <w:szCs w:val="24"/>
        </w:rPr>
        <w:tab/>
        <w:t xml:space="preserve">will separately </w:t>
      </w:r>
      <w:r w:rsidR="009A310D">
        <w:rPr>
          <w:rFonts w:ascii="Times New Roman" w:hAnsi="Times New Roman" w:cs="Times New Roman"/>
          <w:sz w:val="24"/>
          <w:szCs w:val="24"/>
        </w:rPr>
        <w:t xml:space="preserve">endorse </w:t>
      </w:r>
      <w:r w:rsidR="00906B74">
        <w:rPr>
          <w:rFonts w:ascii="Times New Roman" w:hAnsi="Times New Roman" w:cs="Times New Roman"/>
          <w:sz w:val="24"/>
          <w:szCs w:val="24"/>
        </w:rPr>
        <w:t xml:space="preserve">that </w:t>
      </w:r>
      <w:r w:rsidR="009A310D">
        <w:rPr>
          <w:rFonts w:ascii="Times New Roman" w:hAnsi="Times New Roman" w:cs="Times New Roman"/>
          <w:sz w:val="24"/>
          <w:szCs w:val="24"/>
        </w:rPr>
        <w:t xml:space="preserve">the record HC 5808/18 </w:t>
      </w:r>
      <w:r w:rsidR="00906B74">
        <w:rPr>
          <w:rFonts w:ascii="Times New Roman" w:hAnsi="Times New Roman" w:cs="Times New Roman"/>
          <w:sz w:val="24"/>
          <w:szCs w:val="24"/>
        </w:rPr>
        <w:t xml:space="preserve">application is incompetent and </w:t>
      </w:r>
      <w:r w:rsidR="009A310D">
        <w:rPr>
          <w:rFonts w:ascii="Times New Roman" w:hAnsi="Times New Roman" w:cs="Times New Roman"/>
          <w:sz w:val="24"/>
          <w:szCs w:val="24"/>
        </w:rPr>
        <w:tab/>
        <w:t xml:space="preserve">was </w:t>
      </w:r>
      <w:r w:rsidR="00906B74">
        <w:rPr>
          <w:rFonts w:ascii="Times New Roman" w:hAnsi="Times New Roman" w:cs="Times New Roman"/>
          <w:sz w:val="24"/>
          <w:szCs w:val="24"/>
        </w:rPr>
        <w:t xml:space="preserve">overtaken by events so that the matter can be recorded as finalized by the court and </w:t>
      </w:r>
      <w:r w:rsidR="009A310D">
        <w:rPr>
          <w:rFonts w:ascii="Times New Roman" w:hAnsi="Times New Roman" w:cs="Times New Roman"/>
          <w:sz w:val="24"/>
          <w:szCs w:val="24"/>
        </w:rPr>
        <w:tab/>
      </w:r>
      <w:r w:rsidR="00906B74">
        <w:rPr>
          <w:rFonts w:ascii="Times New Roman" w:hAnsi="Times New Roman" w:cs="Times New Roman"/>
          <w:sz w:val="24"/>
          <w:szCs w:val="24"/>
        </w:rPr>
        <w:t>filed away.</w:t>
      </w:r>
    </w:p>
    <w:p w:rsidR="00A732C1" w:rsidRPr="00A732C1" w:rsidRDefault="00906B74" w:rsidP="00A732C1">
      <w:pPr>
        <w:pStyle w:val="ListParagraph"/>
        <w:numPr>
          <w:ilvl w:val="0"/>
          <w:numId w:val="30"/>
        </w:numPr>
        <w:spacing w:after="0" w:line="360" w:lineRule="auto"/>
        <w:jc w:val="both"/>
        <w:rPr>
          <w:rFonts w:ascii="Times New Roman" w:hAnsi="Times New Roman" w:cs="Times New Roman"/>
          <w:sz w:val="24"/>
          <w:szCs w:val="24"/>
        </w:rPr>
      </w:pPr>
      <w:r w:rsidRPr="00A732C1">
        <w:rPr>
          <w:rFonts w:ascii="Times New Roman" w:hAnsi="Times New Roman" w:cs="Times New Roman"/>
          <w:sz w:val="24"/>
          <w:szCs w:val="24"/>
        </w:rPr>
        <w:t xml:space="preserve">On 14 July, 2018, the applicant filed this urgent chamber application for a provisional order on the terms indicated at the beginning of this judgment. I set down the application for hearing </w:t>
      </w:r>
      <w:r w:rsidR="00A732C1" w:rsidRPr="00A732C1">
        <w:rPr>
          <w:rFonts w:ascii="Times New Roman" w:hAnsi="Times New Roman" w:cs="Times New Roman"/>
          <w:sz w:val="24"/>
          <w:szCs w:val="24"/>
        </w:rPr>
        <w:t xml:space="preserve">on 18 July, 2018. The chamber application is defective in that it does not comply with form 29B as read with r 241. It is not expected that a senior legal practitioner of Mr </w:t>
      </w:r>
      <w:r w:rsidR="00A732C1" w:rsidRPr="00A732C1">
        <w:rPr>
          <w:rFonts w:ascii="Times New Roman" w:hAnsi="Times New Roman" w:cs="Times New Roman"/>
          <w:i/>
          <w:sz w:val="24"/>
          <w:szCs w:val="24"/>
        </w:rPr>
        <w:t>Musimwa</w:t>
      </w:r>
      <w:r w:rsidR="00A732C1" w:rsidRPr="00A732C1">
        <w:rPr>
          <w:rFonts w:ascii="Times New Roman" w:hAnsi="Times New Roman" w:cs="Times New Roman"/>
          <w:sz w:val="24"/>
          <w:szCs w:val="24"/>
        </w:rPr>
        <w:t xml:space="preserve">’s experience still fails to comply with the rules despite a plethora of case law to this effect and the importance of complying with rules when bringing cases to court. One shudders to think what sort of grounding the junior practitioners who get employed or </w:t>
      </w:r>
      <w:r w:rsidR="009A310D">
        <w:rPr>
          <w:rFonts w:ascii="Times New Roman" w:hAnsi="Times New Roman" w:cs="Times New Roman"/>
          <w:sz w:val="24"/>
          <w:szCs w:val="24"/>
        </w:rPr>
        <w:t xml:space="preserve">are </w:t>
      </w:r>
      <w:r w:rsidR="00A732C1" w:rsidRPr="00A732C1">
        <w:rPr>
          <w:rFonts w:ascii="Times New Roman" w:hAnsi="Times New Roman" w:cs="Times New Roman"/>
          <w:sz w:val="24"/>
          <w:szCs w:val="24"/>
        </w:rPr>
        <w:t xml:space="preserve">attached to the senior practitioners who fail to comply with basic rules get taught. To put it beyond conjecture as to the basis for my criticism, the </w:t>
      </w:r>
      <w:r w:rsidR="009A310D" w:rsidRPr="00A732C1">
        <w:rPr>
          <w:rFonts w:ascii="Times New Roman" w:hAnsi="Times New Roman" w:cs="Times New Roman"/>
          <w:sz w:val="24"/>
          <w:szCs w:val="24"/>
        </w:rPr>
        <w:t>applicant’s</w:t>
      </w:r>
      <w:r w:rsidR="00A732C1" w:rsidRPr="00A732C1">
        <w:rPr>
          <w:rFonts w:ascii="Times New Roman" w:hAnsi="Times New Roman" w:cs="Times New Roman"/>
          <w:sz w:val="24"/>
          <w:szCs w:val="24"/>
        </w:rPr>
        <w:t xml:space="preserve"> notice of application should have set out the grounds of the application </w:t>
      </w:r>
      <w:r w:rsidR="00A732C1" w:rsidRPr="009A310D">
        <w:rPr>
          <w:rFonts w:ascii="Times New Roman" w:hAnsi="Times New Roman" w:cs="Times New Roman"/>
          <w:i/>
          <w:sz w:val="24"/>
          <w:szCs w:val="24"/>
        </w:rPr>
        <w:t>ex facie</w:t>
      </w:r>
      <w:r w:rsidR="00A732C1" w:rsidRPr="00A732C1">
        <w:rPr>
          <w:rFonts w:ascii="Times New Roman" w:hAnsi="Times New Roman" w:cs="Times New Roman"/>
          <w:sz w:val="24"/>
          <w:szCs w:val="24"/>
        </w:rPr>
        <w:t>. The application instead state</w:t>
      </w:r>
      <w:r w:rsidR="009A310D">
        <w:rPr>
          <w:rFonts w:ascii="Times New Roman" w:hAnsi="Times New Roman" w:cs="Times New Roman"/>
          <w:sz w:val="24"/>
          <w:szCs w:val="24"/>
        </w:rPr>
        <w:t>s</w:t>
      </w:r>
      <w:r w:rsidR="00A732C1" w:rsidRPr="00A732C1">
        <w:rPr>
          <w:rFonts w:ascii="Times New Roman" w:hAnsi="Times New Roman" w:cs="Times New Roman"/>
          <w:sz w:val="24"/>
          <w:szCs w:val="24"/>
        </w:rPr>
        <w:t xml:space="preserve"> that:</w:t>
      </w:r>
    </w:p>
    <w:p w:rsidR="00A732C1" w:rsidRDefault="00A732C1" w:rsidP="009A310D">
      <w:pPr>
        <w:spacing w:after="0" w:line="240" w:lineRule="auto"/>
        <w:ind w:left="720"/>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Take notice that an urgent chamber application is hereby made to this Honourable </w:t>
      </w:r>
      <w:r w:rsidR="009A310D">
        <w:rPr>
          <w:rFonts w:ascii="Times New Roman" w:hAnsi="Times New Roman" w:cs="Times New Roman"/>
        </w:rPr>
        <w:tab/>
      </w:r>
      <w:r>
        <w:rPr>
          <w:rFonts w:ascii="Times New Roman" w:hAnsi="Times New Roman" w:cs="Times New Roman"/>
        </w:rPr>
        <w:t>Court on the grounds stated herein.</w:t>
      </w:r>
    </w:p>
    <w:p w:rsidR="00A732C1" w:rsidRDefault="00A732C1" w:rsidP="009A310D">
      <w:pPr>
        <w:spacing w:after="0" w:line="240" w:lineRule="auto"/>
        <w:ind w:left="720"/>
        <w:jc w:val="both"/>
        <w:rPr>
          <w:rFonts w:ascii="Times New Roman" w:hAnsi="Times New Roman" w:cs="Times New Roman"/>
        </w:rPr>
      </w:pPr>
      <w:r>
        <w:rPr>
          <w:rFonts w:ascii="Times New Roman" w:hAnsi="Times New Roman" w:cs="Times New Roman"/>
        </w:rPr>
        <w:t>The accompany affidavit and Annexures shall be used in support of this application.”</w:t>
      </w:r>
    </w:p>
    <w:p w:rsidR="009A310D" w:rsidRDefault="009A310D" w:rsidP="009A310D">
      <w:pPr>
        <w:spacing w:after="0" w:line="240" w:lineRule="auto"/>
        <w:ind w:left="720"/>
        <w:jc w:val="both"/>
        <w:rPr>
          <w:rFonts w:ascii="Times New Roman" w:hAnsi="Times New Roman" w:cs="Times New Roman"/>
          <w:sz w:val="24"/>
          <w:szCs w:val="24"/>
        </w:rPr>
      </w:pPr>
    </w:p>
    <w:p w:rsidR="00A732C1" w:rsidRDefault="00A732C1" w:rsidP="00A732C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heading of the application itself reads as follows:</w:t>
      </w:r>
    </w:p>
    <w:p w:rsidR="00A732C1" w:rsidRDefault="00A732C1" w:rsidP="00A732C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“URGENT CHAMBER APPLICATION FOR STAY OF EXECUTION PENDING APPEAL”</w:t>
      </w:r>
    </w:p>
    <w:p w:rsidR="00A732C1" w:rsidRDefault="00A732C1" w:rsidP="00A732C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To compound </w:t>
      </w:r>
      <w:r w:rsidR="009A310D">
        <w:rPr>
          <w:rFonts w:ascii="Times New Roman" w:hAnsi="Times New Roman" w:cs="Times New Roman"/>
          <w:sz w:val="24"/>
          <w:szCs w:val="24"/>
        </w:rPr>
        <w:t xml:space="preserve">my criticism of </w:t>
      </w:r>
      <w:r>
        <w:rPr>
          <w:rFonts w:ascii="Times New Roman" w:hAnsi="Times New Roman" w:cs="Times New Roman"/>
          <w:sz w:val="24"/>
          <w:szCs w:val="24"/>
        </w:rPr>
        <w:t xml:space="preserve">Mr </w:t>
      </w:r>
      <w:r w:rsidRPr="007310E2">
        <w:rPr>
          <w:rFonts w:ascii="Times New Roman" w:hAnsi="Times New Roman" w:cs="Times New Roman"/>
          <w:i/>
          <w:sz w:val="24"/>
          <w:szCs w:val="24"/>
        </w:rPr>
        <w:t>Musimwa</w:t>
      </w:r>
      <w:r>
        <w:rPr>
          <w:rFonts w:ascii="Times New Roman" w:hAnsi="Times New Roman" w:cs="Times New Roman"/>
          <w:sz w:val="24"/>
          <w:szCs w:val="24"/>
        </w:rPr>
        <w:t xml:space="preserve">, the provisional order sought and the final </w:t>
      </w:r>
    </w:p>
    <w:p w:rsidR="00A732C1" w:rsidRDefault="00A732C1" w:rsidP="00A73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order are substantially the same except in regard to the prayer for costs. For whatever it is worth and for the benefit of Mr </w:t>
      </w:r>
      <w:r w:rsidRPr="007310E2">
        <w:rPr>
          <w:rFonts w:ascii="Times New Roman" w:hAnsi="Times New Roman" w:cs="Times New Roman"/>
          <w:i/>
          <w:sz w:val="24"/>
          <w:szCs w:val="24"/>
        </w:rPr>
        <w:t>Musimwa</w:t>
      </w:r>
      <w:r>
        <w:rPr>
          <w:rFonts w:ascii="Times New Roman" w:hAnsi="Times New Roman" w:cs="Times New Roman"/>
          <w:sz w:val="24"/>
          <w:szCs w:val="24"/>
        </w:rPr>
        <w:t>, it is entirely competent to seek an order which is final in nature by way of urgent application. There is this myth or mis-appreciation of procedure by legal practitioners in be</w:t>
      </w:r>
      <w:r w:rsidR="009A310D">
        <w:rPr>
          <w:rFonts w:ascii="Times New Roman" w:hAnsi="Times New Roman" w:cs="Times New Roman"/>
          <w:sz w:val="24"/>
          <w:szCs w:val="24"/>
        </w:rPr>
        <w:t>liev</w:t>
      </w:r>
      <w:r>
        <w:rPr>
          <w:rFonts w:ascii="Times New Roman" w:hAnsi="Times New Roman" w:cs="Times New Roman"/>
          <w:sz w:val="24"/>
          <w:szCs w:val="24"/>
        </w:rPr>
        <w:t>ing that every urgent application must be for a provisional order and that it is returnable to court. Rule 244 read with the proviso thereof is clear that the judge can grant any competent order in an urgent application. An urgent application is one which is certified as urgent by a legal practitioner. It can be for an order which is final or for a provisional order in terms of r 246 (2), (3) as read with r 247.</w:t>
      </w:r>
    </w:p>
    <w:p w:rsidR="00A732C1" w:rsidRDefault="00A732C1" w:rsidP="00A73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Albeit the pronouncements of the courts falling on deaf ears with respect to some legal practitioners, for posterity I </w:t>
      </w:r>
      <w:r w:rsidR="009A310D">
        <w:rPr>
          <w:rFonts w:ascii="Times New Roman" w:hAnsi="Times New Roman" w:cs="Times New Roman"/>
          <w:sz w:val="24"/>
          <w:szCs w:val="24"/>
        </w:rPr>
        <w:t xml:space="preserve">will for the umpteenth time, </w:t>
      </w:r>
      <w:r>
        <w:rPr>
          <w:rFonts w:ascii="Times New Roman" w:hAnsi="Times New Roman" w:cs="Times New Roman"/>
          <w:sz w:val="24"/>
          <w:szCs w:val="24"/>
        </w:rPr>
        <w:t>in</w:t>
      </w:r>
      <w:r w:rsidR="009A310D">
        <w:rPr>
          <w:rFonts w:ascii="Times New Roman" w:hAnsi="Times New Roman" w:cs="Times New Roman"/>
          <w:sz w:val="24"/>
          <w:szCs w:val="24"/>
        </w:rPr>
        <w:t xml:space="preserve"> the</w:t>
      </w:r>
      <w:r>
        <w:rPr>
          <w:rFonts w:ascii="Times New Roman" w:hAnsi="Times New Roman" w:cs="Times New Roman"/>
          <w:sz w:val="24"/>
          <w:szCs w:val="24"/>
        </w:rPr>
        <w:t xml:space="preserve"> interest</w:t>
      </w:r>
      <w:r w:rsidR="009A310D">
        <w:rPr>
          <w:rFonts w:ascii="Times New Roman" w:hAnsi="Times New Roman" w:cs="Times New Roman"/>
          <w:sz w:val="24"/>
          <w:szCs w:val="24"/>
        </w:rPr>
        <w:t>s</w:t>
      </w:r>
      <w:r>
        <w:rPr>
          <w:rFonts w:ascii="Times New Roman" w:hAnsi="Times New Roman" w:cs="Times New Roman"/>
          <w:sz w:val="24"/>
          <w:szCs w:val="24"/>
        </w:rPr>
        <w:t xml:space="preserve"> of justice once again hit the drum loud and clear </w:t>
      </w:r>
      <w:r w:rsidR="009A310D">
        <w:rPr>
          <w:rFonts w:ascii="Times New Roman" w:hAnsi="Times New Roman" w:cs="Times New Roman"/>
          <w:sz w:val="24"/>
          <w:szCs w:val="24"/>
        </w:rPr>
        <w:t xml:space="preserve">and repeat </w:t>
      </w:r>
      <w:r>
        <w:rPr>
          <w:rFonts w:ascii="Times New Roman" w:hAnsi="Times New Roman" w:cs="Times New Roman"/>
          <w:sz w:val="24"/>
          <w:szCs w:val="24"/>
        </w:rPr>
        <w:t xml:space="preserve">that rules and procedure are there to be followed. </w:t>
      </w:r>
      <w:r w:rsidR="009A310D">
        <w:rPr>
          <w:rFonts w:ascii="Times New Roman" w:hAnsi="Times New Roman" w:cs="Times New Roman"/>
          <w:sz w:val="24"/>
          <w:szCs w:val="24"/>
        </w:rPr>
        <w:t xml:space="preserve">Following rules </w:t>
      </w:r>
      <w:r w:rsidR="000157E6">
        <w:rPr>
          <w:rFonts w:ascii="Times New Roman" w:hAnsi="Times New Roman" w:cs="Times New Roman"/>
          <w:sz w:val="24"/>
          <w:szCs w:val="24"/>
        </w:rPr>
        <w:t>constitutes</w:t>
      </w:r>
      <w:r w:rsidR="009A310D">
        <w:rPr>
          <w:rFonts w:ascii="Times New Roman" w:hAnsi="Times New Roman" w:cs="Times New Roman"/>
          <w:sz w:val="24"/>
          <w:szCs w:val="24"/>
        </w:rPr>
        <w:t xml:space="preserve"> part of law practice. That said, it</w:t>
      </w:r>
      <w:r>
        <w:rPr>
          <w:rFonts w:ascii="Times New Roman" w:hAnsi="Times New Roman" w:cs="Times New Roman"/>
          <w:sz w:val="24"/>
          <w:szCs w:val="24"/>
        </w:rPr>
        <w:t xml:space="preserve"> appears to me that going forward, whilst the court has a discretion to either condone non-compliance with the rules in the interests of justice in terms of r 4C or </w:t>
      </w:r>
      <w:r w:rsidR="008D156E">
        <w:rPr>
          <w:rFonts w:ascii="Times New Roman" w:hAnsi="Times New Roman" w:cs="Times New Roman"/>
          <w:sz w:val="24"/>
          <w:szCs w:val="24"/>
        </w:rPr>
        <w:t xml:space="preserve">to </w:t>
      </w:r>
      <w:r>
        <w:rPr>
          <w:rFonts w:ascii="Times New Roman" w:hAnsi="Times New Roman" w:cs="Times New Roman"/>
          <w:sz w:val="24"/>
          <w:szCs w:val="24"/>
        </w:rPr>
        <w:t>dismiss the application, the better route to adopt where circumstances permit and to avoid an injustice is for the court to condone the rule breach especially if it is one relating to form but to express its displeasure by ordering that the errant legal practitioner who is an officer of this court should be deprived of his fees. Such an order would reign in errant legal practitioners and should be made where merited after affording them an opportunity to explain their errors. Where the explanations are not convincing and the legal practitioner’s failures are adjudged to be gross, the attention of the Law Society should be drawn to the fact for it to monitor that the legal practitioner undergoes continuous legal training in the relevant areas of failure.</w:t>
      </w:r>
    </w:p>
    <w:p w:rsidR="00A732C1" w:rsidRDefault="00A732C1" w:rsidP="00A73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out of benevolence and in the hope that errant practitioners take heed quote a few judgments of this court on the need to comply with rules of court be it in ordinary, chamber or urgent chamber applications, see </w:t>
      </w:r>
      <w:r>
        <w:rPr>
          <w:rFonts w:ascii="Times New Roman" w:hAnsi="Times New Roman" w:cs="Times New Roman"/>
          <w:i/>
          <w:sz w:val="24"/>
          <w:szCs w:val="24"/>
        </w:rPr>
        <w:t xml:space="preserve">David Jack &amp; Ors </w:t>
      </w:r>
      <w:r>
        <w:rPr>
          <w:rFonts w:ascii="Times New Roman" w:hAnsi="Times New Roman" w:cs="Times New Roman"/>
          <w:sz w:val="24"/>
          <w:szCs w:val="24"/>
        </w:rPr>
        <w:t xml:space="preserve">v </w:t>
      </w:r>
      <w:r>
        <w:rPr>
          <w:rFonts w:ascii="Times New Roman" w:hAnsi="Times New Roman" w:cs="Times New Roman"/>
          <w:i/>
          <w:sz w:val="24"/>
          <w:szCs w:val="24"/>
        </w:rPr>
        <w:t xml:space="preserve">Lloyd Mushipe &amp; Ors </w:t>
      </w:r>
      <w:r>
        <w:rPr>
          <w:rFonts w:ascii="Times New Roman" w:hAnsi="Times New Roman" w:cs="Times New Roman"/>
          <w:sz w:val="24"/>
          <w:szCs w:val="24"/>
        </w:rPr>
        <w:t xml:space="preserve">HH 318/15, </w:t>
      </w:r>
      <w:r>
        <w:rPr>
          <w:rFonts w:ascii="Times New Roman" w:hAnsi="Times New Roman" w:cs="Times New Roman"/>
          <w:i/>
          <w:sz w:val="24"/>
          <w:szCs w:val="24"/>
        </w:rPr>
        <w:t xml:space="preserve">Marick </w:t>
      </w:r>
      <w:r>
        <w:rPr>
          <w:rFonts w:ascii="Times New Roman" w:hAnsi="Times New Roman" w:cs="Times New Roman"/>
          <w:i/>
          <w:sz w:val="24"/>
          <w:szCs w:val="24"/>
        </w:rPr>
        <w:lastRenderedPageBreak/>
        <w:t xml:space="preserve">Trading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Old Mutual Life Assurance Company Pvt Ltd &amp; Anor </w:t>
      </w:r>
      <w:r>
        <w:rPr>
          <w:rFonts w:ascii="Times New Roman" w:hAnsi="Times New Roman" w:cs="Times New Roman"/>
          <w:sz w:val="24"/>
          <w:szCs w:val="24"/>
        </w:rPr>
        <w:t xml:space="preserve">HH 667/15, </w:t>
      </w:r>
      <w:r>
        <w:rPr>
          <w:rFonts w:ascii="Times New Roman" w:hAnsi="Times New Roman" w:cs="Times New Roman"/>
          <w:i/>
          <w:sz w:val="24"/>
          <w:szCs w:val="24"/>
        </w:rPr>
        <w:t xml:space="preserve">Joshua Nyamhuka &amp; Anor </w:t>
      </w:r>
      <w:r>
        <w:rPr>
          <w:rFonts w:ascii="Times New Roman" w:hAnsi="Times New Roman" w:cs="Times New Roman"/>
          <w:sz w:val="24"/>
          <w:szCs w:val="24"/>
        </w:rPr>
        <w:t xml:space="preserve">v </w:t>
      </w:r>
      <w:r>
        <w:rPr>
          <w:rFonts w:ascii="Times New Roman" w:hAnsi="Times New Roman" w:cs="Times New Roman"/>
          <w:i/>
          <w:sz w:val="24"/>
          <w:szCs w:val="24"/>
        </w:rPr>
        <w:t xml:space="preserve">Abigail Mapingure &amp; Ors </w:t>
      </w:r>
      <w:r>
        <w:rPr>
          <w:rFonts w:ascii="Times New Roman" w:hAnsi="Times New Roman" w:cs="Times New Roman"/>
          <w:sz w:val="24"/>
          <w:szCs w:val="24"/>
        </w:rPr>
        <w:t xml:space="preserve">HH 29/17, </w:t>
      </w:r>
      <w:r>
        <w:rPr>
          <w:rFonts w:ascii="Times New Roman" w:hAnsi="Times New Roman" w:cs="Times New Roman"/>
          <w:i/>
          <w:sz w:val="24"/>
          <w:szCs w:val="24"/>
        </w:rPr>
        <w:t xml:space="preserve">Zimbabwe Open University </w:t>
      </w:r>
      <w:r>
        <w:rPr>
          <w:rFonts w:ascii="Times New Roman" w:hAnsi="Times New Roman" w:cs="Times New Roman"/>
          <w:sz w:val="24"/>
          <w:szCs w:val="24"/>
        </w:rPr>
        <w:t xml:space="preserve">v </w:t>
      </w:r>
      <w:r>
        <w:rPr>
          <w:rFonts w:ascii="Times New Roman" w:hAnsi="Times New Roman" w:cs="Times New Roman"/>
          <w:i/>
          <w:sz w:val="24"/>
          <w:szCs w:val="24"/>
        </w:rPr>
        <w:t xml:space="preserve">Mazombwe </w:t>
      </w:r>
      <w:r>
        <w:rPr>
          <w:rFonts w:ascii="Times New Roman" w:hAnsi="Times New Roman" w:cs="Times New Roman"/>
          <w:sz w:val="24"/>
          <w:szCs w:val="24"/>
        </w:rPr>
        <w:t xml:space="preserve">2009 (1) ZLR 101 (H), </w:t>
      </w:r>
      <w:r>
        <w:rPr>
          <w:rFonts w:ascii="Times New Roman" w:hAnsi="Times New Roman" w:cs="Times New Roman"/>
          <w:i/>
          <w:sz w:val="24"/>
          <w:szCs w:val="24"/>
        </w:rPr>
        <w:t xml:space="preserve">Salt Lakes Holdings Pvt Ltd &amp; Anor </w:t>
      </w:r>
      <w:r>
        <w:rPr>
          <w:rFonts w:ascii="Times New Roman" w:hAnsi="Times New Roman" w:cs="Times New Roman"/>
          <w:sz w:val="24"/>
          <w:szCs w:val="24"/>
        </w:rPr>
        <w:t xml:space="preserve">v </w:t>
      </w:r>
      <w:r>
        <w:rPr>
          <w:rFonts w:ascii="Times New Roman" w:hAnsi="Times New Roman" w:cs="Times New Roman"/>
          <w:i/>
          <w:sz w:val="24"/>
          <w:szCs w:val="24"/>
        </w:rPr>
        <w:t xml:space="preserve">CBZ Bank &amp; Anor </w:t>
      </w:r>
      <w:r>
        <w:rPr>
          <w:rFonts w:ascii="Times New Roman" w:hAnsi="Times New Roman" w:cs="Times New Roman"/>
          <w:sz w:val="24"/>
          <w:szCs w:val="24"/>
        </w:rPr>
        <w:t xml:space="preserve">HH 636/15, </w:t>
      </w:r>
      <w:r>
        <w:rPr>
          <w:rFonts w:ascii="Times New Roman" w:hAnsi="Times New Roman" w:cs="Times New Roman"/>
          <w:i/>
          <w:sz w:val="24"/>
          <w:szCs w:val="24"/>
        </w:rPr>
        <w:t xml:space="preserve">Grandwell Holdings </w:t>
      </w:r>
      <w:r>
        <w:rPr>
          <w:rFonts w:ascii="Times New Roman" w:hAnsi="Times New Roman" w:cs="Times New Roman"/>
          <w:sz w:val="24"/>
          <w:szCs w:val="24"/>
        </w:rPr>
        <w:t xml:space="preserve">v </w:t>
      </w:r>
      <w:r>
        <w:rPr>
          <w:rFonts w:ascii="Times New Roman" w:hAnsi="Times New Roman" w:cs="Times New Roman"/>
          <w:i/>
          <w:sz w:val="24"/>
          <w:szCs w:val="24"/>
        </w:rPr>
        <w:t xml:space="preserve">ZCDC &amp; 2 Ors </w:t>
      </w:r>
      <w:r>
        <w:rPr>
          <w:rFonts w:ascii="Times New Roman" w:hAnsi="Times New Roman" w:cs="Times New Roman"/>
          <w:sz w:val="24"/>
          <w:szCs w:val="24"/>
        </w:rPr>
        <w:t xml:space="preserve">HH 125/17, </w:t>
      </w:r>
      <w:r>
        <w:rPr>
          <w:rFonts w:ascii="Times New Roman" w:hAnsi="Times New Roman" w:cs="Times New Roman"/>
          <w:i/>
          <w:sz w:val="24"/>
          <w:szCs w:val="24"/>
        </w:rPr>
        <w:t xml:space="preserve">Brain Andrew Cawood </w:t>
      </w:r>
      <w:r>
        <w:rPr>
          <w:rFonts w:ascii="Times New Roman" w:hAnsi="Times New Roman" w:cs="Times New Roman"/>
          <w:sz w:val="24"/>
          <w:szCs w:val="24"/>
        </w:rPr>
        <w:t xml:space="preserve">v </w:t>
      </w:r>
      <w:r w:rsidRPr="000548C1">
        <w:rPr>
          <w:rFonts w:ascii="Times New Roman" w:hAnsi="Times New Roman" w:cs="Times New Roman"/>
          <w:i/>
          <w:sz w:val="24"/>
          <w:szCs w:val="24"/>
        </w:rPr>
        <w:t>Elasto Madzingura &amp; Anor</w:t>
      </w:r>
      <w:r>
        <w:rPr>
          <w:rFonts w:ascii="Times New Roman" w:hAnsi="Times New Roman" w:cs="Times New Roman"/>
          <w:sz w:val="24"/>
          <w:szCs w:val="24"/>
        </w:rPr>
        <w:t xml:space="preserve"> MSVH 12/17, </w:t>
      </w:r>
      <w:r>
        <w:rPr>
          <w:rFonts w:ascii="Times New Roman" w:hAnsi="Times New Roman" w:cs="Times New Roman"/>
          <w:i/>
          <w:sz w:val="24"/>
          <w:szCs w:val="24"/>
        </w:rPr>
        <w:t xml:space="preserve">Ignatius Masamba </w:t>
      </w:r>
      <w:r>
        <w:rPr>
          <w:rFonts w:ascii="Times New Roman" w:hAnsi="Times New Roman" w:cs="Times New Roman"/>
          <w:sz w:val="24"/>
          <w:szCs w:val="24"/>
        </w:rPr>
        <w:t xml:space="preserve">v </w:t>
      </w:r>
      <w:r>
        <w:rPr>
          <w:rFonts w:ascii="Times New Roman" w:hAnsi="Times New Roman" w:cs="Times New Roman"/>
          <w:i/>
          <w:sz w:val="24"/>
          <w:szCs w:val="24"/>
        </w:rPr>
        <w:t xml:space="preserve">Secretary Judicial Service Commission &amp; Anor </w:t>
      </w:r>
      <w:r>
        <w:rPr>
          <w:rFonts w:ascii="Times New Roman" w:hAnsi="Times New Roman" w:cs="Times New Roman"/>
          <w:sz w:val="24"/>
          <w:szCs w:val="24"/>
        </w:rPr>
        <w:t xml:space="preserve">HH 283/17 and several others which can be found on reference to decided cases on the need to comply with the rules. Legal practitioners must therefore take heed that they risk being put to shame by the court for inefficiency and being deprived of their costs. It is high time that the profession focuses on efficiency and to shun tardiness in case presentations, preparation of pleadings and all other facets of legal practice that has to do with justice administration. The profession must justify its description of a learned profession and its members learned officers of the court. </w:t>
      </w:r>
    </w:p>
    <w:p w:rsidR="00A732C1" w:rsidRDefault="00A732C1" w:rsidP="00A73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Back to the background facts, the applicant filed an appeal No. SC 550/18 against my order given in case No. HC 2355/18 on 13 July, 2018 with the Supreme Court. On the following day, this urgent application was filed. I have already indicated that the application was set down for 18 July, 2018 following its referral to me in terms of r 244.</w:t>
      </w:r>
    </w:p>
    <w:p w:rsidR="00A732C1" w:rsidRDefault="00A732C1" w:rsidP="00A732C1">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xml:space="preserve">On 18 July, 2018, Mr </w:t>
      </w:r>
      <w:r w:rsidRPr="004A7C5B">
        <w:rPr>
          <w:rFonts w:ascii="Times New Roman" w:hAnsi="Times New Roman" w:cs="Times New Roman"/>
          <w:i/>
          <w:sz w:val="24"/>
          <w:szCs w:val="24"/>
        </w:rPr>
        <w:t>Hashiti</w:t>
      </w:r>
      <w:r>
        <w:rPr>
          <w:rFonts w:ascii="Times New Roman" w:hAnsi="Times New Roman" w:cs="Times New Roman"/>
          <w:sz w:val="24"/>
          <w:szCs w:val="24"/>
        </w:rPr>
        <w:t xml:space="preserve"> who appeared instructed by Mr </w:t>
      </w:r>
      <w:r w:rsidRPr="00127BC0">
        <w:rPr>
          <w:rFonts w:ascii="Times New Roman" w:hAnsi="Times New Roman" w:cs="Times New Roman"/>
          <w:i/>
          <w:sz w:val="24"/>
          <w:szCs w:val="24"/>
        </w:rPr>
        <w:t xml:space="preserve">Musimwa </w:t>
      </w:r>
      <w:r>
        <w:rPr>
          <w:rFonts w:ascii="Times New Roman" w:hAnsi="Times New Roman" w:cs="Times New Roman"/>
          <w:sz w:val="24"/>
          <w:szCs w:val="24"/>
        </w:rPr>
        <w:t xml:space="preserve">applied for a postponement of the hearing. He indicated that he had instructions that he needed to verify through documentation still to be availed to him to the effect that the applicant was in fact an </w:t>
      </w:r>
      <w:r w:rsidRPr="004A7C5B">
        <w:rPr>
          <w:rFonts w:ascii="Times New Roman" w:hAnsi="Times New Roman" w:cs="Times New Roman"/>
          <w:i/>
          <w:sz w:val="24"/>
          <w:szCs w:val="24"/>
        </w:rPr>
        <w:t>incola</w:t>
      </w:r>
      <w:r>
        <w:rPr>
          <w:rFonts w:ascii="Times New Roman" w:hAnsi="Times New Roman" w:cs="Times New Roman"/>
          <w:sz w:val="24"/>
          <w:szCs w:val="24"/>
        </w:rPr>
        <w:t xml:space="preserve">. In his submissions which I found meritorious, </w:t>
      </w:r>
      <w:r w:rsidR="008D156E">
        <w:rPr>
          <w:rFonts w:ascii="Times New Roman" w:hAnsi="Times New Roman" w:cs="Times New Roman"/>
          <w:sz w:val="24"/>
          <w:szCs w:val="24"/>
        </w:rPr>
        <w:t xml:space="preserve">he stated that </w:t>
      </w:r>
      <w:r>
        <w:rPr>
          <w:rFonts w:ascii="Times New Roman" w:hAnsi="Times New Roman" w:cs="Times New Roman"/>
          <w:sz w:val="24"/>
          <w:szCs w:val="24"/>
        </w:rPr>
        <w:t xml:space="preserve">should applicant be an </w:t>
      </w:r>
      <w:r w:rsidRPr="004A7C5B">
        <w:rPr>
          <w:rFonts w:ascii="Times New Roman" w:hAnsi="Times New Roman" w:cs="Times New Roman"/>
          <w:i/>
          <w:sz w:val="24"/>
          <w:szCs w:val="24"/>
        </w:rPr>
        <w:t>incola</w:t>
      </w:r>
      <w:r>
        <w:rPr>
          <w:rFonts w:ascii="Times New Roman" w:hAnsi="Times New Roman" w:cs="Times New Roman"/>
          <w:sz w:val="24"/>
          <w:szCs w:val="24"/>
        </w:rPr>
        <w:t xml:space="preserve">, then the issue of arrests or attachments of the applicant’s property to found and confirm jurisdiction would fall away. Mr </w:t>
      </w:r>
      <w:r w:rsidRPr="004A7C5B">
        <w:rPr>
          <w:rFonts w:ascii="Times New Roman" w:hAnsi="Times New Roman" w:cs="Times New Roman"/>
          <w:i/>
          <w:sz w:val="24"/>
          <w:szCs w:val="24"/>
        </w:rPr>
        <w:t>Mut</w:t>
      </w:r>
      <w:r w:rsidR="00C11885">
        <w:rPr>
          <w:rFonts w:ascii="Times New Roman" w:hAnsi="Times New Roman" w:cs="Times New Roman"/>
          <w:i/>
          <w:sz w:val="24"/>
          <w:szCs w:val="24"/>
        </w:rPr>
        <w:t>ev</w:t>
      </w:r>
      <w:r w:rsidRPr="004A7C5B">
        <w:rPr>
          <w:rFonts w:ascii="Times New Roman" w:hAnsi="Times New Roman" w:cs="Times New Roman"/>
          <w:i/>
          <w:sz w:val="24"/>
          <w:szCs w:val="24"/>
        </w:rPr>
        <w:t>edzi</w:t>
      </w:r>
      <w:r>
        <w:rPr>
          <w:rFonts w:ascii="Times New Roman" w:hAnsi="Times New Roman" w:cs="Times New Roman"/>
          <w:sz w:val="24"/>
          <w:szCs w:val="24"/>
        </w:rPr>
        <w:t xml:space="preserve"> first opposed the postponement arguing that the request was frivolous.  I was utterly surprised by his attitude because the reasons for the request had merit and would enable him to file his clients (the respondents) claims expeditiously without </w:t>
      </w:r>
      <w:r w:rsidR="008D156E">
        <w:rPr>
          <w:rFonts w:ascii="Times New Roman" w:hAnsi="Times New Roman" w:cs="Times New Roman"/>
          <w:sz w:val="24"/>
          <w:szCs w:val="24"/>
        </w:rPr>
        <w:t>putting the respondents</w:t>
      </w:r>
      <w:r>
        <w:rPr>
          <w:rFonts w:ascii="Times New Roman" w:hAnsi="Times New Roman" w:cs="Times New Roman"/>
          <w:sz w:val="24"/>
          <w:szCs w:val="24"/>
        </w:rPr>
        <w:t xml:space="preserve"> to the costs of ancillary matters of jurisdiction. Having found the opposition to the application to be without merit I</w:t>
      </w:r>
      <w:r w:rsidR="008D156E">
        <w:rPr>
          <w:rFonts w:ascii="Times New Roman" w:hAnsi="Times New Roman" w:cs="Times New Roman"/>
          <w:sz w:val="24"/>
          <w:szCs w:val="24"/>
        </w:rPr>
        <w:t xml:space="preserve"> dismissed the opposition and</w:t>
      </w:r>
      <w:r>
        <w:rPr>
          <w:rFonts w:ascii="Times New Roman" w:hAnsi="Times New Roman" w:cs="Times New Roman"/>
          <w:sz w:val="24"/>
          <w:szCs w:val="24"/>
        </w:rPr>
        <w:t xml:space="preserve"> postponed the hearing to 20 July, 2018.</w:t>
      </w:r>
    </w:p>
    <w:p w:rsidR="00A732C1" w:rsidRDefault="00A732C1" w:rsidP="00A732C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On 20 July, 2018, Mr Hashiti now had in attendance representatives of the applicant</w:t>
      </w:r>
      <w:r w:rsidR="004F3CAA">
        <w:rPr>
          <w:rFonts w:ascii="Times New Roman" w:hAnsi="Times New Roman" w:cs="Times New Roman"/>
          <w:sz w:val="24"/>
          <w:szCs w:val="24"/>
        </w:rPr>
        <w:t xml:space="preserve"> being</w:t>
      </w:r>
      <w:r>
        <w:rPr>
          <w:rFonts w:ascii="Times New Roman" w:hAnsi="Times New Roman" w:cs="Times New Roman"/>
          <w:sz w:val="24"/>
          <w:szCs w:val="24"/>
        </w:rPr>
        <w:t xml:space="preserve">, its Senior Legal Manager Mr Jerhome Tjizo and the Senior General </w:t>
      </w:r>
      <w:r>
        <w:rPr>
          <w:rFonts w:ascii="Times New Roman" w:hAnsi="Times New Roman" w:cs="Times New Roman"/>
          <w:sz w:val="24"/>
          <w:szCs w:val="24"/>
        </w:rPr>
        <w:lastRenderedPageBreak/>
        <w:t xml:space="preserve">Manager, Ground Operations Mr Moses Shihepo. They had flown from Namibia for the hearing. I was advised by Mr </w:t>
      </w:r>
      <w:r w:rsidRPr="00C838FC">
        <w:rPr>
          <w:rFonts w:ascii="Times New Roman" w:hAnsi="Times New Roman" w:cs="Times New Roman"/>
          <w:i/>
          <w:sz w:val="24"/>
          <w:szCs w:val="24"/>
        </w:rPr>
        <w:t>Hashiti</w:t>
      </w:r>
      <w:r>
        <w:rPr>
          <w:rFonts w:ascii="Times New Roman" w:hAnsi="Times New Roman" w:cs="Times New Roman"/>
          <w:sz w:val="24"/>
          <w:szCs w:val="24"/>
        </w:rPr>
        <w:t xml:space="preserve"> that the legal practitioners and the parties were in consultation but appeared not to be in agreement.     </w:t>
      </w:r>
    </w:p>
    <w:p w:rsidR="00A732C1" w:rsidRDefault="00A732C1" w:rsidP="00A732C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xml:space="preserve">For their part, the respondents had on 18 July, 2018 filed a notice of apposition. They contended that the application was not urgent because the order sought to be stayed had been appealed against. It was also contended that </w:t>
      </w:r>
      <w:r w:rsidR="004F3CAA">
        <w:rPr>
          <w:rFonts w:ascii="Times New Roman" w:hAnsi="Times New Roman" w:cs="Times New Roman"/>
          <w:sz w:val="24"/>
          <w:szCs w:val="24"/>
        </w:rPr>
        <w:t xml:space="preserve">since </w:t>
      </w:r>
      <w:r>
        <w:rPr>
          <w:rFonts w:ascii="Times New Roman" w:hAnsi="Times New Roman" w:cs="Times New Roman"/>
          <w:sz w:val="24"/>
          <w:szCs w:val="24"/>
        </w:rPr>
        <w:t>the respondents had not taken any steps to enforce the order</w:t>
      </w:r>
      <w:r w:rsidR="004F3CAA">
        <w:rPr>
          <w:rFonts w:ascii="Times New Roman" w:hAnsi="Times New Roman" w:cs="Times New Roman"/>
          <w:sz w:val="24"/>
          <w:szCs w:val="24"/>
        </w:rPr>
        <w:t xml:space="preserve"> no urgency had arisen</w:t>
      </w:r>
      <w:r>
        <w:rPr>
          <w:rFonts w:ascii="Times New Roman" w:hAnsi="Times New Roman" w:cs="Times New Roman"/>
          <w:sz w:val="24"/>
          <w:szCs w:val="24"/>
        </w:rPr>
        <w:t>. It is of course correct that an appeal was noted to the Supreme Court. The appeal suspended the execution of the judgment appealed against. The law in this regard was apt</w:t>
      </w:r>
      <w:r w:rsidR="004F3CAA">
        <w:rPr>
          <w:rFonts w:ascii="Times New Roman" w:hAnsi="Times New Roman" w:cs="Times New Roman"/>
          <w:sz w:val="24"/>
          <w:szCs w:val="24"/>
        </w:rPr>
        <w:t>l</w:t>
      </w:r>
      <w:r>
        <w:rPr>
          <w:rFonts w:ascii="Times New Roman" w:hAnsi="Times New Roman" w:cs="Times New Roman"/>
          <w:sz w:val="24"/>
          <w:szCs w:val="24"/>
        </w:rPr>
        <w:t xml:space="preserve">y set out by </w:t>
      </w:r>
      <w:r w:rsidRPr="000D0605">
        <w:rPr>
          <w:rFonts w:ascii="Times New Roman" w:hAnsi="Times New Roman" w:cs="Times New Roman"/>
          <w:smallCaps/>
          <w:sz w:val="24"/>
          <w:szCs w:val="24"/>
        </w:rPr>
        <w:t>Corbett</w:t>
      </w:r>
      <w:r>
        <w:rPr>
          <w:rFonts w:ascii="Times New Roman" w:hAnsi="Times New Roman" w:cs="Times New Roman"/>
          <w:sz w:val="24"/>
          <w:szCs w:val="24"/>
        </w:rPr>
        <w:t xml:space="preserve"> JA in </w:t>
      </w:r>
      <w:r w:rsidRPr="000D0605">
        <w:rPr>
          <w:rFonts w:ascii="Times New Roman" w:hAnsi="Times New Roman" w:cs="Times New Roman"/>
          <w:i/>
          <w:sz w:val="24"/>
          <w:szCs w:val="24"/>
        </w:rPr>
        <w:t>South Cape Corporation (Pty) Ltd</w:t>
      </w:r>
      <w:r>
        <w:rPr>
          <w:rFonts w:ascii="Times New Roman" w:hAnsi="Times New Roman" w:cs="Times New Roman"/>
          <w:sz w:val="24"/>
          <w:szCs w:val="24"/>
        </w:rPr>
        <w:t xml:space="preserve"> v </w:t>
      </w:r>
      <w:r>
        <w:rPr>
          <w:rFonts w:ascii="Times New Roman" w:hAnsi="Times New Roman" w:cs="Times New Roman"/>
          <w:i/>
          <w:sz w:val="24"/>
          <w:szCs w:val="24"/>
        </w:rPr>
        <w:t xml:space="preserve">Engineering Management Services (Pty) Ltd </w:t>
      </w:r>
      <w:r>
        <w:rPr>
          <w:rFonts w:ascii="Times New Roman" w:hAnsi="Times New Roman" w:cs="Times New Roman"/>
          <w:sz w:val="24"/>
          <w:szCs w:val="24"/>
        </w:rPr>
        <w:t xml:space="preserve">1977 (3) SA 534 (A1) at 544-545 A, a case cited by </w:t>
      </w:r>
      <w:r w:rsidRPr="000D0605">
        <w:rPr>
          <w:rFonts w:ascii="Times New Roman" w:hAnsi="Times New Roman" w:cs="Times New Roman"/>
          <w:smallCaps/>
          <w:sz w:val="24"/>
          <w:szCs w:val="24"/>
        </w:rPr>
        <w:t>Garwe</w:t>
      </w:r>
      <w:r>
        <w:rPr>
          <w:rFonts w:ascii="Times New Roman" w:hAnsi="Times New Roman" w:cs="Times New Roman"/>
          <w:sz w:val="24"/>
          <w:szCs w:val="24"/>
        </w:rPr>
        <w:t xml:space="preserve"> JA in </w:t>
      </w:r>
      <w:r>
        <w:rPr>
          <w:rFonts w:ascii="Times New Roman" w:hAnsi="Times New Roman" w:cs="Times New Roman"/>
          <w:i/>
          <w:sz w:val="24"/>
          <w:szCs w:val="24"/>
        </w:rPr>
        <w:t xml:space="preserve">Longman Zimbabwe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Midzi &amp; Ors </w:t>
      </w:r>
      <w:r>
        <w:rPr>
          <w:rFonts w:ascii="Times New Roman" w:hAnsi="Times New Roman" w:cs="Times New Roman"/>
          <w:sz w:val="24"/>
          <w:szCs w:val="24"/>
        </w:rPr>
        <w:t xml:space="preserve">SC 54/07 thus:  </w:t>
      </w:r>
    </w:p>
    <w:p w:rsidR="00A732C1" w:rsidRDefault="00A732C1" w:rsidP="00A732C1">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Whatever the true position may have been in the Dutch Courts, and more particularly the court of Holland  … it is today the accepted common law rule of practice in our courts that generally the execution of a judgment is automatically suspended upon the noting of an appeal with the result that, pending the appeal, the judgment cannot be carried and no effect can be given thereto except with the leave of the curt which granted the judgment.”</w:t>
      </w:r>
    </w:p>
    <w:p w:rsidR="00A732C1" w:rsidRDefault="00A732C1" w:rsidP="00A732C1">
      <w:pPr>
        <w:spacing w:after="0" w:line="240" w:lineRule="auto"/>
        <w:ind w:left="1440" w:hanging="720"/>
        <w:jc w:val="both"/>
        <w:rPr>
          <w:rFonts w:ascii="Times New Roman" w:hAnsi="Times New Roman" w:cs="Times New Roman"/>
        </w:rPr>
      </w:pPr>
    </w:p>
    <w:p w:rsidR="00A732C1" w:rsidRDefault="00A732C1" w:rsidP="00A732C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After extensive discussion on the correctness of the above proposition and </w:t>
      </w:r>
    </w:p>
    <w:p w:rsidR="00A732C1" w:rsidRDefault="00A732C1" w:rsidP="00A73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consideration of various decided cases, </w:t>
      </w:r>
      <w:r w:rsidRPr="000D0605">
        <w:rPr>
          <w:rFonts w:ascii="Times New Roman" w:hAnsi="Times New Roman" w:cs="Times New Roman"/>
          <w:smallCaps/>
          <w:sz w:val="24"/>
          <w:szCs w:val="24"/>
        </w:rPr>
        <w:t xml:space="preserve">Garwe </w:t>
      </w:r>
      <w:r>
        <w:rPr>
          <w:rFonts w:ascii="Times New Roman" w:hAnsi="Times New Roman" w:cs="Times New Roman"/>
          <w:sz w:val="24"/>
          <w:szCs w:val="24"/>
        </w:rPr>
        <w:t>JA with the concurrence of the other members of the court stated thus:</w:t>
      </w:r>
    </w:p>
    <w:p w:rsidR="00A732C1" w:rsidRDefault="00A732C1" w:rsidP="00C1188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The position may now be accepted as settled that unless empowered by law to do so, a</w:t>
      </w:r>
      <w:r w:rsidR="004F3CAA">
        <w:rPr>
          <w:rFonts w:ascii="Times New Roman" w:hAnsi="Times New Roman" w:cs="Times New Roman"/>
        </w:rPr>
        <w:t>n</w:t>
      </w:r>
      <w:r>
        <w:rPr>
          <w:rFonts w:ascii="Times New Roman" w:hAnsi="Times New Roman" w:cs="Times New Roman"/>
        </w:rPr>
        <w:t xml:space="preserve"> inferior court or other authority has no power to order the suspension of its own orders or judgment and further that the noting of an appeal against the judgment or order of such</w:t>
      </w:r>
      <w:r w:rsidR="004F3CAA">
        <w:rPr>
          <w:rFonts w:ascii="Times New Roman" w:hAnsi="Times New Roman" w:cs="Times New Roman"/>
        </w:rPr>
        <w:t xml:space="preserve"> court</w:t>
      </w:r>
      <w:r>
        <w:rPr>
          <w:rFonts w:ascii="Times New Roman" w:hAnsi="Times New Roman" w:cs="Times New Roman"/>
        </w:rPr>
        <w:t xml:space="preserve"> </w:t>
      </w:r>
      <w:r w:rsidRPr="00642BAC">
        <w:rPr>
          <w:rFonts w:ascii="Times New Roman" w:hAnsi="Times New Roman" w:cs="Times New Roman"/>
          <w:b/>
        </w:rPr>
        <w:t xml:space="preserve">or  </w:t>
      </w:r>
      <w:r w:rsidRPr="00CB4C87">
        <w:rPr>
          <w:rFonts w:ascii="Times New Roman" w:hAnsi="Times New Roman" w:cs="Times New Roman"/>
        </w:rPr>
        <w:t>tribunal or other authority in the absence of a statutory provision to that effect; does</w:t>
      </w:r>
      <w:r>
        <w:rPr>
          <w:rFonts w:ascii="Times New Roman" w:hAnsi="Times New Roman" w:cs="Times New Roman"/>
        </w:rPr>
        <w:t xml:space="preserve"> </w:t>
      </w:r>
      <w:r w:rsidRPr="00CB4C87">
        <w:rPr>
          <w:rFonts w:ascii="Times New Roman" w:hAnsi="Times New Roman" w:cs="Times New Roman"/>
        </w:rPr>
        <w:t xml:space="preserve">not have the effect of suspending the operation of the judgment or order that is sought to </w:t>
      </w:r>
      <w:r w:rsidR="004F3CAA">
        <w:rPr>
          <w:rFonts w:ascii="Times New Roman" w:hAnsi="Times New Roman" w:cs="Times New Roman"/>
        </w:rPr>
        <w:t xml:space="preserve">be </w:t>
      </w:r>
      <w:r w:rsidRPr="00CB4C87">
        <w:rPr>
          <w:rFonts w:ascii="Times New Roman" w:hAnsi="Times New Roman" w:cs="Times New Roman"/>
        </w:rPr>
        <w:t>appealed against</w:t>
      </w:r>
      <w:r>
        <w:rPr>
          <w:rFonts w:ascii="Times New Roman" w:hAnsi="Times New Roman" w:cs="Times New Roman"/>
          <w:sz w:val="24"/>
          <w:szCs w:val="24"/>
        </w:rPr>
        <w:t>.”</w:t>
      </w:r>
    </w:p>
    <w:p w:rsidR="00A732C1" w:rsidRDefault="00A732C1" w:rsidP="00A732C1">
      <w:pPr>
        <w:spacing w:after="0" w:line="360" w:lineRule="auto"/>
        <w:jc w:val="both"/>
        <w:rPr>
          <w:rFonts w:ascii="Times New Roman" w:hAnsi="Times New Roman" w:cs="Times New Roman"/>
          <w:sz w:val="24"/>
          <w:szCs w:val="24"/>
        </w:rPr>
      </w:pPr>
    </w:p>
    <w:p w:rsidR="00A732C1" w:rsidRDefault="00A732C1" w:rsidP="00A732C1">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legal position following on the above settled position is that my order having been appealed against and it being an order of a superior court cannot be executed upon until the appeal is disposed of or unless the respondents in the appeal apply to execute the order pending appeal. Accordingly, there is no legal basis for the applicant to seek a protection order or interdict to stay execution pending appeal. The interdict or protection if one may use the expressions loosely is given</w:t>
      </w:r>
      <w:r w:rsidR="00B416DE">
        <w:rPr>
          <w:rFonts w:ascii="Times New Roman" w:hAnsi="Times New Roman" w:cs="Times New Roman"/>
          <w:sz w:val="24"/>
          <w:szCs w:val="24"/>
        </w:rPr>
        <w:t xml:space="preserve"> in law and already in place. If l were to grant</w:t>
      </w:r>
      <w:r>
        <w:rPr>
          <w:rFonts w:ascii="Times New Roman" w:hAnsi="Times New Roman" w:cs="Times New Roman"/>
          <w:sz w:val="24"/>
          <w:szCs w:val="24"/>
        </w:rPr>
        <w:t xml:space="preserve"> the order, </w:t>
      </w:r>
      <w:r w:rsidR="00D60D21">
        <w:rPr>
          <w:rFonts w:ascii="Times New Roman" w:hAnsi="Times New Roman" w:cs="Times New Roman"/>
          <w:sz w:val="24"/>
          <w:szCs w:val="24"/>
        </w:rPr>
        <w:t>I</w:t>
      </w:r>
      <w:r>
        <w:rPr>
          <w:rFonts w:ascii="Times New Roman" w:hAnsi="Times New Roman" w:cs="Times New Roman"/>
          <w:sz w:val="24"/>
          <w:szCs w:val="24"/>
        </w:rPr>
        <w:t xml:space="preserve"> would simply be restating or </w:t>
      </w:r>
      <w:r>
        <w:rPr>
          <w:rFonts w:ascii="Times New Roman" w:hAnsi="Times New Roman" w:cs="Times New Roman"/>
          <w:sz w:val="24"/>
          <w:szCs w:val="24"/>
        </w:rPr>
        <w:lastRenderedPageBreak/>
        <w:t>endorsing a settled position. It is not the function of a court to do that in the absence of a dispute on the interpretation of the legal position.</w:t>
      </w:r>
    </w:p>
    <w:p w:rsidR="00A732C1" w:rsidRDefault="00A732C1" w:rsidP="00A732C1">
      <w:pPr>
        <w:pStyle w:val="ListParagraph"/>
        <w:numPr>
          <w:ilvl w:val="0"/>
          <w:numId w:val="35"/>
        </w:numPr>
        <w:tabs>
          <w:tab w:val="left" w:pos="720"/>
        </w:tabs>
        <w:spacing w:after="0" w:line="360" w:lineRule="auto"/>
        <w:jc w:val="both"/>
        <w:rPr>
          <w:rFonts w:ascii="Times New Roman" w:hAnsi="Times New Roman" w:cs="Times New Roman"/>
          <w:sz w:val="24"/>
          <w:szCs w:val="24"/>
        </w:rPr>
      </w:pPr>
      <w:r w:rsidRPr="000157E6">
        <w:rPr>
          <w:rFonts w:ascii="Times New Roman" w:hAnsi="Times New Roman" w:cs="Times New Roman"/>
          <w:sz w:val="24"/>
          <w:szCs w:val="24"/>
        </w:rPr>
        <w:t xml:space="preserve">I would have thought that a properly advised legal practitioner would have argued the matter and sought the dismissal of the application on the basis that there was no </w:t>
      </w:r>
      <w:r w:rsidRPr="000157E6">
        <w:rPr>
          <w:rFonts w:ascii="Times New Roman" w:hAnsi="Times New Roman" w:cs="Times New Roman"/>
          <w:sz w:val="24"/>
          <w:szCs w:val="24"/>
        </w:rPr>
        <w:tab/>
        <w:t xml:space="preserve">proper or legally competent application before me. It was not to be with Mr </w:t>
      </w:r>
      <w:r w:rsidRPr="000157E6">
        <w:rPr>
          <w:rFonts w:ascii="Times New Roman" w:hAnsi="Times New Roman" w:cs="Times New Roman"/>
          <w:i/>
          <w:sz w:val="24"/>
          <w:szCs w:val="24"/>
        </w:rPr>
        <w:t>Mutevedzi</w:t>
      </w:r>
      <w:r w:rsidRPr="000157E6">
        <w:rPr>
          <w:rFonts w:ascii="Times New Roman" w:hAnsi="Times New Roman" w:cs="Times New Roman"/>
          <w:sz w:val="24"/>
          <w:szCs w:val="24"/>
        </w:rPr>
        <w:t xml:space="preserve"> for the respondents. He went on at length to argue that the application was not urgent. It is common cause and </w:t>
      </w:r>
      <w:r w:rsidR="00996701" w:rsidRPr="000157E6">
        <w:rPr>
          <w:rFonts w:ascii="Times New Roman" w:hAnsi="Times New Roman" w:cs="Times New Roman"/>
          <w:sz w:val="24"/>
          <w:szCs w:val="24"/>
        </w:rPr>
        <w:t xml:space="preserve">a matter of law, </w:t>
      </w:r>
      <w:r w:rsidRPr="000157E6">
        <w:rPr>
          <w:rFonts w:ascii="Times New Roman" w:hAnsi="Times New Roman" w:cs="Times New Roman"/>
          <w:sz w:val="24"/>
          <w:szCs w:val="24"/>
        </w:rPr>
        <w:t>logic</w:t>
      </w:r>
      <w:r w:rsidR="00996701" w:rsidRPr="000157E6">
        <w:rPr>
          <w:rFonts w:ascii="Times New Roman" w:hAnsi="Times New Roman" w:cs="Times New Roman"/>
          <w:sz w:val="24"/>
          <w:szCs w:val="24"/>
        </w:rPr>
        <w:t xml:space="preserve"> and common sense</w:t>
      </w:r>
      <w:r w:rsidRPr="000157E6">
        <w:rPr>
          <w:rFonts w:ascii="Times New Roman" w:hAnsi="Times New Roman" w:cs="Times New Roman"/>
          <w:sz w:val="24"/>
          <w:szCs w:val="24"/>
        </w:rPr>
        <w:t xml:space="preserve"> that an invalid application is just that.</w:t>
      </w:r>
      <w:r w:rsidR="00996701" w:rsidRPr="000157E6">
        <w:rPr>
          <w:rFonts w:ascii="Times New Roman" w:hAnsi="Times New Roman" w:cs="Times New Roman"/>
          <w:sz w:val="24"/>
          <w:szCs w:val="24"/>
        </w:rPr>
        <w:t xml:space="preserve"> Nothing sits on nothing.</w:t>
      </w:r>
      <w:r w:rsidR="000157E6" w:rsidRPr="000157E6">
        <w:rPr>
          <w:rFonts w:ascii="Times New Roman" w:hAnsi="Times New Roman" w:cs="Times New Roman"/>
          <w:sz w:val="24"/>
          <w:szCs w:val="24"/>
        </w:rPr>
        <w:t xml:space="preserve"> </w:t>
      </w:r>
      <w:r w:rsidRPr="000157E6">
        <w:rPr>
          <w:rFonts w:ascii="Times New Roman" w:hAnsi="Times New Roman" w:cs="Times New Roman"/>
          <w:sz w:val="24"/>
          <w:szCs w:val="24"/>
        </w:rPr>
        <w:t>It is as good as it is not there. Urgency does not come into it because if for example the application was adjudged not urgent, it would have to be referred to the ordinary roll. A nullity is not referred for determination. It is declared to be so and that’s the end of the matter.</w:t>
      </w:r>
    </w:p>
    <w:p w:rsidR="000157E6" w:rsidRPr="000157E6" w:rsidRDefault="000157E6" w:rsidP="000157E6">
      <w:pPr>
        <w:pStyle w:val="ListParagraph"/>
        <w:tabs>
          <w:tab w:val="left" w:pos="720"/>
        </w:tabs>
        <w:spacing w:after="0" w:line="240" w:lineRule="auto"/>
        <w:jc w:val="both"/>
        <w:rPr>
          <w:rFonts w:ascii="Times New Roman" w:hAnsi="Times New Roman" w:cs="Times New Roman"/>
          <w:sz w:val="24"/>
          <w:szCs w:val="24"/>
        </w:rPr>
      </w:pPr>
    </w:p>
    <w:p w:rsidR="00A732C1" w:rsidRDefault="00A732C1" w:rsidP="00A73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FB5C71">
        <w:rPr>
          <w:rFonts w:ascii="Times New Roman" w:hAnsi="Times New Roman" w:cs="Times New Roman"/>
          <w:i/>
          <w:sz w:val="24"/>
          <w:szCs w:val="24"/>
        </w:rPr>
        <w:t>Mutevedzi</w:t>
      </w:r>
      <w:r>
        <w:rPr>
          <w:rFonts w:ascii="Times New Roman" w:hAnsi="Times New Roman" w:cs="Times New Roman"/>
          <w:sz w:val="24"/>
          <w:szCs w:val="24"/>
        </w:rPr>
        <w:t xml:space="preserve"> was not done. He argued that the application was incurably defective as it was not accompanied by Form 29B. He further argued that the appeal notice was defective because it did not bear a High Court stamp. I cannot of course determine the validity of a notice of appeal </w:t>
      </w:r>
      <w:r w:rsidR="00996701">
        <w:rPr>
          <w:rFonts w:ascii="Times New Roman" w:hAnsi="Times New Roman" w:cs="Times New Roman"/>
          <w:sz w:val="24"/>
          <w:szCs w:val="24"/>
        </w:rPr>
        <w:t xml:space="preserve">agreed to be </w:t>
      </w:r>
      <w:r>
        <w:rPr>
          <w:rFonts w:ascii="Times New Roman" w:hAnsi="Times New Roman" w:cs="Times New Roman"/>
          <w:sz w:val="24"/>
          <w:szCs w:val="24"/>
        </w:rPr>
        <w:t>pending in the Supreme Court</w:t>
      </w:r>
      <w:r w:rsidR="00F42C7F">
        <w:rPr>
          <w:rFonts w:ascii="Times New Roman" w:hAnsi="Times New Roman" w:cs="Times New Roman"/>
          <w:sz w:val="24"/>
          <w:szCs w:val="24"/>
        </w:rPr>
        <w:t>. It is for that court to make the determination</w:t>
      </w:r>
      <w:r w:rsidR="00270F4D">
        <w:rPr>
          <w:rFonts w:ascii="Times New Roman" w:hAnsi="Times New Roman" w:cs="Times New Roman"/>
          <w:sz w:val="24"/>
          <w:szCs w:val="24"/>
        </w:rPr>
        <w:t xml:space="preserve">  </w:t>
      </w:r>
      <w:r>
        <w:rPr>
          <w:rFonts w:ascii="Times New Roman" w:hAnsi="Times New Roman" w:cs="Times New Roman"/>
          <w:sz w:val="24"/>
          <w:szCs w:val="24"/>
        </w:rPr>
        <w:t xml:space="preserve">. The argument raised by Mr </w:t>
      </w:r>
      <w:r w:rsidRPr="00BB520B">
        <w:rPr>
          <w:rFonts w:ascii="Times New Roman" w:hAnsi="Times New Roman" w:cs="Times New Roman"/>
          <w:i/>
          <w:sz w:val="24"/>
          <w:szCs w:val="24"/>
        </w:rPr>
        <w:t>Mutevedzi</w:t>
      </w:r>
      <w:r>
        <w:rPr>
          <w:rFonts w:ascii="Times New Roman" w:hAnsi="Times New Roman" w:cs="Times New Roman"/>
          <w:sz w:val="24"/>
          <w:szCs w:val="24"/>
        </w:rPr>
        <w:t xml:space="preserve"> in this regard contradicted his earlier submissions and the deposition of the respondents that they accepted that the order sought to be styed had been appealed against. Mr </w:t>
      </w:r>
      <w:r w:rsidRPr="00BB520B">
        <w:rPr>
          <w:rFonts w:ascii="Times New Roman" w:hAnsi="Times New Roman" w:cs="Times New Roman"/>
          <w:i/>
          <w:sz w:val="24"/>
          <w:szCs w:val="24"/>
        </w:rPr>
        <w:t>Mutevedzi</w:t>
      </w:r>
      <w:r>
        <w:rPr>
          <w:rFonts w:ascii="Times New Roman" w:hAnsi="Times New Roman" w:cs="Times New Roman"/>
          <w:sz w:val="24"/>
          <w:szCs w:val="24"/>
        </w:rPr>
        <w:t xml:space="preserve"> was not done, he then attacked the authority of the deponent to the founding affidavit to represent the applicant.</w:t>
      </w:r>
    </w:p>
    <w:p w:rsidR="00A732C1" w:rsidRPr="00A732C1" w:rsidRDefault="00A732C1" w:rsidP="00A732C1">
      <w:pPr>
        <w:pStyle w:val="ListParagraph"/>
        <w:numPr>
          <w:ilvl w:val="0"/>
          <w:numId w:val="35"/>
        </w:numPr>
        <w:spacing w:after="0" w:line="360" w:lineRule="auto"/>
        <w:rPr>
          <w:rFonts w:ascii="Times New Roman" w:hAnsi="Times New Roman" w:cs="Times New Roman"/>
          <w:sz w:val="24"/>
          <w:szCs w:val="24"/>
        </w:rPr>
      </w:pPr>
      <w:r w:rsidRPr="00A732C1">
        <w:rPr>
          <w:rFonts w:ascii="Times New Roman" w:hAnsi="Times New Roman" w:cs="Times New Roman"/>
          <w:sz w:val="24"/>
          <w:szCs w:val="24"/>
        </w:rPr>
        <w:t xml:space="preserve">For his part the applicant’s counsel did not adopt a grandstanding approach. Mr </w:t>
      </w:r>
      <w:r w:rsidRPr="00A732C1">
        <w:rPr>
          <w:rFonts w:ascii="Times New Roman" w:hAnsi="Times New Roman" w:cs="Times New Roman"/>
          <w:i/>
          <w:sz w:val="24"/>
          <w:szCs w:val="24"/>
        </w:rPr>
        <w:t>Hashiti</w:t>
      </w:r>
      <w:r w:rsidRPr="00A732C1">
        <w:rPr>
          <w:rFonts w:ascii="Times New Roman" w:hAnsi="Times New Roman" w:cs="Times New Roman"/>
          <w:sz w:val="24"/>
          <w:szCs w:val="24"/>
        </w:rPr>
        <w:t xml:space="preserve"> sought to depart f</w:t>
      </w:r>
      <w:r w:rsidR="00996701">
        <w:rPr>
          <w:rFonts w:ascii="Times New Roman" w:hAnsi="Times New Roman" w:cs="Times New Roman"/>
          <w:sz w:val="24"/>
          <w:szCs w:val="24"/>
        </w:rPr>
        <w:t>ro</w:t>
      </w:r>
      <w:r w:rsidRPr="00A732C1">
        <w:rPr>
          <w:rFonts w:ascii="Times New Roman" w:hAnsi="Times New Roman" w:cs="Times New Roman"/>
          <w:sz w:val="24"/>
          <w:szCs w:val="24"/>
        </w:rPr>
        <w:t xml:space="preserve">m the thrust of the application and submitted that the applicant’s concern was that it risked having its business adversely affected by an attachment of its aircraft or other property. He tendered the applicant’s resolution to </w:t>
      </w:r>
      <w:r w:rsidRPr="00A732C1">
        <w:rPr>
          <w:rFonts w:ascii="Times New Roman" w:hAnsi="Times New Roman" w:cs="Times New Roman"/>
          <w:sz w:val="24"/>
          <w:szCs w:val="24"/>
        </w:rPr>
        <w:tab/>
        <w:t>provide</w:t>
      </w:r>
      <w:r>
        <w:rPr>
          <w:rFonts w:ascii="Times New Roman" w:hAnsi="Times New Roman" w:cs="Times New Roman"/>
          <w:sz w:val="24"/>
          <w:szCs w:val="24"/>
        </w:rPr>
        <w:t xml:space="preserve"> </w:t>
      </w:r>
      <w:r w:rsidR="00996701">
        <w:rPr>
          <w:rFonts w:ascii="Times New Roman" w:hAnsi="Times New Roman" w:cs="Times New Roman"/>
          <w:sz w:val="24"/>
          <w:szCs w:val="24"/>
        </w:rPr>
        <w:t xml:space="preserve">a </w:t>
      </w:r>
      <w:r w:rsidRPr="00A732C1">
        <w:rPr>
          <w:rFonts w:ascii="Times New Roman" w:hAnsi="Times New Roman" w:cs="Times New Roman"/>
          <w:sz w:val="24"/>
          <w:szCs w:val="24"/>
        </w:rPr>
        <w:t xml:space="preserve">bank guarantee in the sum of US$25 000-00 as security for </w:t>
      </w:r>
      <w:r w:rsidR="00996701">
        <w:rPr>
          <w:rFonts w:ascii="Times New Roman" w:hAnsi="Times New Roman" w:cs="Times New Roman"/>
          <w:sz w:val="24"/>
          <w:szCs w:val="24"/>
        </w:rPr>
        <w:t>its</w:t>
      </w:r>
      <w:r w:rsidRPr="00A732C1">
        <w:rPr>
          <w:rFonts w:ascii="Times New Roman" w:hAnsi="Times New Roman" w:cs="Times New Roman"/>
          <w:sz w:val="24"/>
          <w:szCs w:val="24"/>
        </w:rPr>
        <w:t xml:space="preserve"> due submission to jurisdiction of the court. The offer was refused by the respondents’ counsel who argued for the dismissal of the application. When I asked Mr </w:t>
      </w:r>
      <w:r w:rsidRPr="00A732C1">
        <w:rPr>
          <w:rFonts w:ascii="Times New Roman" w:hAnsi="Times New Roman" w:cs="Times New Roman"/>
          <w:i/>
          <w:sz w:val="24"/>
          <w:szCs w:val="24"/>
        </w:rPr>
        <w:t>Mutevedzi</w:t>
      </w:r>
      <w:r w:rsidRPr="00A732C1">
        <w:rPr>
          <w:rFonts w:ascii="Times New Roman" w:hAnsi="Times New Roman" w:cs="Times New Roman"/>
          <w:sz w:val="24"/>
          <w:szCs w:val="24"/>
        </w:rPr>
        <w:t xml:space="preserve"> whether he did not consider that the interests of the respondents would be better served by a consensus between the parties on the submission to jurisdiction by consent </w:t>
      </w:r>
      <w:r w:rsidR="00996701">
        <w:rPr>
          <w:rFonts w:ascii="Times New Roman" w:hAnsi="Times New Roman" w:cs="Times New Roman"/>
          <w:sz w:val="24"/>
          <w:szCs w:val="24"/>
        </w:rPr>
        <w:t>secured</w:t>
      </w:r>
      <w:r w:rsidRPr="00A732C1">
        <w:rPr>
          <w:rFonts w:ascii="Times New Roman" w:hAnsi="Times New Roman" w:cs="Times New Roman"/>
          <w:sz w:val="24"/>
          <w:szCs w:val="24"/>
        </w:rPr>
        <w:t xml:space="preserve"> a bank guarantee or other security, he </w:t>
      </w:r>
      <w:r w:rsidRPr="00A732C1">
        <w:rPr>
          <w:rFonts w:ascii="Times New Roman" w:hAnsi="Times New Roman" w:cs="Times New Roman"/>
          <w:sz w:val="24"/>
          <w:szCs w:val="24"/>
        </w:rPr>
        <w:lastRenderedPageBreak/>
        <w:t xml:space="preserve">was adamant that the application should just be dismissed. Mr </w:t>
      </w:r>
      <w:r w:rsidRPr="00A732C1">
        <w:rPr>
          <w:rFonts w:ascii="Times New Roman" w:hAnsi="Times New Roman" w:cs="Times New Roman"/>
          <w:i/>
          <w:sz w:val="24"/>
          <w:szCs w:val="24"/>
        </w:rPr>
        <w:t>Hashiti</w:t>
      </w:r>
      <w:r w:rsidRPr="00A732C1">
        <w:rPr>
          <w:rFonts w:ascii="Times New Roman" w:hAnsi="Times New Roman" w:cs="Times New Roman"/>
          <w:sz w:val="24"/>
          <w:szCs w:val="24"/>
        </w:rPr>
        <w:t>’s position was that a mutual agreement on the issue would have dispensed with the appeal thus opening doors for the respondents to immediately institute action. Although these submissions were being made in the course of the hearing, the issue was not before me and I could not make any determination thereon and will not do so in view of my finding that the application before me is incompetent at law in the circumstances of the existence of a pending validity noted appeal.</w:t>
      </w:r>
    </w:p>
    <w:p w:rsidR="00D60D21" w:rsidRDefault="00A732C1" w:rsidP="00D60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732C1" w:rsidRDefault="00D60D21" w:rsidP="00A73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32C1">
        <w:rPr>
          <w:rFonts w:ascii="Times New Roman" w:hAnsi="Times New Roman" w:cs="Times New Roman"/>
          <w:sz w:val="24"/>
          <w:szCs w:val="24"/>
        </w:rPr>
        <w:t xml:space="preserve">I should express my disquiet at the poor standard of understanding </w:t>
      </w:r>
      <w:r w:rsidR="00996701">
        <w:rPr>
          <w:rFonts w:ascii="Times New Roman" w:hAnsi="Times New Roman" w:cs="Times New Roman"/>
          <w:sz w:val="24"/>
          <w:szCs w:val="24"/>
        </w:rPr>
        <w:t xml:space="preserve">of </w:t>
      </w:r>
      <w:r w:rsidR="00A732C1">
        <w:rPr>
          <w:rFonts w:ascii="Times New Roman" w:hAnsi="Times New Roman" w:cs="Times New Roman"/>
          <w:sz w:val="24"/>
          <w:szCs w:val="24"/>
        </w:rPr>
        <w:t xml:space="preserve">basic law principles by the applicants’ instructing legal practitioner and by Mr </w:t>
      </w:r>
      <w:r w:rsidR="00A732C1" w:rsidRPr="00BB520B">
        <w:rPr>
          <w:rFonts w:ascii="Times New Roman" w:hAnsi="Times New Roman" w:cs="Times New Roman"/>
          <w:i/>
          <w:sz w:val="24"/>
          <w:szCs w:val="24"/>
        </w:rPr>
        <w:t>Mutevedzi.</w:t>
      </w:r>
      <w:r w:rsidR="00A732C1">
        <w:rPr>
          <w:rFonts w:ascii="Times New Roman" w:hAnsi="Times New Roman" w:cs="Times New Roman"/>
          <w:sz w:val="24"/>
          <w:szCs w:val="24"/>
        </w:rPr>
        <w:t xml:space="preserve"> It is not expected that </w:t>
      </w:r>
      <w:r w:rsidR="00996701">
        <w:rPr>
          <w:rFonts w:ascii="Times New Roman" w:hAnsi="Times New Roman" w:cs="Times New Roman"/>
          <w:sz w:val="24"/>
          <w:szCs w:val="24"/>
        </w:rPr>
        <w:t>an</w:t>
      </w:r>
      <w:r w:rsidR="00A732C1">
        <w:rPr>
          <w:rFonts w:ascii="Times New Roman" w:hAnsi="Times New Roman" w:cs="Times New Roman"/>
          <w:sz w:val="24"/>
          <w:szCs w:val="24"/>
        </w:rPr>
        <w:t xml:space="preserve">y astute legal practitioner would not appreciate that the noted appeal unless set aside or the appeal determined was a bar to execution of my order. Sustained arguments by Mr </w:t>
      </w:r>
      <w:r w:rsidR="00A732C1" w:rsidRPr="00BB520B">
        <w:rPr>
          <w:rFonts w:ascii="Times New Roman" w:hAnsi="Times New Roman" w:cs="Times New Roman"/>
          <w:i/>
          <w:sz w:val="24"/>
          <w:szCs w:val="24"/>
        </w:rPr>
        <w:t>Mutevedzi</w:t>
      </w:r>
      <w:r w:rsidR="00A732C1">
        <w:rPr>
          <w:rFonts w:ascii="Times New Roman" w:hAnsi="Times New Roman" w:cs="Times New Roman"/>
          <w:sz w:val="24"/>
          <w:szCs w:val="24"/>
        </w:rPr>
        <w:t xml:space="preserve"> on issues which did not contribute to the determination of a simple legal issue, namely whether there was a valid application before the court in the face of the appeal was an indictment on his ability to grasp the issue</w:t>
      </w:r>
      <w:r w:rsidR="00996701">
        <w:rPr>
          <w:rFonts w:ascii="Times New Roman" w:hAnsi="Times New Roman" w:cs="Times New Roman"/>
          <w:sz w:val="24"/>
          <w:szCs w:val="24"/>
        </w:rPr>
        <w:t xml:space="preserve"> at play</w:t>
      </w:r>
      <w:r w:rsidR="00A732C1">
        <w:rPr>
          <w:rFonts w:ascii="Times New Roman" w:hAnsi="Times New Roman" w:cs="Times New Roman"/>
          <w:sz w:val="24"/>
          <w:szCs w:val="24"/>
        </w:rPr>
        <w:t xml:space="preserve">. A legal practitioner should identify the issue or issues for determination and focus on them. Grand standing before a court or judge hardly </w:t>
      </w:r>
      <w:r w:rsidR="00996701">
        <w:rPr>
          <w:rFonts w:ascii="Times New Roman" w:hAnsi="Times New Roman" w:cs="Times New Roman"/>
          <w:sz w:val="24"/>
          <w:szCs w:val="24"/>
        </w:rPr>
        <w:t xml:space="preserve">impresses nor does it </w:t>
      </w:r>
      <w:r w:rsidR="00A732C1">
        <w:rPr>
          <w:rFonts w:ascii="Times New Roman" w:hAnsi="Times New Roman" w:cs="Times New Roman"/>
          <w:sz w:val="24"/>
          <w:szCs w:val="24"/>
        </w:rPr>
        <w:t>make a good legal practitioner.</w:t>
      </w:r>
    </w:p>
    <w:p w:rsidR="00A732C1" w:rsidRDefault="00A732C1" w:rsidP="00A73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seriously considered depriving the legal practitioners of their costs as a mark of the courts displeasure at the legal practitioners’ basic lack of diligent execution of their mandates. Mr </w:t>
      </w:r>
      <w:r w:rsidRPr="00BB520B">
        <w:rPr>
          <w:rFonts w:ascii="Times New Roman" w:hAnsi="Times New Roman" w:cs="Times New Roman"/>
          <w:i/>
          <w:sz w:val="24"/>
          <w:szCs w:val="24"/>
        </w:rPr>
        <w:t>Musimwa</w:t>
      </w:r>
      <w:r>
        <w:rPr>
          <w:rFonts w:ascii="Times New Roman" w:hAnsi="Times New Roman" w:cs="Times New Roman"/>
          <w:sz w:val="24"/>
          <w:szCs w:val="24"/>
        </w:rPr>
        <w:t xml:space="preserve">’s failure to appreciate that the application was a nullity and Mr </w:t>
      </w:r>
      <w:r w:rsidRPr="00BB520B">
        <w:rPr>
          <w:rFonts w:ascii="Times New Roman" w:hAnsi="Times New Roman" w:cs="Times New Roman"/>
          <w:i/>
          <w:sz w:val="24"/>
          <w:szCs w:val="24"/>
        </w:rPr>
        <w:t>Mutevedzi</w:t>
      </w:r>
      <w:r>
        <w:rPr>
          <w:rFonts w:ascii="Times New Roman" w:hAnsi="Times New Roman" w:cs="Times New Roman"/>
          <w:sz w:val="24"/>
          <w:szCs w:val="24"/>
        </w:rPr>
        <w:t xml:space="preserve">’s lack of appreciation of issues and arguing </w:t>
      </w:r>
      <w:r w:rsidRPr="002A58BF">
        <w:rPr>
          <w:rFonts w:ascii="Times New Roman" w:hAnsi="Times New Roman" w:cs="Times New Roman"/>
          <w:i/>
          <w:sz w:val="24"/>
          <w:szCs w:val="24"/>
        </w:rPr>
        <w:t>ad infinitum</w:t>
      </w:r>
      <w:r>
        <w:rPr>
          <w:rFonts w:ascii="Times New Roman" w:hAnsi="Times New Roman" w:cs="Times New Roman"/>
          <w:sz w:val="24"/>
          <w:szCs w:val="24"/>
        </w:rPr>
        <w:t xml:space="preserve"> o</w:t>
      </w:r>
      <w:r w:rsidR="00996701">
        <w:rPr>
          <w:rFonts w:ascii="Times New Roman" w:hAnsi="Times New Roman" w:cs="Times New Roman"/>
          <w:sz w:val="24"/>
          <w:szCs w:val="24"/>
        </w:rPr>
        <w:t>n</w:t>
      </w:r>
      <w:r>
        <w:rPr>
          <w:rFonts w:ascii="Times New Roman" w:hAnsi="Times New Roman" w:cs="Times New Roman"/>
          <w:sz w:val="24"/>
          <w:szCs w:val="24"/>
        </w:rPr>
        <w:t xml:space="preserve"> matters arising from an invalid application presented a serious indictment on the sinking levels of competence of some legal practitioners. I could not properly determine whether or not to deprive the legal practitioners of their costs as I did not hear them on the matter.  </w:t>
      </w:r>
      <w:r w:rsidR="00996701">
        <w:rPr>
          <w:rFonts w:ascii="Times New Roman" w:hAnsi="Times New Roman" w:cs="Times New Roman"/>
          <w:sz w:val="24"/>
          <w:szCs w:val="24"/>
        </w:rPr>
        <w:t>It was a thought which played on my mind as l prepared these reasons for judgment.</w:t>
      </w:r>
    </w:p>
    <w:p w:rsidR="00A732C1" w:rsidRDefault="00A732C1" w:rsidP="00A73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must in dismissing this application determine the question of costs. The general rule is that costs follow the result. This notwithstanding</w:t>
      </w:r>
      <w:r w:rsidR="00996701">
        <w:rPr>
          <w:rFonts w:ascii="Times New Roman" w:hAnsi="Times New Roman" w:cs="Times New Roman"/>
          <w:sz w:val="24"/>
          <w:szCs w:val="24"/>
        </w:rPr>
        <w:t>,</w:t>
      </w:r>
      <w:r>
        <w:rPr>
          <w:rFonts w:ascii="Times New Roman" w:hAnsi="Times New Roman" w:cs="Times New Roman"/>
          <w:sz w:val="24"/>
          <w:szCs w:val="24"/>
        </w:rPr>
        <w:t xml:space="preserve"> costs are awarded in the discretion of the court and as with any other discretion, it is exercised judiciously. The principles which the court considers </w:t>
      </w:r>
      <w:r w:rsidR="00996701">
        <w:rPr>
          <w:rFonts w:ascii="Times New Roman" w:hAnsi="Times New Roman" w:cs="Times New Roman"/>
          <w:sz w:val="24"/>
          <w:szCs w:val="24"/>
        </w:rPr>
        <w:t>include</w:t>
      </w:r>
      <w:r>
        <w:rPr>
          <w:rFonts w:ascii="Times New Roman" w:hAnsi="Times New Roman" w:cs="Times New Roman"/>
          <w:sz w:val="24"/>
          <w:szCs w:val="24"/>
        </w:rPr>
        <w:t xml:space="preserve">, the conduct of the parties before and during the hearing, whether a party has </w:t>
      </w:r>
      <w:r>
        <w:rPr>
          <w:rFonts w:ascii="Times New Roman" w:hAnsi="Times New Roman" w:cs="Times New Roman"/>
          <w:sz w:val="24"/>
          <w:szCs w:val="24"/>
        </w:rPr>
        <w:lastRenderedPageBreak/>
        <w:t xml:space="preserve">been wholly or partially successful, whether a party has offered to settle the matter and any other pertinent circumstances. See </w:t>
      </w:r>
      <w:r>
        <w:rPr>
          <w:rFonts w:ascii="Times New Roman" w:hAnsi="Times New Roman" w:cs="Times New Roman"/>
          <w:i/>
          <w:sz w:val="24"/>
          <w:szCs w:val="24"/>
        </w:rPr>
        <w:t xml:space="preserve">Manica Zimbabwe Ltd </w:t>
      </w:r>
      <w:r>
        <w:rPr>
          <w:rFonts w:ascii="Times New Roman" w:hAnsi="Times New Roman" w:cs="Times New Roman"/>
          <w:sz w:val="24"/>
          <w:szCs w:val="24"/>
        </w:rPr>
        <w:t xml:space="preserve">v </w:t>
      </w:r>
      <w:r>
        <w:rPr>
          <w:rFonts w:ascii="Times New Roman" w:hAnsi="Times New Roman" w:cs="Times New Roman"/>
          <w:i/>
          <w:sz w:val="24"/>
          <w:szCs w:val="24"/>
        </w:rPr>
        <w:t xml:space="preserve">Grindsberg Inv. (Pvt) Ltd &amp; Ors </w:t>
      </w:r>
      <w:r>
        <w:rPr>
          <w:rFonts w:ascii="Times New Roman" w:hAnsi="Times New Roman" w:cs="Times New Roman"/>
          <w:sz w:val="24"/>
          <w:szCs w:val="24"/>
        </w:rPr>
        <w:t xml:space="preserve">HH 95/16. In </w:t>
      </w:r>
      <w:r w:rsidRPr="00FF0D3A">
        <w:rPr>
          <w:rFonts w:ascii="Times New Roman" w:hAnsi="Times New Roman" w:cs="Times New Roman"/>
          <w:i/>
          <w:sz w:val="24"/>
          <w:szCs w:val="24"/>
        </w:rPr>
        <w:t>casu,</w:t>
      </w:r>
      <w:r>
        <w:rPr>
          <w:rFonts w:ascii="Times New Roman" w:hAnsi="Times New Roman" w:cs="Times New Roman"/>
          <w:sz w:val="24"/>
          <w:szCs w:val="24"/>
        </w:rPr>
        <w:t xml:space="preserve"> considering all the matters over which I have expressed the court’s disquiet informed by what is clearly ineptitude by its officers, Mr </w:t>
      </w:r>
      <w:r w:rsidRPr="00FF0D3A">
        <w:rPr>
          <w:rFonts w:ascii="Times New Roman" w:hAnsi="Times New Roman" w:cs="Times New Roman"/>
          <w:i/>
          <w:sz w:val="24"/>
          <w:szCs w:val="24"/>
        </w:rPr>
        <w:t xml:space="preserve">Hashiti </w:t>
      </w:r>
      <w:r>
        <w:rPr>
          <w:rFonts w:ascii="Times New Roman" w:hAnsi="Times New Roman" w:cs="Times New Roman"/>
          <w:sz w:val="24"/>
          <w:szCs w:val="24"/>
        </w:rPr>
        <w:t xml:space="preserve">excluded, an order that each party bears its own costs would have been appropriate. In view however of the fact that the applicant’s application is not supported in law, the filing of the </w:t>
      </w:r>
      <w:r w:rsidR="00826954">
        <w:rPr>
          <w:rFonts w:ascii="Times New Roman" w:hAnsi="Times New Roman" w:cs="Times New Roman"/>
          <w:sz w:val="24"/>
          <w:szCs w:val="24"/>
        </w:rPr>
        <w:t>ill-advised</w:t>
      </w:r>
      <w:r>
        <w:rPr>
          <w:rFonts w:ascii="Times New Roman" w:hAnsi="Times New Roman" w:cs="Times New Roman"/>
          <w:sz w:val="24"/>
          <w:szCs w:val="24"/>
        </w:rPr>
        <w:t xml:space="preserve"> application is the one which set into motion all that followed it culminating in the court’s time being wasted as well. </w:t>
      </w:r>
    </w:p>
    <w:p w:rsidR="00A732C1" w:rsidRDefault="00A732C1" w:rsidP="00A73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appropriate order under the circumstances is that the application be and is hereby dismissed with costs.</w:t>
      </w:r>
    </w:p>
    <w:p w:rsidR="00A732C1" w:rsidRDefault="00A732C1" w:rsidP="00A732C1">
      <w:pPr>
        <w:spacing w:after="0" w:line="360" w:lineRule="auto"/>
        <w:jc w:val="both"/>
        <w:rPr>
          <w:rFonts w:ascii="Times New Roman" w:hAnsi="Times New Roman" w:cs="Times New Roman"/>
          <w:sz w:val="24"/>
          <w:szCs w:val="24"/>
        </w:rPr>
      </w:pPr>
    </w:p>
    <w:p w:rsidR="00A732C1" w:rsidRDefault="00A732C1" w:rsidP="00A732C1">
      <w:pPr>
        <w:spacing w:after="0" w:line="360" w:lineRule="auto"/>
        <w:jc w:val="both"/>
        <w:rPr>
          <w:rFonts w:ascii="Times New Roman" w:hAnsi="Times New Roman" w:cs="Times New Roman"/>
          <w:sz w:val="24"/>
          <w:szCs w:val="24"/>
        </w:rPr>
      </w:pPr>
    </w:p>
    <w:p w:rsidR="00A732C1" w:rsidRDefault="00A732C1" w:rsidP="00A732C1">
      <w:pPr>
        <w:spacing w:after="0" w:line="360" w:lineRule="auto"/>
        <w:jc w:val="both"/>
        <w:rPr>
          <w:rFonts w:ascii="Times New Roman" w:hAnsi="Times New Roman" w:cs="Times New Roman"/>
          <w:sz w:val="24"/>
          <w:szCs w:val="24"/>
        </w:rPr>
      </w:pPr>
    </w:p>
    <w:p w:rsidR="00A732C1" w:rsidRDefault="00A732C1" w:rsidP="00A732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Musimwa &amp; Associates,</w:t>
      </w:r>
      <w:r>
        <w:rPr>
          <w:rFonts w:ascii="Times New Roman" w:hAnsi="Times New Roman" w:cs="Times New Roman"/>
          <w:sz w:val="24"/>
          <w:szCs w:val="24"/>
        </w:rPr>
        <w:t xml:space="preserve"> applicants’ legal practitioners</w:t>
      </w:r>
    </w:p>
    <w:p w:rsidR="00A732C1" w:rsidRDefault="00A732C1" w:rsidP="00A732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Mutamangira &amp; Associates, </w:t>
      </w:r>
      <w:r>
        <w:rPr>
          <w:rFonts w:ascii="Times New Roman" w:hAnsi="Times New Roman" w:cs="Times New Roman"/>
          <w:sz w:val="24"/>
          <w:szCs w:val="24"/>
        </w:rPr>
        <w:t>respondents’ legal practitioners</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A732C1" w:rsidRPr="001E20A7" w:rsidRDefault="00A732C1" w:rsidP="00A73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732C1" w:rsidRPr="00F20683" w:rsidRDefault="00A732C1" w:rsidP="00A732C1">
      <w:pPr>
        <w:spacing w:after="0" w:line="240" w:lineRule="auto"/>
        <w:ind w:left="720"/>
        <w:jc w:val="both"/>
        <w:rPr>
          <w:rFonts w:ascii="Times New Roman" w:hAnsi="Times New Roman" w:cs="Times New Roman"/>
          <w:sz w:val="24"/>
          <w:szCs w:val="24"/>
        </w:rPr>
      </w:pPr>
      <w:r w:rsidRPr="00642BAC">
        <w:rPr>
          <w:rFonts w:ascii="Times New Roman" w:hAnsi="Times New Roman" w:cs="Times New Roman"/>
          <w:b/>
        </w:rPr>
        <w:t xml:space="preserve"> </w:t>
      </w:r>
      <w:r w:rsidRPr="00642BAC">
        <w:rPr>
          <w:rFonts w:ascii="Times New Roman" w:hAnsi="Times New Roman" w:cs="Times New Roman"/>
          <w:b/>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A732C1" w:rsidRPr="00A732C1" w:rsidRDefault="00A732C1" w:rsidP="00A732C1">
      <w:pPr>
        <w:spacing w:after="0" w:line="360" w:lineRule="auto"/>
        <w:jc w:val="both"/>
        <w:rPr>
          <w:rFonts w:ascii="Times New Roman" w:hAnsi="Times New Roman" w:cs="Times New Roman"/>
          <w:sz w:val="24"/>
          <w:szCs w:val="24"/>
        </w:rPr>
      </w:pPr>
    </w:p>
    <w:p w:rsidR="00906B74" w:rsidRPr="0014527A" w:rsidRDefault="00906B74" w:rsidP="001452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01650" w:rsidRPr="004B7D31" w:rsidRDefault="00E01650" w:rsidP="004B7D31">
      <w:pPr>
        <w:spacing w:after="0" w:line="360" w:lineRule="auto"/>
        <w:jc w:val="both"/>
        <w:rPr>
          <w:rFonts w:ascii="Times New Roman" w:hAnsi="Times New Roman" w:cs="Times New Roman"/>
          <w:sz w:val="24"/>
          <w:szCs w:val="24"/>
        </w:rPr>
      </w:pPr>
    </w:p>
    <w:sectPr w:rsidR="00E01650" w:rsidRPr="004B7D31"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124" w:rsidRDefault="00C62124" w:rsidP="00252CCA">
      <w:pPr>
        <w:spacing w:after="0" w:line="240" w:lineRule="auto"/>
      </w:pPr>
      <w:r>
        <w:separator/>
      </w:r>
    </w:p>
  </w:endnote>
  <w:endnote w:type="continuationSeparator" w:id="0">
    <w:p w:rsidR="00C62124" w:rsidRDefault="00C62124" w:rsidP="0025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124" w:rsidRDefault="00C62124" w:rsidP="00252CCA">
      <w:pPr>
        <w:spacing w:after="0" w:line="240" w:lineRule="auto"/>
      </w:pPr>
      <w:r>
        <w:separator/>
      </w:r>
    </w:p>
  </w:footnote>
  <w:footnote w:type="continuationSeparator" w:id="0">
    <w:p w:rsidR="00C62124" w:rsidRDefault="00C62124" w:rsidP="00252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025501"/>
      <w:docPartObj>
        <w:docPartGallery w:val="Page Numbers (Top of Page)"/>
        <w:docPartUnique/>
      </w:docPartObj>
    </w:sdtPr>
    <w:sdtEndPr>
      <w:rPr>
        <w:noProof/>
      </w:rPr>
    </w:sdtEndPr>
    <w:sdtContent>
      <w:p w:rsidR="00252CCA" w:rsidRDefault="00252CCA">
        <w:pPr>
          <w:pStyle w:val="Header"/>
          <w:jc w:val="right"/>
          <w:rPr>
            <w:noProof/>
          </w:rPr>
        </w:pPr>
        <w:r>
          <w:fldChar w:fldCharType="begin"/>
        </w:r>
        <w:r>
          <w:instrText xml:space="preserve"> PAGE   \* MERGEFORMAT </w:instrText>
        </w:r>
        <w:r>
          <w:fldChar w:fldCharType="separate"/>
        </w:r>
        <w:r w:rsidR="0050550E">
          <w:rPr>
            <w:noProof/>
          </w:rPr>
          <w:t>9</w:t>
        </w:r>
        <w:r>
          <w:rPr>
            <w:noProof/>
          </w:rPr>
          <w:fldChar w:fldCharType="end"/>
        </w:r>
      </w:p>
      <w:p w:rsidR="00252CCA" w:rsidRDefault="00252CCA">
        <w:pPr>
          <w:pStyle w:val="Header"/>
          <w:jc w:val="right"/>
          <w:rPr>
            <w:noProof/>
          </w:rPr>
        </w:pPr>
        <w:r>
          <w:rPr>
            <w:noProof/>
          </w:rPr>
          <w:t>HH</w:t>
        </w:r>
        <w:r w:rsidR="002F55C7">
          <w:rPr>
            <w:noProof/>
          </w:rPr>
          <w:t xml:space="preserve"> 520/18</w:t>
        </w:r>
      </w:p>
      <w:p w:rsidR="00BE11D6" w:rsidRDefault="00BE11D6">
        <w:pPr>
          <w:pStyle w:val="Header"/>
          <w:jc w:val="right"/>
          <w:rPr>
            <w:noProof/>
          </w:rPr>
        </w:pPr>
        <w:r>
          <w:rPr>
            <w:noProof/>
          </w:rPr>
          <w:t>HC 6573/18</w:t>
        </w:r>
      </w:p>
      <w:p w:rsidR="00BE11D6" w:rsidRDefault="00BE11D6">
        <w:pPr>
          <w:pStyle w:val="Header"/>
          <w:jc w:val="right"/>
          <w:rPr>
            <w:noProof/>
          </w:rPr>
        </w:pPr>
        <w:r>
          <w:rPr>
            <w:noProof/>
          </w:rPr>
          <w:t>REF CASE NO. HC 2355/18</w:t>
        </w:r>
      </w:p>
      <w:p w:rsidR="00252CCA" w:rsidRDefault="00BE11D6">
        <w:pPr>
          <w:pStyle w:val="Header"/>
          <w:jc w:val="right"/>
        </w:pPr>
        <w:r>
          <w:rPr>
            <w:noProof/>
          </w:rPr>
          <w:t>REF CASE NO. HC 5808/18</w:t>
        </w:r>
      </w:p>
    </w:sdtContent>
  </w:sdt>
  <w:p w:rsidR="00252CCA" w:rsidRDefault="00252C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234"/>
    <w:multiLevelType w:val="hybridMultilevel"/>
    <w:tmpl w:val="17BE383A"/>
    <w:lvl w:ilvl="0" w:tplc="DDC68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E6CEF"/>
    <w:multiLevelType w:val="hybridMultilevel"/>
    <w:tmpl w:val="468261F6"/>
    <w:lvl w:ilvl="0" w:tplc="7BC4976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02AC3787"/>
    <w:multiLevelType w:val="hybridMultilevel"/>
    <w:tmpl w:val="E74C0706"/>
    <w:lvl w:ilvl="0" w:tplc="CC462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6F5AB6"/>
    <w:multiLevelType w:val="hybridMultilevel"/>
    <w:tmpl w:val="971CA24E"/>
    <w:lvl w:ilvl="0" w:tplc="395CF1E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9702BBD"/>
    <w:multiLevelType w:val="hybridMultilevel"/>
    <w:tmpl w:val="56F68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96B53"/>
    <w:multiLevelType w:val="hybridMultilevel"/>
    <w:tmpl w:val="6AD02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E5399"/>
    <w:multiLevelType w:val="hybridMultilevel"/>
    <w:tmpl w:val="CC14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05E31"/>
    <w:multiLevelType w:val="hybridMultilevel"/>
    <w:tmpl w:val="2D28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152F5"/>
    <w:multiLevelType w:val="hybridMultilevel"/>
    <w:tmpl w:val="ACA277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900A9"/>
    <w:multiLevelType w:val="hybridMultilevel"/>
    <w:tmpl w:val="F794B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1523A"/>
    <w:multiLevelType w:val="hybridMultilevel"/>
    <w:tmpl w:val="1DE09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01463"/>
    <w:multiLevelType w:val="hybridMultilevel"/>
    <w:tmpl w:val="7DD02228"/>
    <w:lvl w:ilvl="0" w:tplc="AB1E11E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247D0302"/>
    <w:multiLevelType w:val="hybridMultilevel"/>
    <w:tmpl w:val="486014D4"/>
    <w:lvl w:ilvl="0" w:tplc="B8AACE26">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3" w15:restartNumberingAfterBreak="0">
    <w:nsid w:val="259B6B4F"/>
    <w:multiLevelType w:val="hybridMultilevel"/>
    <w:tmpl w:val="906AC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204B8"/>
    <w:multiLevelType w:val="hybridMultilevel"/>
    <w:tmpl w:val="8F649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A7A49"/>
    <w:multiLevelType w:val="hybridMultilevel"/>
    <w:tmpl w:val="2B8E6BA8"/>
    <w:lvl w:ilvl="0" w:tplc="BA7EF8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55635"/>
    <w:multiLevelType w:val="hybridMultilevel"/>
    <w:tmpl w:val="547ED3FC"/>
    <w:lvl w:ilvl="0" w:tplc="CC00D150">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82496"/>
    <w:multiLevelType w:val="hybridMultilevel"/>
    <w:tmpl w:val="6ED43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B920E4"/>
    <w:multiLevelType w:val="hybridMultilevel"/>
    <w:tmpl w:val="91086150"/>
    <w:lvl w:ilvl="0" w:tplc="EA704E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2F235E"/>
    <w:multiLevelType w:val="hybridMultilevel"/>
    <w:tmpl w:val="90A451C8"/>
    <w:lvl w:ilvl="0" w:tplc="42DAF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7530D5"/>
    <w:multiLevelType w:val="hybridMultilevel"/>
    <w:tmpl w:val="2BD4E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927C19"/>
    <w:multiLevelType w:val="hybridMultilevel"/>
    <w:tmpl w:val="8B2E03B0"/>
    <w:lvl w:ilvl="0" w:tplc="79D0A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227F70"/>
    <w:multiLevelType w:val="hybridMultilevel"/>
    <w:tmpl w:val="5F5E08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E51F27"/>
    <w:multiLevelType w:val="hybridMultilevel"/>
    <w:tmpl w:val="6B96B0F8"/>
    <w:lvl w:ilvl="0" w:tplc="D43EE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E3C4D"/>
    <w:multiLevelType w:val="hybridMultilevel"/>
    <w:tmpl w:val="47A848DC"/>
    <w:lvl w:ilvl="0" w:tplc="12ACA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06A72"/>
    <w:multiLevelType w:val="hybridMultilevel"/>
    <w:tmpl w:val="F43A0A68"/>
    <w:lvl w:ilvl="0" w:tplc="1F56991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15:restartNumberingAfterBreak="0">
    <w:nsid w:val="6B0D1796"/>
    <w:multiLevelType w:val="hybridMultilevel"/>
    <w:tmpl w:val="FB5A332A"/>
    <w:lvl w:ilvl="0" w:tplc="807463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62C3854"/>
    <w:multiLevelType w:val="hybridMultilevel"/>
    <w:tmpl w:val="38C421D8"/>
    <w:lvl w:ilvl="0" w:tplc="B6CEB2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487377"/>
    <w:multiLevelType w:val="hybridMultilevel"/>
    <w:tmpl w:val="DE8C2568"/>
    <w:lvl w:ilvl="0" w:tplc="4E64EC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258B3"/>
    <w:multiLevelType w:val="hybridMultilevel"/>
    <w:tmpl w:val="67DE43CC"/>
    <w:lvl w:ilvl="0" w:tplc="D17E87A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AEF63CB"/>
    <w:multiLevelType w:val="hybridMultilevel"/>
    <w:tmpl w:val="EAA44954"/>
    <w:lvl w:ilvl="0" w:tplc="C002A3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B635CFB"/>
    <w:multiLevelType w:val="hybridMultilevel"/>
    <w:tmpl w:val="199A9D50"/>
    <w:lvl w:ilvl="0" w:tplc="0D76D7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2" w15:restartNumberingAfterBreak="0">
    <w:nsid w:val="7DE8016A"/>
    <w:multiLevelType w:val="hybridMultilevel"/>
    <w:tmpl w:val="1ECCD422"/>
    <w:lvl w:ilvl="0" w:tplc="5B9A9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F262A92"/>
    <w:multiLevelType w:val="hybridMultilevel"/>
    <w:tmpl w:val="632033C6"/>
    <w:lvl w:ilvl="0" w:tplc="5B1EF0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6"/>
  </w:num>
  <w:num w:numId="3">
    <w:abstractNumId w:val="3"/>
  </w:num>
  <w:num w:numId="4">
    <w:abstractNumId w:val="1"/>
  </w:num>
  <w:num w:numId="5">
    <w:abstractNumId w:val="7"/>
  </w:num>
  <w:num w:numId="6">
    <w:abstractNumId w:val="33"/>
  </w:num>
  <w:num w:numId="7">
    <w:abstractNumId w:val="11"/>
  </w:num>
  <w:num w:numId="8">
    <w:abstractNumId w:val="6"/>
  </w:num>
  <w:num w:numId="9">
    <w:abstractNumId w:val="23"/>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7"/>
  </w:num>
  <w:num w:numId="14">
    <w:abstractNumId w:val="2"/>
  </w:num>
  <w:num w:numId="15">
    <w:abstractNumId w:val="19"/>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32"/>
  </w:num>
  <w:num w:numId="21">
    <w:abstractNumId w:val="25"/>
  </w:num>
  <w:num w:numId="22">
    <w:abstractNumId w:val="29"/>
  </w:num>
  <w:num w:numId="23">
    <w:abstractNumId w:val="4"/>
  </w:num>
  <w:num w:numId="24">
    <w:abstractNumId w:val="13"/>
  </w:num>
  <w:num w:numId="25">
    <w:abstractNumId w:val="24"/>
  </w:num>
  <w:num w:numId="26">
    <w:abstractNumId w:val="30"/>
  </w:num>
  <w:num w:numId="27">
    <w:abstractNumId w:val="31"/>
  </w:num>
  <w:num w:numId="28">
    <w:abstractNumId w:val="14"/>
  </w:num>
  <w:num w:numId="29">
    <w:abstractNumId w:val="10"/>
  </w:num>
  <w:num w:numId="30">
    <w:abstractNumId w:val="15"/>
  </w:num>
  <w:num w:numId="31">
    <w:abstractNumId w:val="0"/>
  </w:num>
  <w:num w:numId="32">
    <w:abstractNumId w:val="20"/>
  </w:num>
  <w:num w:numId="33">
    <w:abstractNumId w:val="28"/>
  </w:num>
  <w:num w:numId="34">
    <w:abstractNumId w:val="2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CA"/>
    <w:rsid w:val="000157E6"/>
    <w:rsid w:val="000205C3"/>
    <w:rsid w:val="00026C0B"/>
    <w:rsid w:val="000346C9"/>
    <w:rsid w:val="000364EC"/>
    <w:rsid w:val="00037F62"/>
    <w:rsid w:val="000414C5"/>
    <w:rsid w:val="000432CA"/>
    <w:rsid w:val="00063434"/>
    <w:rsid w:val="000652A4"/>
    <w:rsid w:val="00067878"/>
    <w:rsid w:val="0008651F"/>
    <w:rsid w:val="0008669A"/>
    <w:rsid w:val="0009054F"/>
    <w:rsid w:val="00093EF6"/>
    <w:rsid w:val="000A4E09"/>
    <w:rsid w:val="000A4EE4"/>
    <w:rsid w:val="000B1824"/>
    <w:rsid w:val="000B7EC4"/>
    <w:rsid w:val="000D2F10"/>
    <w:rsid w:val="000D662A"/>
    <w:rsid w:val="0010134F"/>
    <w:rsid w:val="001060A4"/>
    <w:rsid w:val="00127A54"/>
    <w:rsid w:val="0014527A"/>
    <w:rsid w:val="00152217"/>
    <w:rsid w:val="00153D2F"/>
    <w:rsid w:val="00154279"/>
    <w:rsid w:val="00157161"/>
    <w:rsid w:val="00174655"/>
    <w:rsid w:val="001746F6"/>
    <w:rsid w:val="001844F2"/>
    <w:rsid w:val="001C0C06"/>
    <w:rsid w:val="001D0539"/>
    <w:rsid w:val="001E3052"/>
    <w:rsid w:val="001E42D9"/>
    <w:rsid w:val="001F6FFD"/>
    <w:rsid w:val="001F77E9"/>
    <w:rsid w:val="002062BB"/>
    <w:rsid w:val="00213816"/>
    <w:rsid w:val="00214533"/>
    <w:rsid w:val="00220568"/>
    <w:rsid w:val="00220914"/>
    <w:rsid w:val="002309B9"/>
    <w:rsid w:val="00234DDB"/>
    <w:rsid w:val="00243300"/>
    <w:rsid w:val="00252CCA"/>
    <w:rsid w:val="002567AE"/>
    <w:rsid w:val="00260211"/>
    <w:rsid w:val="00264C1D"/>
    <w:rsid w:val="00270F4D"/>
    <w:rsid w:val="00277FBE"/>
    <w:rsid w:val="002800D6"/>
    <w:rsid w:val="002859E5"/>
    <w:rsid w:val="002A5634"/>
    <w:rsid w:val="002B32C0"/>
    <w:rsid w:val="002C4D92"/>
    <w:rsid w:val="002C55D8"/>
    <w:rsid w:val="002D2A6D"/>
    <w:rsid w:val="002D30AC"/>
    <w:rsid w:val="002D496D"/>
    <w:rsid w:val="002D538E"/>
    <w:rsid w:val="002E727D"/>
    <w:rsid w:val="002F2673"/>
    <w:rsid w:val="002F55C7"/>
    <w:rsid w:val="00312700"/>
    <w:rsid w:val="0034596A"/>
    <w:rsid w:val="003465FD"/>
    <w:rsid w:val="00353760"/>
    <w:rsid w:val="003555BB"/>
    <w:rsid w:val="00363F6B"/>
    <w:rsid w:val="003770E0"/>
    <w:rsid w:val="003812C1"/>
    <w:rsid w:val="003825AE"/>
    <w:rsid w:val="0038576C"/>
    <w:rsid w:val="003857A6"/>
    <w:rsid w:val="0039541E"/>
    <w:rsid w:val="003B32E3"/>
    <w:rsid w:val="003B627F"/>
    <w:rsid w:val="003C13AE"/>
    <w:rsid w:val="003C374B"/>
    <w:rsid w:val="003D450A"/>
    <w:rsid w:val="003E09F0"/>
    <w:rsid w:val="003E4621"/>
    <w:rsid w:val="003E522D"/>
    <w:rsid w:val="003F592E"/>
    <w:rsid w:val="00416878"/>
    <w:rsid w:val="00417E82"/>
    <w:rsid w:val="0042040A"/>
    <w:rsid w:val="00422309"/>
    <w:rsid w:val="004254A0"/>
    <w:rsid w:val="00426FD1"/>
    <w:rsid w:val="00432489"/>
    <w:rsid w:val="00432D10"/>
    <w:rsid w:val="0043567A"/>
    <w:rsid w:val="0043766A"/>
    <w:rsid w:val="00447317"/>
    <w:rsid w:val="00451144"/>
    <w:rsid w:val="0045406B"/>
    <w:rsid w:val="004722BD"/>
    <w:rsid w:val="00476242"/>
    <w:rsid w:val="00487891"/>
    <w:rsid w:val="004B1718"/>
    <w:rsid w:val="004B2413"/>
    <w:rsid w:val="004B7D31"/>
    <w:rsid w:val="004C18C2"/>
    <w:rsid w:val="004C3DD2"/>
    <w:rsid w:val="004D16A2"/>
    <w:rsid w:val="004D5E34"/>
    <w:rsid w:val="004D7717"/>
    <w:rsid w:val="004E5725"/>
    <w:rsid w:val="004E798D"/>
    <w:rsid w:val="004F3568"/>
    <w:rsid w:val="004F3CAA"/>
    <w:rsid w:val="0050550E"/>
    <w:rsid w:val="0050555E"/>
    <w:rsid w:val="00510283"/>
    <w:rsid w:val="005212F0"/>
    <w:rsid w:val="0052483D"/>
    <w:rsid w:val="0053404B"/>
    <w:rsid w:val="0053613B"/>
    <w:rsid w:val="00536590"/>
    <w:rsid w:val="0055060B"/>
    <w:rsid w:val="00551E7E"/>
    <w:rsid w:val="00556E71"/>
    <w:rsid w:val="0056545F"/>
    <w:rsid w:val="00583892"/>
    <w:rsid w:val="0058667B"/>
    <w:rsid w:val="00586BD5"/>
    <w:rsid w:val="0058713B"/>
    <w:rsid w:val="0059430D"/>
    <w:rsid w:val="0059747F"/>
    <w:rsid w:val="005975B6"/>
    <w:rsid w:val="005A1CD4"/>
    <w:rsid w:val="005B321A"/>
    <w:rsid w:val="005B4E78"/>
    <w:rsid w:val="005B66B3"/>
    <w:rsid w:val="005B7288"/>
    <w:rsid w:val="005B77BC"/>
    <w:rsid w:val="00604FB4"/>
    <w:rsid w:val="00615352"/>
    <w:rsid w:val="00622C22"/>
    <w:rsid w:val="006514BD"/>
    <w:rsid w:val="00660CE1"/>
    <w:rsid w:val="00661647"/>
    <w:rsid w:val="006667D5"/>
    <w:rsid w:val="00667066"/>
    <w:rsid w:val="006770B2"/>
    <w:rsid w:val="00684441"/>
    <w:rsid w:val="006A259F"/>
    <w:rsid w:val="006A275B"/>
    <w:rsid w:val="006B7A88"/>
    <w:rsid w:val="006C7535"/>
    <w:rsid w:val="006D21BF"/>
    <w:rsid w:val="006E2969"/>
    <w:rsid w:val="006F6E12"/>
    <w:rsid w:val="00712CFC"/>
    <w:rsid w:val="0073430D"/>
    <w:rsid w:val="00736AB3"/>
    <w:rsid w:val="00752961"/>
    <w:rsid w:val="0075362E"/>
    <w:rsid w:val="00762159"/>
    <w:rsid w:val="0077113F"/>
    <w:rsid w:val="00787AF1"/>
    <w:rsid w:val="00794E8E"/>
    <w:rsid w:val="007A518B"/>
    <w:rsid w:val="007A61AC"/>
    <w:rsid w:val="007B465A"/>
    <w:rsid w:val="007D2947"/>
    <w:rsid w:val="007D6C67"/>
    <w:rsid w:val="007E08E5"/>
    <w:rsid w:val="007F2569"/>
    <w:rsid w:val="007F3382"/>
    <w:rsid w:val="00810E48"/>
    <w:rsid w:val="00812917"/>
    <w:rsid w:val="0081733A"/>
    <w:rsid w:val="00820607"/>
    <w:rsid w:val="00826381"/>
    <w:rsid w:val="00826954"/>
    <w:rsid w:val="00826D6E"/>
    <w:rsid w:val="00840271"/>
    <w:rsid w:val="0084647D"/>
    <w:rsid w:val="00852BEE"/>
    <w:rsid w:val="00853434"/>
    <w:rsid w:val="008627A1"/>
    <w:rsid w:val="00863116"/>
    <w:rsid w:val="00867FA4"/>
    <w:rsid w:val="0088319D"/>
    <w:rsid w:val="00883FBF"/>
    <w:rsid w:val="00885046"/>
    <w:rsid w:val="008963B7"/>
    <w:rsid w:val="008B58F6"/>
    <w:rsid w:val="008B6605"/>
    <w:rsid w:val="008C3376"/>
    <w:rsid w:val="008D156E"/>
    <w:rsid w:val="008D61B4"/>
    <w:rsid w:val="008E19C4"/>
    <w:rsid w:val="008E4947"/>
    <w:rsid w:val="008E7F83"/>
    <w:rsid w:val="008F1943"/>
    <w:rsid w:val="008F5103"/>
    <w:rsid w:val="008F72B1"/>
    <w:rsid w:val="00902E46"/>
    <w:rsid w:val="0090495A"/>
    <w:rsid w:val="00905D48"/>
    <w:rsid w:val="00906B74"/>
    <w:rsid w:val="00910A5B"/>
    <w:rsid w:val="0092192C"/>
    <w:rsid w:val="009300B2"/>
    <w:rsid w:val="00932A9D"/>
    <w:rsid w:val="009440DF"/>
    <w:rsid w:val="00946473"/>
    <w:rsid w:val="00970F24"/>
    <w:rsid w:val="009729FC"/>
    <w:rsid w:val="0098008B"/>
    <w:rsid w:val="0098364A"/>
    <w:rsid w:val="00996701"/>
    <w:rsid w:val="009A246D"/>
    <w:rsid w:val="009A310D"/>
    <w:rsid w:val="009C5BBA"/>
    <w:rsid w:val="009D4325"/>
    <w:rsid w:val="009E5147"/>
    <w:rsid w:val="009F003A"/>
    <w:rsid w:val="009F6E43"/>
    <w:rsid w:val="00A22E74"/>
    <w:rsid w:val="00A23F90"/>
    <w:rsid w:val="00A264D2"/>
    <w:rsid w:val="00A31568"/>
    <w:rsid w:val="00A317DE"/>
    <w:rsid w:val="00A369A6"/>
    <w:rsid w:val="00A446DB"/>
    <w:rsid w:val="00A46825"/>
    <w:rsid w:val="00A47658"/>
    <w:rsid w:val="00A53C04"/>
    <w:rsid w:val="00A55EE3"/>
    <w:rsid w:val="00A57CD0"/>
    <w:rsid w:val="00A57E5B"/>
    <w:rsid w:val="00A732C1"/>
    <w:rsid w:val="00A74C1A"/>
    <w:rsid w:val="00A8389A"/>
    <w:rsid w:val="00A96287"/>
    <w:rsid w:val="00AA7B58"/>
    <w:rsid w:val="00AB081A"/>
    <w:rsid w:val="00AD0B02"/>
    <w:rsid w:val="00AE32C6"/>
    <w:rsid w:val="00AE4477"/>
    <w:rsid w:val="00AE4A57"/>
    <w:rsid w:val="00AF53B4"/>
    <w:rsid w:val="00B11E44"/>
    <w:rsid w:val="00B13186"/>
    <w:rsid w:val="00B40698"/>
    <w:rsid w:val="00B4081F"/>
    <w:rsid w:val="00B416DE"/>
    <w:rsid w:val="00B544BE"/>
    <w:rsid w:val="00B6345A"/>
    <w:rsid w:val="00B64ABF"/>
    <w:rsid w:val="00B64D90"/>
    <w:rsid w:val="00B64E6A"/>
    <w:rsid w:val="00B867F4"/>
    <w:rsid w:val="00B926EB"/>
    <w:rsid w:val="00BB04F6"/>
    <w:rsid w:val="00BB3005"/>
    <w:rsid w:val="00BC0156"/>
    <w:rsid w:val="00BD66C3"/>
    <w:rsid w:val="00BE11D6"/>
    <w:rsid w:val="00BE28CC"/>
    <w:rsid w:val="00BE4170"/>
    <w:rsid w:val="00BF3DE6"/>
    <w:rsid w:val="00BF6C3C"/>
    <w:rsid w:val="00C0128F"/>
    <w:rsid w:val="00C06400"/>
    <w:rsid w:val="00C11885"/>
    <w:rsid w:val="00C13D76"/>
    <w:rsid w:val="00C24750"/>
    <w:rsid w:val="00C43B50"/>
    <w:rsid w:val="00C44871"/>
    <w:rsid w:val="00C52E56"/>
    <w:rsid w:val="00C62124"/>
    <w:rsid w:val="00C64E72"/>
    <w:rsid w:val="00C67D7C"/>
    <w:rsid w:val="00C76829"/>
    <w:rsid w:val="00C77A68"/>
    <w:rsid w:val="00C84F76"/>
    <w:rsid w:val="00C90E23"/>
    <w:rsid w:val="00C95E96"/>
    <w:rsid w:val="00C96D23"/>
    <w:rsid w:val="00CA3CC7"/>
    <w:rsid w:val="00CC25C9"/>
    <w:rsid w:val="00CC2D72"/>
    <w:rsid w:val="00CD01B8"/>
    <w:rsid w:val="00CD54D2"/>
    <w:rsid w:val="00CF0DA4"/>
    <w:rsid w:val="00D00DDC"/>
    <w:rsid w:val="00D1565B"/>
    <w:rsid w:val="00D20FC7"/>
    <w:rsid w:val="00D242F5"/>
    <w:rsid w:val="00D24BC5"/>
    <w:rsid w:val="00D24E0C"/>
    <w:rsid w:val="00D26456"/>
    <w:rsid w:val="00D26E51"/>
    <w:rsid w:val="00D3039F"/>
    <w:rsid w:val="00D32EEB"/>
    <w:rsid w:val="00D3755F"/>
    <w:rsid w:val="00D456F7"/>
    <w:rsid w:val="00D46C30"/>
    <w:rsid w:val="00D606B3"/>
    <w:rsid w:val="00D60D21"/>
    <w:rsid w:val="00D70DDE"/>
    <w:rsid w:val="00D81E77"/>
    <w:rsid w:val="00D83055"/>
    <w:rsid w:val="00D906E3"/>
    <w:rsid w:val="00D92587"/>
    <w:rsid w:val="00D933CB"/>
    <w:rsid w:val="00D959F6"/>
    <w:rsid w:val="00DA032D"/>
    <w:rsid w:val="00DA13DC"/>
    <w:rsid w:val="00DB424E"/>
    <w:rsid w:val="00DB4788"/>
    <w:rsid w:val="00DC6C10"/>
    <w:rsid w:val="00DC71DF"/>
    <w:rsid w:val="00DC73F8"/>
    <w:rsid w:val="00DE4393"/>
    <w:rsid w:val="00DE59F7"/>
    <w:rsid w:val="00DF01B6"/>
    <w:rsid w:val="00DF254D"/>
    <w:rsid w:val="00DF4812"/>
    <w:rsid w:val="00DF7208"/>
    <w:rsid w:val="00DF757C"/>
    <w:rsid w:val="00E00674"/>
    <w:rsid w:val="00E012C1"/>
    <w:rsid w:val="00E01650"/>
    <w:rsid w:val="00E069D5"/>
    <w:rsid w:val="00E23469"/>
    <w:rsid w:val="00E421AE"/>
    <w:rsid w:val="00E425B9"/>
    <w:rsid w:val="00E47B20"/>
    <w:rsid w:val="00E54DAA"/>
    <w:rsid w:val="00E5570F"/>
    <w:rsid w:val="00E631B3"/>
    <w:rsid w:val="00E67861"/>
    <w:rsid w:val="00E71095"/>
    <w:rsid w:val="00E973EB"/>
    <w:rsid w:val="00EA2F08"/>
    <w:rsid w:val="00EA2F67"/>
    <w:rsid w:val="00EA5ABB"/>
    <w:rsid w:val="00EB3CA5"/>
    <w:rsid w:val="00EB51E0"/>
    <w:rsid w:val="00EC4B40"/>
    <w:rsid w:val="00EC6DEA"/>
    <w:rsid w:val="00EC7E66"/>
    <w:rsid w:val="00EF7AF8"/>
    <w:rsid w:val="00F1016B"/>
    <w:rsid w:val="00F140EE"/>
    <w:rsid w:val="00F3015C"/>
    <w:rsid w:val="00F42C7F"/>
    <w:rsid w:val="00F43995"/>
    <w:rsid w:val="00F470A6"/>
    <w:rsid w:val="00F53807"/>
    <w:rsid w:val="00F57EF1"/>
    <w:rsid w:val="00F60D53"/>
    <w:rsid w:val="00F61FC5"/>
    <w:rsid w:val="00F7143C"/>
    <w:rsid w:val="00F82330"/>
    <w:rsid w:val="00F849AF"/>
    <w:rsid w:val="00FA3155"/>
    <w:rsid w:val="00FA4EF9"/>
    <w:rsid w:val="00FA64BE"/>
    <w:rsid w:val="00FB6060"/>
    <w:rsid w:val="00FB7BBD"/>
    <w:rsid w:val="00FC3C59"/>
    <w:rsid w:val="00FD1B0D"/>
    <w:rsid w:val="00FD45A1"/>
    <w:rsid w:val="00FE0933"/>
    <w:rsid w:val="00FE3DA4"/>
    <w:rsid w:val="00FE4EAB"/>
    <w:rsid w:val="00FF07A4"/>
    <w:rsid w:val="00FF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5371D-D736-4F73-9CD0-871FDF55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6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CA"/>
  </w:style>
  <w:style w:type="paragraph" w:styleId="Footer">
    <w:name w:val="footer"/>
    <w:basedOn w:val="Normal"/>
    <w:link w:val="FooterChar"/>
    <w:uiPriority w:val="99"/>
    <w:unhideWhenUsed/>
    <w:rsid w:val="0025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CCA"/>
  </w:style>
  <w:style w:type="paragraph" w:styleId="BalloonText">
    <w:name w:val="Balloon Text"/>
    <w:basedOn w:val="Normal"/>
    <w:link w:val="BalloonTextChar"/>
    <w:uiPriority w:val="99"/>
    <w:semiHidden/>
    <w:unhideWhenUsed/>
    <w:rsid w:val="00252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CCA"/>
    <w:rPr>
      <w:rFonts w:ascii="Tahoma" w:hAnsi="Tahoma" w:cs="Tahoma"/>
      <w:sz w:val="16"/>
      <w:szCs w:val="16"/>
    </w:rPr>
  </w:style>
  <w:style w:type="paragraph" w:styleId="ListParagraph">
    <w:name w:val="List Paragraph"/>
    <w:basedOn w:val="Normal"/>
    <w:uiPriority w:val="34"/>
    <w:qFormat/>
    <w:rsid w:val="00E425B9"/>
    <w:pPr>
      <w:ind w:left="720"/>
      <w:contextualSpacing/>
    </w:pPr>
  </w:style>
  <w:style w:type="character" w:customStyle="1" w:styleId="Heading1Char">
    <w:name w:val="Heading 1 Char"/>
    <w:basedOn w:val="DefaultParagraphFont"/>
    <w:link w:val="Heading1"/>
    <w:uiPriority w:val="9"/>
    <w:rsid w:val="00FB606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97054">
      <w:bodyDiv w:val="1"/>
      <w:marLeft w:val="0"/>
      <w:marRight w:val="0"/>
      <w:marTop w:val="0"/>
      <w:marBottom w:val="0"/>
      <w:divBdr>
        <w:top w:val="none" w:sz="0" w:space="0" w:color="auto"/>
        <w:left w:val="none" w:sz="0" w:space="0" w:color="auto"/>
        <w:bottom w:val="none" w:sz="0" w:space="0" w:color="auto"/>
        <w:right w:val="none" w:sz="0" w:space="0" w:color="auto"/>
      </w:divBdr>
    </w:div>
    <w:div w:id="18651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3240</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2018-09-12T14:58:00Z</cp:lastPrinted>
  <dcterms:created xsi:type="dcterms:W3CDTF">2018-09-13T07:59:00Z</dcterms:created>
  <dcterms:modified xsi:type="dcterms:W3CDTF">2018-09-13T07:59:00Z</dcterms:modified>
</cp:coreProperties>
</file>