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3D" w:rsidRDefault="00317E9E">
      <w:pPr>
        <w:rPr>
          <w:sz w:val="24"/>
          <w:szCs w:val="24"/>
        </w:rPr>
      </w:pPr>
      <w:bookmarkStart w:id="0" w:name="_GoBack"/>
      <w:bookmarkEnd w:id="0"/>
      <w:r>
        <w:t xml:space="preserve">   </w:t>
      </w:r>
      <w:r w:rsidR="008D173D">
        <w:t xml:space="preserve">                                                                                                                                            </w:t>
      </w:r>
    </w:p>
    <w:p w:rsidR="008D173D" w:rsidRPr="00A223A5" w:rsidRDefault="008D173D"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AGRICIRCLE (PRIVATE) LIMITED                                                                 HC 206/20</w:t>
      </w:r>
    </w:p>
    <w:p w:rsidR="008D173D" w:rsidRPr="00A223A5" w:rsidRDefault="008D173D"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versus</w:t>
      </w:r>
    </w:p>
    <w:p w:rsidR="008D173D" w:rsidRPr="00A223A5" w:rsidRDefault="008D173D"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THE MASTER OF THE HIGH COURT</w:t>
      </w:r>
    </w:p>
    <w:p w:rsidR="008D173D" w:rsidRPr="00A223A5" w:rsidRDefault="008D173D"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and</w:t>
      </w:r>
    </w:p>
    <w:p w:rsidR="008D173D" w:rsidRPr="00A223A5" w:rsidRDefault="008D173D"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CECIL MADONDO</w:t>
      </w:r>
    </w:p>
    <w:p w:rsidR="008D173D" w:rsidRPr="00A223A5" w:rsidRDefault="008D173D" w:rsidP="00A223A5">
      <w:pPr>
        <w:spacing w:after="0" w:line="240" w:lineRule="auto"/>
        <w:jc w:val="both"/>
        <w:rPr>
          <w:rFonts w:ascii="Times New Roman" w:hAnsi="Times New Roman" w:cs="Times New Roman"/>
          <w:sz w:val="24"/>
          <w:szCs w:val="24"/>
        </w:rPr>
      </w:pP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CECIL HONDO MADONDO                                                                               HC 592/20</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v</w:t>
      </w:r>
      <w:r w:rsidR="006D316B" w:rsidRPr="00A223A5">
        <w:rPr>
          <w:rFonts w:ascii="Times New Roman" w:hAnsi="Times New Roman" w:cs="Times New Roman"/>
          <w:sz w:val="24"/>
          <w:szCs w:val="24"/>
        </w:rPr>
        <w:t>ersus</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AGRICIRCLE (PRIVATE) LIMITED</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w:t>
      </w:r>
      <w:r w:rsidR="006D316B" w:rsidRPr="00A223A5">
        <w:rPr>
          <w:rFonts w:ascii="Times New Roman" w:hAnsi="Times New Roman" w:cs="Times New Roman"/>
          <w:sz w:val="24"/>
          <w:szCs w:val="24"/>
        </w:rPr>
        <w:t>nd</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RODRECK ITAYI MUSIYIWA</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w:t>
      </w:r>
      <w:r w:rsidR="006D316B" w:rsidRPr="00A223A5">
        <w:rPr>
          <w:rFonts w:ascii="Times New Roman" w:hAnsi="Times New Roman" w:cs="Times New Roman"/>
          <w:sz w:val="24"/>
          <w:szCs w:val="24"/>
        </w:rPr>
        <w:t>nd</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NEW CORPORATE INVESTMENTS THREE (PRIVATE) LIMITED</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w:t>
      </w:r>
      <w:r w:rsidR="006D316B" w:rsidRPr="00A223A5">
        <w:rPr>
          <w:rFonts w:ascii="Times New Roman" w:hAnsi="Times New Roman" w:cs="Times New Roman"/>
          <w:sz w:val="24"/>
          <w:szCs w:val="24"/>
        </w:rPr>
        <w:t>nd</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SHOWNCIFF SERVICES (PRIVATE) LIMITED</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w:t>
      </w:r>
      <w:r w:rsidR="006D316B" w:rsidRPr="00A223A5">
        <w:rPr>
          <w:rFonts w:ascii="Times New Roman" w:hAnsi="Times New Roman" w:cs="Times New Roman"/>
          <w:sz w:val="24"/>
          <w:szCs w:val="24"/>
        </w:rPr>
        <w:t>nd</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BATCO (PRIVATE) LIMITED</w:t>
      </w:r>
    </w:p>
    <w:p w:rsidR="006D316B" w:rsidRPr="00A223A5" w:rsidRDefault="00E070CC"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a</w:t>
      </w:r>
      <w:r w:rsidR="006D316B" w:rsidRPr="00A223A5">
        <w:rPr>
          <w:rFonts w:ascii="Times New Roman" w:hAnsi="Times New Roman" w:cs="Times New Roman"/>
          <w:sz w:val="24"/>
          <w:szCs w:val="24"/>
        </w:rPr>
        <w:t>nd</w:t>
      </w: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PETRONETS INVESTMENTS (PRIVATE) LIMITED</w:t>
      </w:r>
    </w:p>
    <w:p w:rsidR="006D316B" w:rsidRPr="00A223A5" w:rsidRDefault="006D316B" w:rsidP="00A223A5">
      <w:pPr>
        <w:spacing w:after="0" w:line="240" w:lineRule="auto"/>
        <w:jc w:val="both"/>
        <w:rPr>
          <w:rFonts w:ascii="Times New Roman" w:hAnsi="Times New Roman" w:cs="Times New Roman"/>
          <w:sz w:val="24"/>
          <w:szCs w:val="24"/>
        </w:rPr>
      </w:pPr>
    </w:p>
    <w:p w:rsidR="006D316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HIGH COURT OF ZIMBABWE</w:t>
      </w:r>
    </w:p>
    <w:p w:rsidR="00E3351B" w:rsidRPr="00A223A5" w:rsidRDefault="006D316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ZHOU J</w:t>
      </w:r>
    </w:p>
    <w:p w:rsidR="00305929" w:rsidRPr="00A223A5" w:rsidRDefault="00E3351B"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sz w:val="24"/>
          <w:szCs w:val="24"/>
        </w:rPr>
        <w:t xml:space="preserve">HARARE, 15 October 2020 </w:t>
      </w:r>
      <w:r w:rsidR="003D738C" w:rsidRPr="00A223A5">
        <w:rPr>
          <w:rFonts w:ascii="Times New Roman" w:hAnsi="Times New Roman" w:cs="Times New Roman"/>
          <w:sz w:val="24"/>
          <w:szCs w:val="24"/>
        </w:rPr>
        <w:t>&amp; 15</w:t>
      </w:r>
      <w:r w:rsidR="00305929" w:rsidRPr="00A223A5">
        <w:rPr>
          <w:rFonts w:ascii="Times New Roman" w:hAnsi="Times New Roman" w:cs="Times New Roman"/>
          <w:sz w:val="24"/>
          <w:szCs w:val="24"/>
        </w:rPr>
        <w:t xml:space="preserve"> July 2021</w:t>
      </w:r>
    </w:p>
    <w:p w:rsidR="00305929" w:rsidRPr="00A223A5" w:rsidRDefault="00305929" w:rsidP="00A223A5">
      <w:pPr>
        <w:spacing w:after="0" w:line="240" w:lineRule="auto"/>
        <w:jc w:val="both"/>
        <w:rPr>
          <w:rFonts w:ascii="Times New Roman" w:hAnsi="Times New Roman" w:cs="Times New Roman"/>
          <w:sz w:val="24"/>
          <w:szCs w:val="24"/>
        </w:rPr>
      </w:pPr>
    </w:p>
    <w:p w:rsidR="00A223A5" w:rsidRDefault="00A223A5" w:rsidP="00A223A5">
      <w:pPr>
        <w:spacing w:after="0" w:line="240" w:lineRule="auto"/>
        <w:jc w:val="both"/>
        <w:rPr>
          <w:rFonts w:ascii="Times New Roman" w:hAnsi="Times New Roman" w:cs="Times New Roman"/>
          <w:b/>
          <w:sz w:val="24"/>
          <w:szCs w:val="24"/>
        </w:rPr>
      </w:pPr>
    </w:p>
    <w:p w:rsidR="00305929" w:rsidRPr="00A223A5" w:rsidRDefault="00305929" w:rsidP="00A223A5">
      <w:pPr>
        <w:spacing w:after="0" w:line="240" w:lineRule="auto"/>
        <w:jc w:val="both"/>
        <w:rPr>
          <w:rFonts w:ascii="Times New Roman" w:hAnsi="Times New Roman" w:cs="Times New Roman"/>
          <w:b/>
          <w:sz w:val="24"/>
          <w:szCs w:val="24"/>
        </w:rPr>
      </w:pPr>
      <w:r w:rsidRPr="00A223A5">
        <w:rPr>
          <w:rFonts w:ascii="Times New Roman" w:hAnsi="Times New Roman" w:cs="Times New Roman"/>
          <w:b/>
          <w:sz w:val="24"/>
          <w:szCs w:val="24"/>
        </w:rPr>
        <w:t>Opposed Applications</w:t>
      </w:r>
    </w:p>
    <w:p w:rsidR="00305929" w:rsidRPr="00A223A5" w:rsidRDefault="00305929" w:rsidP="00A223A5">
      <w:pPr>
        <w:spacing w:after="0" w:line="240" w:lineRule="auto"/>
        <w:jc w:val="both"/>
        <w:rPr>
          <w:rFonts w:ascii="Times New Roman" w:hAnsi="Times New Roman" w:cs="Times New Roman"/>
          <w:b/>
          <w:sz w:val="24"/>
          <w:szCs w:val="24"/>
        </w:rPr>
      </w:pPr>
    </w:p>
    <w:p w:rsidR="00A223A5" w:rsidRDefault="00A223A5" w:rsidP="00A223A5">
      <w:pPr>
        <w:spacing w:after="0"/>
        <w:jc w:val="both"/>
        <w:rPr>
          <w:rFonts w:ascii="Times New Roman" w:hAnsi="Times New Roman" w:cs="Times New Roman"/>
          <w:i/>
          <w:sz w:val="24"/>
          <w:szCs w:val="24"/>
        </w:rPr>
      </w:pPr>
    </w:p>
    <w:p w:rsidR="00305929" w:rsidRPr="00A223A5" w:rsidRDefault="00305929" w:rsidP="00A223A5">
      <w:pPr>
        <w:spacing w:after="0"/>
        <w:jc w:val="both"/>
        <w:rPr>
          <w:rFonts w:ascii="Times New Roman" w:hAnsi="Times New Roman" w:cs="Times New Roman"/>
          <w:sz w:val="24"/>
          <w:szCs w:val="24"/>
        </w:rPr>
      </w:pPr>
      <w:r w:rsidRPr="00A223A5">
        <w:rPr>
          <w:rFonts w:ascii="Times New Roman" w:hAnsi="Times New Roman" w:cs="Times New Roman"/>
          <w:i/>
          <w:sz w:val="24"/>
          <w:szCs w:val="24"/>
        </w:rPr>
        <w:t>H. Muromba</w:t>
      </w:r>
      <w:r w:rsidR="00A223A5">
        <w:rPr>
          <w:rFonts w:ascii="Times New Roman" w:hAnsi="Times New Roman" w:cs="Times New Roman"/>
          <w:i/>
          <w:sz w:val="24"/>
          <w:szCs w:val="24"/>
        </w:rPr>
        <w:t>,</w:t>
      </w:r>
      <w:r w:rsidRPr="00A223A5">
        <w:rPr>
          <w:rFonts w:ascii="Times New Roman" w:hAnsi="Times New Roman" w:cs="Times New Roman"/>
          <w:i/>
          <w:sz w:val="24"/>
          <w:szCs w:val="24"/>
        </w:rPr>
        <w:t xml:space="preserve"> </w:t>
      </w:r>
      <w:r w:rsidRPr="00A223A5">
        <w:rPr>
          <w:rFonts w:ascii="Times New Roman" w:hAnsi="Times New Roman" w:cs="Times New Roman"/>
          <w:sz w:val="24"/>
          <w:szCs w:val="24"/>
        </w:rPr>
        <w:t xml:space="preserve">for the applicant in HC 206/20 &amp; </w:t>
      </w:r>
      <w:r w:rsidR="00A223A5">
        <w:rPr>
          <w:rFonts w:ascii="Times New Roman" w:hAnsi="Times New Roman" w:cs="Times New Roman"/>
          <w:sz w:val="24"/>
          <w:szCs w:val="24"/>
        </w:rPr>
        <w:t>1</w:t>
      </w:r>
      <w:r w:rsidR="00A223A5" w:rsidRPr="00A223A5">
        <w:rPr>
          <w:rFonts w:ascii="Times New Roman" w:hAnsi="Times New Roman" w:cs="Times New Roman"/>
          <w:sz w:val="24"/>
          <w:szCs w:val="24"/>
          <w:vertAlign w:val="superscript"/>
        </w:rPr>
        <w:t>st</w:t>
      </w:r>
      <w:r w:rsidR="00A223A5">
        <w:rPr>
          <w:rFonts w:ascii="Times New Roman" w:hAnsi="Times New Roman" w:cs="Times New Roman"/>
          <w:sz w:val="24"/>
          <w:szCs w:val="24"/>
        </w:rPr>
        <w:t xml:space="preserve"> </w:t>
      </w:r>
      <w:r w:rsidRPr="00A223A5">
        <w:rPr>
          <w:rFonts w:ascii="Times New Roman" w:hAnsi="Times New Roman" w:cs="Times New Roman"/>
          <w:sz w:val="24"/>
          <w:szCs w:val="24"/>
        </w:rPr>
        <w:t>respondent in HC 592/20</w:t>
      </w:r>
    </w:p>
    <w:p w:rsidR="008F199E" w:rsidRPr="00A223A5" w:rsidRDefault="00305929" w:rsidP="00A223A5">
      <w:pPr>
        <w:spacing w:after="0"/>
        <w:jc w:val="both"/>
        <w:rPr>
          <w:rFonts w:ascii="Times New Roman" w:hAnsi="Times New Roman" w:cs="Times New Roman"/>
          <w:sz w:val="24"/>
          <w:szCs w:val="24"/>
        </w:rPr>
      </w:pPr>
      <w:r w:rsidRPr="00A223A5">
        <w:rPr>
          <w:rFonts w:ascii="Times New Roman" w:hAnsi="Times New Roman" w:cs="Times New Roman"/>
          <w:i/>
          <w:sz w:val="24"/>
          <w:szCs w:val="24"/>
        </w:rPr>
        <w:t>G. R. J. Sithole</w:t>
      </w:r>
      <w:r w:rsidRPr="00A223A5">
        <w:rPr>
          <w:rFonts w:ascii="Times New Roman" w:hAnsi="Times New Roman" w:cs="Times New Roman"/>
          <w:sz w:val="24"/>
          <w:szCs w:val="24"/>
        </w:rPr>
        <w:t xml:space="preserve">, with him </w:t>
      </w:r>
      <w:r w:rsidRPr="00A223A5">
        <w:rPr>
          <w:rFonts w:ascii="Times New Roman" w:hAnsi="Times New Roman" w:cs="Times New Roman"/>
          <w:i/>
          <w:sz w:val="24"/>
          <w:szCs w:val="24"/>
        </w:rPr>
        <w:t>L. T. Kafesu</w:t>
      </w:r>
      <w:r w:rsidRPr="00A223A5">
        <w:rPr>
          <w:rFonts w:ascii="Times New Roman" w:hAnsi="Times New Roman" w:cs="Times New Roman"/>
          <w:sz w:val="24"/>
          <w:szCs w:val="24"/>
        </w:rPr>
        <w:t xml:space="preserve">, for the </w:t>
      </w:r>
      <w:r w:rsidR="001A0FDD">
        <w:rPr>
          <w:rFonts w:ascii="Times New Roman" w:hAnsi="Times New Roman" w:cs="Times New Roman"/>
          <w:sz w:val="24"/>
          <w:szCs w:val="24"/>
        </w:rPr>
        <w:t>2</w:t>
      </w:r>
      <w:r w:rsidR="001A0FDD" w:rsidRPr="00A223A5">
        <w:rPr>
          <w:rFonts w:ascii="Times New Roman" w:hAnsi="Times New Roman" w:cs="Times New Roman"/>
          <w:sz w:val="24"/>
          <w:szCs w:val="24"/>
          <w:vertAlign w:val="superscript"/>
        </w:rPr>
        <w:t>nd</w:t>
      </w:r>
      <w:r w:rsidR="001A0FDD">
        <w:rPr>
          <w:rFonts w:ascii="Times New Roman" w:hAnsi="Times New Roman" w:cs="Times New Roman"/>
          <w:sz w:val="24"/>
          <w:szCs w:val="24"/>
        </w:rPr>
        <w:t xml:space="preserve"> </w:t>
      </w:r>
      <w:r w:rsidR="001A0FDD" w:rsidRPr="00A223A5">
        <w:rPr>
          <w:rFonts w:ascii="Times New Roman" w:hAnsi="Times New Roman" w:cs="Times New Roman"/>
          <w:sz w:val="24"/>
          <w:szCs w:val="24"/>
        </w:rPr>
        <w:t>respondent</w:t>
      </w:r>
      <w:r w:rsidR="008F199E" w:rsidRPr="00A223A5">
        <w:rPr>
          <w:rFonts w:ascii="Times New Roman" w:hAnsi="Times New Roman" w:cs="Times New Roman"/>
          <w:sz w:val="24"/>
          <w:szCs w:val="24"/>
        </w:rPr>
        <w:t xml:space="preserve"> in HC 206/20 &amp; applicant in HC 592/20</w:t>
      </w:r>
    </w:p>
    <w:p w:rsidR="008F199E" w:rsidRPr="00A223A5" w:rsidRDefault="008F199E" w:rsidP="00A223A5">
      <w:pPr>
        <w:jc w:val="both"/>
        <w:rPr>
          <w:rFonts w:ascii="Times New Roman" w:hAnsi="Times New Roman" w:cs="Times New Roman"/>
          <w:sz w:val="24"/>
          <w:szCs w:val="24"/>
        </w:rPr>
      </w:pPr>
    </w:p>
    <w:p w:rsidR="006D21B4" w:rsidRPr="00A223A5" w:rsidRDefault="008F199E"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ZHOU J: This judgment is in respect of two related applications involving, to a large extent, the same parties.</w:t>
      </w:r>
      <w:r w:rsidR="00E070CC" w:rsidRPr="00A223A5">
        <w:rPr>
          <w:rFonts w:ascii="Times New Roman" w:hAnsi="Times New Roman" w:cs="Times New Roman"/>
          <w:sz w:val="24"/>
          <w:szCs w:val="24"/>
        </w:rPr>
        <w:t xml:space="preserve">  In Case No. HC206/20 the applicant seeks an order for the setting aside of the decision of the first respondent approving the second respondent’s bill of costs on the grounds that it is unreasonable, unfair and unlawful.  </w:t>
      </w:r>
      <w:r w:rsidR="006D21B4" w:rsidRPr="00A223A5">
        <w:rPr>
          <w:rFonts w:ascii="Times New Roman" w:hAnsi="Times New Roman" w:cs="Times New Roman"/>
          <w:sz w:val="24"/>
          <w:szCs w:val="24"/>
        </w:rPr>
        <w:t>The application is being made in terms of s 4(1) of the Administrative Justice Act [</w:t>
      </w:r>
      <w:r w:rsidR="006D21B4" w:rsidRPr="00A223A5">
        <w:rPr>
          <w:rFonts w:ascii="Times New Roman" w:hAnsi="Times New Roman" w:cs="Times New Roman"/>
          <w:i/>
          <w:sz w:val="24"/>
          <w:szCs w:val="24"/>
        </w:rPr>
        <w:t>Chapter 10:</w:t>
      </w:r>
      <w:r w:rsidR="00575677" w:rsidRPr="00A223A5">
        <w:rPr>
          <w:rFonts w:ascii="Times New Roman" w:hAnsi="Times New Roman" w:cs="Times New Roman"/>
          <w:sz w:val="24"/>
          <w:szCs w:val="24"/>
        </w:rPr>
        <w:t>2</w:t>
      </w:r>
      <w:r w:rsidR="006D21B4" w:rsidRPr="00A223A5">
        <w:rPr>
          <w:rFonts w:ascii="Times New Roman" w:hAnsi="Times New Roman" w:cs="Times New Roman"/>
          <w:sz w:val="24"/>
          <w:szCs w:val="24"/>
        </w:rPr>
        <w:t xml:space="preserve">8].  </w:t>
      </w:r>
      <w:r w:rsidR="00E070CC" w:rsidRPr="00A223A5">
        <w:rPr>
          <w:rFonts w:ascii="Times New Roman" w:hAnsi="Times New Roman" w:cs="Times New Roman"/>
          <w:sz w:val="24"/>
          <w:szCs w:val="24"/>
        </w:rPr>
        <w:t xml:space="preserve">In Case No. HC 592/20 the applicant, who is the second respondent in HC 206/20, seeks an order that the first to seventh respondents pay the sum of $339 484.92 together with interest thereon at five percent per month from 27 December 2019 </w:t>
      </w:r>
      <w:r w:rsidR="00E070CC" w:rsidRPr="00A223A5">
        <w:rPr>
          <w:rFonts w:ascii="Times New Roman" w:hAnsi="Times New Roman" w:cs="Times New Roman"/>
          <w:sz w:val="24"/>
          <w:szCs w:val="24"/>
        </w:rPr>
        <w:lastRenderedPageBreak/>
        <w:t>to the date of full payment.</w:t>
      </w:r>
      <w:r w:rsidR="006D21B4" w:rsidRPr="00A223A5">
        <w:rPr>
          <w:rFonts w:ascii="Times New Roman" w:hAnsi="Times New Roman" w:cs="Times New Roman"/>
          <w:sz w:val="24"/>
          <w:szCs w:val="24"/>
        </w:rPr>
        <w:t xml:space="preserve">  </w:t>
      </w:r>
      <w:r w:rsidR="00231C2E" w:rsidRPr="00A223A5">
        <w:rPr>
          <w:rFonts w:ascii="Times New Roman" w:hAnsi="Times New Roman" w:cs="Times New Roman"/>
          <w:sz w:val="24"/>
          <w:szCs w:val="24"/>
        </w:rPr>
        <w:t xml:space="preserve">The payment is remuneration for services rendered by the applicant as judicial manager of the second to seventh respondents.  </w:t>
      </w:r>
      <w:r w:rsidR="006D21B4" w:rsidRPr="00A223A5">
        <w:rPr>
          <w:rFonts w:ascii="Times New Roman" w:hAnsi="Times New Roman" w:cs="Times New Roman"/>
          <w:sz w:val="24"/>
          <w:szCs w:val="24"/>
        </w:rPr>
        <w:t>For the avoidance of confusion, the parties shall be referred to herein by their names.</w:t>
      </w:r>
    </w:p>
    <w:p w:rsidR="008D173D" w:rsidRPr="00A223A5" w:rsidRDefault="006D21B4" w:rsidP="00A223A5">
      <w:pPr>
        <w:spacing w:after="0" w:line="360" w:lineRule="auto"/>
        <w:jc w:val="both"/>
        <w:rPr>
          <w:rFonts w:ascii="Times New Roman" w:hAnsi="Times New Roman" w:cs="Times New Roman"/>
          <w:sz w:val="24"/>
          <w:szCs w:val="24"/>
          <w:u w:val="single"/>
        </w:rPr>
      </w:pPr>
      <w:r w:rsidRPr="00A223A5">
        <w:rPr>
          <w:rFonts w:ascii="Times New Roman" w:hAnsi="Times New Roman" w:cs="Times New Roman"/>
          <w:b/>
          <w:sz w:val="24"/>
          <w:szCs w:val="24"/>
          <w:u w:val="single"/>
        </w:rPr>
        <w:t>Background</w:t>
      </w:r>
      <w:r w:rsidR="00E070CC" w:rsidRPr="00A223A5">
        <w:rPr>
          <w:rFonts w:ascii="Times New Roman" w:hAnsi="Times New Roman" w:cs="Times New Roman"/>
          <w:sz w:val="24"/>
          <w:szCs w:val="24"/>
          <w:u w:val="single"/>
        </w:rPr>
        <w:t xml:space="preserve">  </w:t>
      </w:r>
      <w:r w:rsidR="008F199E" w:rsidRPr="00A223A5">
        <w:rPr>
          <w:rFonts w:ascii="Times New Roman" w:hAnsi="Times New Roman" w:cs="Times New Roman"/>
          <w:sz w:val="24"/>
          <w:szCs w:val="24"/>
          <w:u w:val="single"/>
        </w:rPr>
        <w:t xml:space="preserve"> </w:t>
      </w:r>
      <w:r w:rsidR="006D316B" w:rsidRPr="00A223A5">
        <w:rPr>
          <w:rFonts w:ascii="Times New Roman" w:hAnsi="Times New Roman" w:cs="Times New Roman"/>
          <w:sz w:val="24"/>
          <w:szCs w:val="24"/>
          <w:u w:val="single"/>
        </w:rPr>
        <w:t xml:space="preserve"> </w:t>
      </w:r>
      <w:r w:rsidR="008D173D" w:rsidRPr="00A223A5">
        <w:rPr>
          <w:rFonts w:ascii="Times New Roman" w:hAnsi="Times New Roman" w:cs="Times New Roman"/>
          <w:sz w:val="24"/>
          <w:szCs w:val="24"/>
          <w:u w:val="single"/>
        </w:rPr>
        <w:t xml:space="preserve">  </w:t>
      </w:r>
    </w:p>
    <w:p w:rsidR="00294F79" w:rsidRPr="00A223A5" w:rsidRDefault="00B2704D"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Agricircle (Private) Limited (hereinafter referred to as “Agricircle”), which is represented b</w:t>
      </w:r>
      <w:r w:rsidR="00231C2E" w:rsidRPr="00A223A5">
        <w:rPr>
          <w:rFonts w:ascii="Times New Roman" w:hAnsi="Times New Roman" w:cs="Times New Roman"/>
          <w:sz w:val="24"/>
          <w:szCs w:val="24"/>
        </w:rPr>
        <w:t>y its director, Rodreck Itayi Musiyiwa (Mu</w:t>
      </w:r>
      <w:r w:rsidRPr="00A223A5">
        <w:rPr>
          <w:rFonts w:ascii="Times New Roman" w:hAnsi="Times New Roman" w:cs="Times New Roman"/>
          <w:sz w:val="24"/>
          <w:szCs w:val="24"/>
        </w:rPr>
        <w:t xml:space="preserve">siyiwa) invested in the following companies which are cited as </w:t>
      </w:r>
      <w:r w:rsidR="004A6D1E" w:rsidRPr="00A223A5">
        <w:rPr>
          <w:rFonts w:ascii="Times New Roman" w:hAnsi="Times New Roman" w:cs="Times New Roman"/>
          <w:sz w:val="24"/>
          <w:szCs w:val="24"/>
        </w:rPr>
        <w:t xml:space="preserve">second to seventh </w:t>
      </w:r>
      <w:r w:rsidRPr="00A223A5">
        <w:rPr>
          <w:rFonts w:ascii="Times New Roman" w:hAnsi="Times New Roman" w:cs="Times New Roman"/>
          <w:sz w:val="24"/>
          <w:szCs w:val="24"/>
        </w:rPr>
        <w:t xml:space="preserve">respondents in HC 592/20: New Corporate Investments Three (Private) Limited, Central African Batteries (Private) Limited, Shownciff Services (Private) Limited, Batco (Private) Limited, and Petronets Investments (Private) Limited.  These companies had </w:t>
      </w:r>
      <w:r w:rsidR="004A6D1E" w:rsidRPr="00A223A5">
        <w:rPr>
          <w:rFonts w:ascii="Times New Roman" w:hAnsi="Times New Roman" w:cs="Times New Roman"/>
          <w:sz w:val="24"/>
          <w:szCs w:val="24"/>
        </w:rPr>
        <w:t xml:space="preserve">initially </w:t>
      </w:r>
      <w:r w:rsidRPr="00A223A5">
        <w:rPr>
          <w:rFonts w:ascii="Times New Roman" w:hAnsi="Times New Roman" w:cs="Times New Roman"/>
          <w:sz w:val="24"/>
          <w:szCs w:val="24"/>
        </w:rPr>
        <w:t xml:space="preserve">been </w:t>
      </w:r>
      <w:r w:rsidR="0099640E" w:rsidRPr="00A223A5">
        <w:rPr>
          <w:rFonts w:ascii="Times New Roman" w:hAnsi="Times New Roman" w:cs="Times New Roman"/>
          <w:sz w:val="24"/>
          <w:szCs w:val="24"/>
        </w:rPr>
        <w:t>placed under liquidation.  T</w:t>
      </w:r>
      <w:r w:rsidRPr="00A223A5">
        <w:rPr>
          <w:rFonts w:ascii="Times New Roman" w:hAnsi="Times New Roman" w:cs="Times New Roman"/>
          <w:sz w:val="24"/>
          <w:szCs w:val="24"/>
        </w:rPr>
        <w:t>hey were placed under judicial management</w:t>
      </w:r>
      <w:r w:rsidR="004A6D1E" w:rsidRPr="00A223A5">
        <w:rPr>
          <w:rFonts w:ascii="Times New Roman" w:hAnsi="Times New Roman" w:cs="Times New Roman"/>
          <w:sz w:val="24"/>
          <w:szCs w:val="24"/>
        </w:rPr>
        <w:t xml:space="preserve"> after being removed from liquidation</w:t>
      </w:r>
      <w:r w:rsidRPr="00A223A5">
        <w:rPr>
          <w:rFonts w:ascii="Times New Roman" w:hAnsi="Times New Roman" w:cs="Times New Roman"/>
          <w:sz w:val="24"/>
          <w:szCs w:val="24"/>
        </w:rPr>
        <w:t xml:space="preserve">.  </w:t>
      </w:r>
      <w:r w:rsidR="004A6D1E" w:rsidRPr="00A223A5">
        <w:rPr>
          <w:rFonts w:ascii="Times New Roman" w:hAnsi="Times New Roman" w:cs="Times New Roman"/>
          <w:sz w:val="24"/>
          <w:szCs w:val="24"/>
        </w:rPr>
        <w:t xml:space="preserve">Cecil Hondo </w:t>
      </w:r>
      <w:r w:rsidRPr="00A223A5">
        <w:rPr>
          <w:rFonts w:ascii="Times New Roman" w:hAnsi="Times New Roman" w:cs="Times New Roman"/>
          <w:sz w:val="24"/>
          <w:szCs w:val="24"/>
        </w:rPr>
        <w:t xml:space="preserve">Madondo </w:t>
      </w:r>
      <w:r w:rsidR="004A6D1E" w:rsidRPr="00A223A5">
        <w:rPr>
          <w:rFonts w:ascii="Times New Roman" w:hAnsi="Times New Roman" w:cs="Times New Roman"/>
          <w:sz w:val="24"/>
          <w:szCs w:val="24"/>
        </w:rPr>
        <w:t xml:space="preserve">(hereinafter referred to as “Madondo) who was </w:t>
      </w:r>
      <w:r w:rsidRPr="00A223A5">
        <w:rPr>
          <w:rFonts w:ascii="Times New Roman" w:hAnsi="Times New Roman" w:cs="Times New Roman"/>
          <w:sz w:val="24"/>
          <w:szCs w:val="24"/>
        </w:rPr>
        <w:t xml:space="preserve">the liquidator became the judicial manager of the companies when they were placed under judicial management.  The companies were subsequently placed under a scheme of arrangement pursuant </w:t>
      </w:r>
      <w:r w:rsidR="00B74747" w:rsidRPr="00A223A5">
        <w:rPr>
          <w:rFonts w:ascii="Times New Roman" w:hAnsi="Times New Roman" w:cs="Times New Roman"/>
          <w:sz w:val="24"/>
          <w:szCs w:val="24"/>
        </w:rPr>
        <w:t>to an order of this court.</w:t>
      </w:r>
      <w:r w:rsidR="00B119ED" w:rsidRPr="00A223A5">
        <w:rPr>
          <w:rFonts w:ascii="Times New Roman" w:hAnsi="Times New Roman" w:cs="Times New Roman"/>
          <w:sz w:val="24"/>
          <w:szCs w:val="24"/>
        </w:rPr>
        <w:t xml:space="preserve"> </w:t>
      </w:r>
      <w:r w:rsidR="004A6D1E" w:rsidRPr="00A223A5">
        <w:rPr>
          <w:rFonts w:ascii="Times New Roman" w:hAnsi="Times New Roman" w:cs="Times New Roman"/>
          <w:sz w:val="24"/>
          <w:szCs w:val="24"/>
        </w:rPr>
        <w:t xml:space="preserve"> </w:t>
      </w:r>
      <w:r w:rsidR="00B119ED" w:rsidRPr="00A223A5">
        <w:rPr>
          <w:rFonts w:ascii="Times New Roman" w:hAnsi="Times New Roman" w:cs="Times New Roman"/>
          <w:sz w:val="24"/>
          <w:szCs w:val="24"/>
        </w:rPr>
        <w:t>Agricircle, as the investor, agreed that it would pay Madondo’s fees for his work as judicial manager.</w:t>
      </w:r>
      <w:r w:rsidR="005214D7" w:rsidRPr="00A223A5">
        <w:rPr>
          <w:rFonts w:ascii="Times New Roman" w:hAnsi="Times New Roman" w:cs="Times New Roman"/>
          <w:sz w:val="24"/>
          <w:szCs w:val="24"/>
        </w:rPr>
        <w:t xml:space="preserve">  These fees were subject to approval by the Master of the High Court.</w:t>
      </w:r>
    </w:p>
    <w:p w:rsidR="008D7A29" w:rsidRPr="00A223A5" w:rsidRDefault="00294F79"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In or about November 2019 a dispute arose between Madondo and Agricircle over the bill which the former had raised in respect of his fees.  </w:t>
      </w:r>
      <w:r w:rsidR="00120D67" w:rsidRPr="00A223A5">
        <w:rPr>
          <w:rFonts w:ascii="Times New Roman" w:hAnsi="Times New Roman" w:cs="Times New Roman"/>
          <w:sz w:val="24"/>
          <w:szCs w:val="24"/>
        </w:rPr>
        <w:t>By letter dated 5</w:t>
      </w:r>
      <w:r w:rsidR="00120D67" w:rsidRPr="00A223A5">
        <w:rPr>
          <w:rFonts w:ascii="Times New Roman" w:hAnsi="Times New Roman" w:cs="Times New Roman"/>
          <w:sz w:val="24"/>
          <w:szCs w:val="24"/>
          <w:vertAlign w:val="superscript"/>
        </w:rPr>
        <w:t>th</w:t>
      </w:r>
      <w:r w:rsidR="00120D67" w:rsidRPr="00A223A5">
        <w:rPr>
          <w:rFonts w:ascii="Times New Roman" w:hAnsi="Times New Roman" w:cs="Times New Roman"/>
          <w:sz w:val="24"/>
          <w:szCs w:val="24"/>
        </w:rPr>
        <w:t xml:space="preserve"> November 2019, Madondo presented to the Master his draft Bill of Costs for consideration.  The accompanying letter was copied to the legal practitioners for Agricircle.  Agricircle, through its legal practitioners, wrote to the Master on 7</w:t>
      </w:r>
      <w:r w:rsidR="004A6D1E" w:rsidRPr="00A223A5">
        <w:rPr>
          <w:rFonts w:ascii="Times New Roman" w:hAnsi="Times New Roman" w:cs="Times New Roman"/>
          <w:sz w:val="24"/>
          <w:szCs w:val="24"/>
        </w:rPr>
        <w:t xml:space="preserve"> November 2019 registering its</w:t>
      </w:r>
      <w:r w:rsidR="00120D67" w:rsidRPr="00A223A5">
        <w:rPr>
          <w:rFonts w:ascii="Times New Roman" w:hAnsi="Times New Roman" w:cs="Times New Roman"/>
          <w:sz w:val="24"/>
          <w:szCs w:val="24"/>
        </w:rPr>
        <w:t xml:space="preserve"> objection to the bill.  The letter was delivered at the Master’s office on 8 November 2019 and at Madondo’s offices on 14 November 2019.  In that letter Agricircle disputes some of the attendances and costs included in the bill.</w:t>
      </w:r>
      <w:r w:rsidR="00F20B7D" w:rsidRPr="00A223A5">
        <w:rPr>
          <w:rFonts w:ascii="Times New Roman" w:hAnsi="Times New Roman" w:cs="Times New Roman"/>
          <w:sz w:val="24"/>
          <w:szCs w:val="24"/>
        </w:rPr>
        <w:t xml:space="preserve">  They asked that the bill be taxed and that they be notified of the taxation date.  On 14 November 2019, Madondo wrote to the Master objecting to the setting down of the taxation on the ground that it had been overtaken by events, in that the bill had been taxed and returned on 8 November 2019.</w:t>
      </w:r>
      <w:r w:rsidR="0049739F" w:rsidRPr="00A223A5">
        <w:rPr>
          <w:rFonts w:ascii="Times New Roman" w:hAnsi="Times New Roman" w:cs="Times New Roman"/>
          <w:sz w:val="24"/>
          <w:szCs w:val="24"/>
        </w:rPr>
        <w:t xml:space="preserve">  Madondo contended that A</w:t>
      </w:r>
      <w:r w:rsidR="008D7A29" w:rsidRPr="00A223A5">
        <w:rPr>
          <w:rFonts w:ascii="Times New Roman" w:hAnsi="Times New Roman" w:cs="Times New Roman"/>
          <w:sz w:val="24"/>
          <w:szCs w:val="24"/>
        </w:rPr>
        <w:t>gricircle had been given an opportunity to comment on the bill before it was submitted to the Master for taxation.</w:t>
      </w:r>
      <w:r w:rsidR="00F36142" w:rsidRPr="00A223A5">
        <w:rPr>
          <w:rFonts w:ascii="Times New Roman" w:hAnsi="Times New Roman" w:cs="Times New Roman"/>
          <w:sz w:val="24"/>
          <w:szCs w:val="24"/>
        </w:rPr>
        <w:t xml:space="preserve">  </w:t>
      </w:r>
    </w:p>
    <w:p w:rsidR="008D7A29" w:rsidRPr="00A223A5" w:rsidRDefault="008D7A29"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On 19 November 2019 the Master wrote to the legal practitioners for Agricircle directing them to reduce their queries to writing to enable the other party to consider them.  On 21 November </w:t>
      </w:r>
      <w:r w:rsidRPr="00A223A5">
        <w:rPr>
          <w:rFonts w:ascii="Times New Roman" w:hAnsi="Times New Roman" w:cs="Times New Roman"/>
          <w:sz w:val="24"/>
          <w:szCs w:val="24"/>
        </w:rPr>
        <w:lastRenderedPageBreak/>
        <w:t>2019 the legal practitioners for Agricircle wrote to the Master insisting on a set down of the taxation.  The Master responded to the letter by letter dated 26 Novem</w:t>
      </w:r>
      <w:r w:rsidR="00D65177" w:rsidRPr="00A223A5">
        <w:rPr>
          <w:rFonts w:ascii="Times New Roman" w:hAnsi="Times New Roman" w:cs="Times New Roman"/>
          <w:sz w:val="24"/>
          <w:szCs w:val="24"/>
        </w:rPr>
        <w:t>ber 2019, advising that the judicial manager’s feenote</w:t>
      </w:r>
      <w:r w:rsidRPr="00A223A5">
        <w:rPr>
          <w:rFonts w:ascii="Times New Roman" w:hAnsi="Times New Roman" w:cs="Times New Roman"/>
          <w:sz w:val="24"/>
          <w:szCs w:val="24"/>
        </w:rPr>
        <w:t xml:space="preserve"> in question had been approved on 8 November 2019.</w:t>
      </w:r>
    </w:p>
    <w:p w:rsidR="00D12156" w:rsidRPr="00A223A5" w:rsidRDefault="00D12156"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The parties’ contentions</w:t>
      </w:r>
    </w:p>
    <w:p w:rsidR="00D65177" w:rsidRPr="00A223A5" w:rsidRDefault="008D7A29"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applicant’s complaint is that there was collusion between Madondo</w:t>
      </w:r>
      <w:r w:rsidR="00C3692F" w:rsidRPr="00A223A5">
        <w:rPr>
          <w:rFonts w:ascii="Times New Roman" w:hAnsi="Times New Roman" w:cs="Times New Roman"/>
          <w:sz w:val="24"/>
          <w:szCs w:val="24"/>
        </w:rPr>
        <w:t xml:space="preserve"> and the Master’s office to prev</w:t>
      </w:r>
      <w:r w:rsidRPr="00A223A5">
        <w:rPr>
          <w:rFonts w:ascii="Times New Roman" w:hAnsi="Times New Roman" w:cs="Times New Roman"/>
          <w:sz w:val="24"/>
          <w:szCs w:val="24"/>
        </w:rPr>
        <w:t>ent it from making representations concerning the aspects of the bill of costs which it disputed.</w:t>
      </w:r>
      <w:r w:rsidR="0049739F" w:rsidRPr="00A223A5">
        <w:rPr>
          <w:rFonts w:ascii="Times New Roman" w:hAnsi="Times New Roman" w:cs="Times New Roman"/>
          <w:sz w:val="24"/>
          <w:szCs w:val="24"/>
        </w:rPr>
        <w:t xml:space="preserve">  It alleges that the bill was approved contrary to the provisions of the Administrative Justice Act and s 68(1) of the Constitution of Zimbabwe.  The allegation is made that the taxation was backdated to 8 November 2019.</w:t>
      </w:r>
    </w:p>
    <w:p w:rsidR="003501CF" w:rsidRPr="00A223A5" w:rsidRDefault="00D65177"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The Master prepared a report in which he advises </w:t>
      </w:r>
      <w:r w:rsidR="00C3692F" w:rsidRPr="00A223A5">
        <w:rPr>
          <w:rFonts w:ascii="Times New Roman" w:hAnsi="Times New Roman" w:cs="Times New Roman"/>
          <w:sz w:val="24"/>
          <w:szCs w:val="24"/>
        </w:rPr>
        <w:t xml:space="preserve">of </w:t>
      </w:r>
      <w:r w:rsidRPr="00A223A5">
        <w:rPr>
          <w:rFonts w:ascii="Times New Roman" w:hAnsi="Times New Roman" w:cs="Times New Roman"/>
          <w:sz w:val="24"/>
          <w:szCs w:val="24"/>
        </w:rPr>
        <w:t>his election to abide by the decision of the court save in relation to the costs which were sought against him which he contests.  In the report</w:t>
      </w:r>
      <w:r w:rsidR="00C3692F" w:rsidRPr="00A223A5">
        <w:rPr>
          <w:rFonts w:ascii="Times New Roman" w:hAnsi="Times New Roman" w:cs="Times New Roman"/>
          <w:sz w:val="24"/>
          <w:szCs w:val="24"/>
        </w:rPr>
        <w:t>,</w:t>
      </w:r>
      <w:r w:rsidRPr="00A223A5">
        <w:rPr>
          <w:rFonts w:ascii="Times New Roman" w:hAnsi="Times New Roman" w:cs="Times New Roman"/>
          <w:sz w:val="24"/>
          <w:szCs w:val="24"/>
        </w:rPr>
        <w:t xml:space="preserve"> the Master</w:t>
      </w:r>
      <w:r w:rsidR="00C3692F" w:rsidRPr="00A223A5">
        <w:rPr>
          <w:rFonts w:ascii="Times New Roman" w:hAnsi="Times New Roman" w:cs="Times New Roman"/>
          <w:sz w:val="24"/>
          <w:szCs w:val="24"/>
        </w:rPr>
        <w:t xml:space="preserve"> explains that judicial manager</w:t>
      </w:r>
      <w:r w:rsidRPr="00A223A5">
        <w:rPr>
          <w:rFonts w:ascii="Times New Roman" w:hAnsi="Times New Roman" w:cs="Times New Roman"/>
          <w:sz w:val="24"/>
          <w:szCs w:val="24"/>
        </w:rPr>
        <w:t>s</w:t>
      </w:r>
      <w:r w:rsidR="00C3692F" w:rsidRPr="00A223A5">
        <w:rPr>
          <w:rFonts w:ascii="Times New Roman" w:hAnsi="Times New Roman" w:cs="Times New Roman"/>
          <w:sz w:val="24"/>
          <w:szCs w:val="24"/>
        </w:rPr>
        <w:t>’</w:t>
      </w:r>
      <w:r w:rsidRPr="00A223A5">
        <w:rPr>
          <w:rFonts w:ascii="Times New Roman" w:hAnsi="Times New Roman" w:cs="Times New Roman"/>
          <w:sz w:val="24"/>
          <w:szCs w:val="24"/>
        </w:rPr>
        <w:t xml:space="preserve"> fee notes are approved by him without going through the process of taxation such as applies to legal fees.  The judicial manager’s fees, according to the Master, were approved in terms of s 308(1) of the Companies Act [</w:t>
      </w:r>
      <w:r w:rsidRPr="00A223A5">
        <w:rPr>
          <w:rFonts w:ascii="Times New Roman" w:hAnsi="Times New Roman" w:cs="Times New Roman"/>
          <w:i/>
          <w:sz w:val="24"/>
          <w:szCs w:val="24"/>
        </w:rPr>
        <w:t>Chapter 24:03</w:t>
      </w:r>
      <w:r w:rsidRPr="00A223A5">
        <w:rPr>
          <w:rFonts w:ascii="Times New Roman" w:hAnsi="Times New Roman" w:cs="Times New Roman"/>
          <w:sz w:val="24"/>
          <w:szCs w:val="24"/>
        </w:rPr>
        <w:t>], having regard to the reasonableness of the fee and the recommendations, if any which may have been communicated to his office.</w:t>
      </w:r>
      <w:r w:rsidR="00132CBE" w:rsidRPr="00A223A5">
        <w:rPr>
          <w:rFonts w:ascii="Times New Roman" w:hAnsi="Times New Roman" w:cs="Times New Roman"/>
          <w:sz w:val="24"/>
          <w:szCs w:val="24"/>
        </w:rPr>
        <w:t xml:space="preserve">  The Master further explains that the letter of 19 November 2019 was meant to obtain details of the complaints which were being made otherwise the approval of the fee had already taken place on 8 November 2019.</w:t>
      </w:r>
      <w:r w:rsidR="00DB60E6" w:rsidRPr="00A223A5">
        <w:rPr>
          <w:rFonts w:ascii="Times New Roman" w:hAnsi="Times New Roman" w:cs="Times New Roman"/>
          <w:sz w:val="24"/>
          <w:szCs w:val="24"/>
        </w:rPr>
        <w:t xml:space="preserve">  Upon realising that the lawyers for Agricircle were engaging with his office on incorrect assumptions, the Master then informed them that the approval had actually taken place on 8 November 2019, which informat</w:t>
      </w:r>
      <w:r w:rsidR="00C3692F" w:rsidRPr="00A223A5">
        <w:rPr>
          <w:rFonts w:ascii="Times New Roman" w:hAnsi="Times New Roman" w:cs="Times New Roman"/>
          <w:sz w:val="24"/>
          <w:szCs w:val="24"/>
        </w:rPr>
        <w:t>ion was conveyed by letter of 26</w:t>
      </w:r>
      <w:r w:rsidR="00DB60E6" w:rsidRPr="00A223A5">
        <w:rPr>
          <w:rFonts w:ascii="Times New Roman" w:hAnsi="Times New Roman" w:cs="Times New Roman"/>
          <w:sz w:val="24"/>
          <w:szCs w:val="24"/>
        </w:rPr>
        <w:t xml:space="preserve"> November</w:t>
      </w:r>
      <w:r w:rsidR="00C3692F" w:rsidRPr="00A223A5">
        <w:rPr>
          <w:rFonts w:ascii="Times New Roman" w:hAnsi="Times New Roman" w:cs="Times New Roman"/>
          <w:sz w:val="24"/>
          <w:szCs w:val="24"/>
        </w:rPr>
        <w:t xml:space="preserve"> 2019</w:t>
      </w:r>
      <w:r w:rsidR="00DB60E6" w:rsidRPr="00A223A5">
        <w:rPr>
          <w:rFonts w:ascii="Times New Roman" w:hAnsi="Times New Roman" w:cs="Times New Roman"/>
          <w:sz w:val="24"/>
          <w:szCs w:val="24"/>
        </w:rPr>
        <w:t>.  He denies any misconduct as alleged by Agricircle.</w:t>
      </w:r>
    </w:p>
    <w:p w:rsidR="00B2704D" w:rsidRPr="00A223A5" w:rsidRDefault="003501CF"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In opposition, Madondo, has raised a plethora of points </w:t>
      </w:r>
      <w:r w:rsidRPr="00A223A5">
        <w:rPr>
          <w:rFonts w:ascii="Times New Roman" w:hAnsi="Times New Roman" w:cs="Times New Roman"/>
          <w:i/>
          <w:sz w:val="24"/>
          <w:szCs w:val="24"/>
        </w:rPr>
        <w:t>in limine</w:t>
      </w:r>
      <w:r w:rsidRPr="00A223A5">
        <w:rPr>
          <w:rFonts w:ascii="Times New Roman" w:hAnsi="Times New Roman" w:cs="Times New Roman"/>
          <w:sz w:val="24"/>
          <w:szCs w:val="24"/>
        </w:rPr>
        <w:t xml:space="preserve">.  These have been advanced under the following headings: that the deponent to the founding affidavit lacks </w:t>
      </w:r>
      <w:r w:rsidRPr="00A223A5">
        <w:rPr>
          <w:rFonts w:ascii="Times New Roman" w:hAnsi="Times New Roman" w:cs="Times New Roman"/>
          <w:i/>
          <w:sz w:val="24"/>
          <w:szCs w:val="24"/>
        </w:rPr>
        <w:t>locus standi</w:t>
      </w:r>
      <w:r w:rsidRPr="00A223A5">
        <w:rPr>
          <w:rFonts w:ascii="Times New Roman" w:hAnsi="Times New Roman" w:cs="Times New Roman"/>
          <w:sz w:val="24"/>
          <w:szCs w:val="24"/>
        </w:rPr>
        <w:t xml:space="preserve"> to represent Agricircle; non-joinder; no proper second respondent; no cause of action; and, no leave of the court to sue second respondent.</w:t>
      </w:r>
      <w:r w:rsidR="009B7BB6" w:rsidRPr="00A223A5">
        <w:rPr>
          <w:rFonts w:ascii="Times New Roman" w:hAnsi="Times New Roman" w:cs="Times New Roman"/>
          <w:sz w:val="24"/>
          <w:szCs w:val="24"/>
        </w:rPr>
        <w:t xml:space="preserve">  On the merits, Madondo states that the dispute arises </w:t>
      </w:r>
      <w:r w:rsidR="00A223A5">
        <w:rPr>
          <w:rFonts w:ascii="Times New Roman" w:hAnsi="Times New Roman" w:cs="Times New Roman"/>
          <w:sz w:val="24"/>
          <w:szCs w:val="24"/>
        </w:rPr>
        <w:t>from two bills which Agricircle</w:t>
      </w:r>
      <w:r w:rsidR="009B7BB6" w:rsidRPr="00A223A5">
        <w:rPr>
          <w:rFonts w:ascii="Times New Roman" w:hAnsi="Times New Roman" w:cs="Times New Roman"/>
          <w:sz w:val="24"/>
          <w:szCs w:val="24"/>
        </w:rPr>
        <w:t xml:space="preserve"> has failed to settle.  The first was a bill for ZW$156 887.64 which he reduced to ZW$130 104.72, but which Agricircle</w:t>
      </w:r>
      <w:r w:rsidR="00D71024" w:rsidRPr="00A223A5">
        <w:rPr>
          <w:rFonts w:ascii="Times New Roman" w:hAnsi="Times New Roman" w:cs="Times New Roman"/>
          <w:sz w:val="24"/>
          <w:szCs w:val="24"/>
        </w:rPr>
        <w:t xml:space="preserve"> has </w:t>
      </w:r>
      <w:r w:rsidR="00265101" w:rsidRPr="00A223A5">
        <w:rPr>
          <w:rFonts w:ascii="Times New Roman" w:hAnsi="Times New Roman" w:cs="Times New Roman"/>
          <w:sz w:val="24"/>
          <w:szCs w:val="24"/>
        </w:rPr>
        <w:t>not settled to date.  The second and final bill was discussed between Madondo and Agricircle before it was submitted to the Master for approval</w:t>
      </w:r>
      <w:r w:rsidR="0047628E" w:rsidRPr="00A223A5">
        <w:rPr>
          <w:rFonts w:ascii="Times New Roman" w:hAnsi="Times New Roman" w:cs="Times New Roman"/>
          <w:sz w:val="24"/>
          <w:szCs w:val="24"/>
        </w:rPr>
        <w:t xml:space="preserve">.  All the questions asked by Agricircle about the bill were answered and issues were clarified before the bill was submitted for approval.  The Master approved the bill on 8 November </w:t>
      </w:r>
      <w:r w:rsidR="0047628E" w:rsidRPr="00A223A5">
        <w:rPr>
          <w:rFonts w:ascii="Times New Roman" w:hAnsi="Times New Roman" w:cs="Times New Roman"/>
          <w:sz w:val="24"/>
          <w:szCs w:val="24"/>
        </w:rPr>
        <w:lastRenderedPageBreak/>
        <w:t>2019 and returned it to him.  Letters from Agricircle’s lega</w:t>
      </w:r>
      <w:r w:rsidR="008C1D3F" w:rsidRPr="00A223A5">
        <w:rPr>
          <w:rFonts w:ascii="Times New Roman" w:hAnsi="Times New Roman" w:cs="Times New Roman"/>
          <w:sz w:val="24"/>
          <w:szCs w:val="24"/>
        </w:rPr>
        <w:t xml:space="preserve">l practitioners asking for the </w:t>
      </w:r>
      <w:r w:rsidR="0047628E" w:rsidRPr="00A223A5">
        <w:rPr>
          <w:rFonts w:ascii="Times New Roman" w:hAnsi="Times New Roman" w:cs="Times New Roman"/>
          <w:sz w:val="24"/>
          <w:szCs w:val="24"/>
        </w:rPr>
        <w:t>setting down of taxation</w:t>
      </w:r>
      <w:r w:rsidRPr="00A223A5">
        <w:rPr>
          <w:rFonts w:ascii="Times New Roman" w:hAnsi="Times New Roman" w:cs="Times New Roman"/>
          <w:sz w:val="24"/>
          <w:szCs w:val="24"/>
        </w:rPr>
        <w:t xml:space="preserve"> </w:t>
      </w:r>
      <w:r w:rsidR="0047628E" w:rsidRPr="00A223A5">
        <w:rPr>
          <w:rFonts w:ascii="Times New Roman" w:hAnsi="Times New Roman" w:cs="Times New Roman"/>
          <w:sz w:val="24"/>
          <w:szCs w:val="24"/>
        </w:rPr>
        <w:t>proceedings were written after the bill had been approved.</w:t>
      </w:r>
      <w:r w:rsidR="008C1D3F" w:rsidRPr="00A223A5">
        <w:rPr>
          <w:rFonts w:ascii="Times New Roman" w:hAnsi="Times New Roman" w:cs="Times New Roman"/>
          <w:sz w:val="24"/>
          <w:szCs w:val="24"/>
        </w:rPr>
        <w:t xml:space="preserve">  Madondo details instances where </w:t>
      </w:r>
      <w:r w:rsidR="00266560" w:rsidRPr="00A223A5">
        <w:rPr>
          <w:rFonts w:ascii="Times New Roman" w:hAnsi="Times New Roman" w:cs="Times New Roman"/>
          <w:sz w:val="24"/>
          <w:szCs w:val="24"/>
        </w:rPr>
        <w:t>he alleges that Agricircle refused or failed to pay what was due to him, including reimbursing for expenses incurred such as the Scheme Chairman’s fees and expenses incurred in respect of advertising.</w:t>
      </w:r>
      <w:r w:rsidR="0099640E" w:rsidRPr="00A223A5">
        <w:rPr>
          <w:rFonts w:ascii="Times New Roman" w:hAnsi="Times New Roman" w:cs="Times New Roman"/>
          <w:sz w:val="24"/>
          <w:szCs w:val="24"/>
        </w:rPr>
        <w:t xml:space="preserve">  Madondo denies any contravention of the provisions of the Administrative Justice Act</w:t>
      </w:r>
      <w:r w:rsidR="00F36142" w:rsidRPr="00A223A5">
        <w:rPr>
          <w:rFonts w:ascii="Times New Roman" w:hAnsi="Times New Roman" w:cs="Times New Roman"/>
          <w:sz w:val="24"/>
          <w:szCs w:val="24"/>
        </w:rPr>
        <w:t>, and counterclaims through the counter</w:t>
      </w:r>
      <w:r w:rsidR="00C3692F" w:rsidRPr="00A223A5">
        <w:rPr>
          <w:rFonts w:ascii="Times New Roman" w:hAnsi="Times New Roman" w:cs="Times New Roman"/>
          <w:sz w:val="24"/>
          <w:szCs w:val="24"/>
        </w:rPr>
        <w:t>-</w:t>
      </w:r>
      <w:r w:rsidR="00F36142" w:rsidRPr="00A223A5">
        <w:rPr>
          <w:rFonts w:ascii="Times New Roman" w:hAnsi="Times New Roman" w:cs="Times New Roman"/>
          <w:sz w:val="24"/>
          <w:szCs w:val="24"/>
        </w:rPr>
        <w:t>application for payment of the sum of $339 484.92.</w:t>
      </w:r>
      <w:r w:rsidRPr="00A223A5">
        <w:rPr>
          <w:rFonts w:ascii="Times New Roman" w:hAnsi="Times New Roman" w:cs="Times New Roman"/>
          <w:sz w:val="24"/>
          <w:szCs w:val="24"/>
        </w:rPr>
        <w:t xml:space="preserve"> </w:t>
      </w:r>
      <w:r w:rsidR="0049739F" w:rsidRPr="00A223A5">
        <w:rPr>
          <w:rFonts w:ascii="Times New Roman" w:hAnsi="Times New Roman" w:cs="Times New Roman"/>
          <w:sz w:val="24"/>
          <w:szCs w:val="24"/>
        </w:rPr>
        <w:t xml:space="preserve"> </w:t>
      </w:r>
      <w:r w:rsidR="00120D67" w:rsidRPr="00A223A5">
        <w:rPr>
          <w:rFonts w:ascii="Times New Roman" w:hAnsi="Times New Roman" w:cs="Times New Roman"/>
          <w:sz w:val="24"/>
          <w:szCs w:val="24"/>
        </w:rPr>
        <w:t xml:space="preserve">    </w:t>
      </w:r>
    </w:p>
    <w:p w:rsidR="006D21B4" w:rsidRPr="00A223A5" w:rsidRDefault="00F36142" w:rsidP="00A223A5">
      <w:pPr>
        <w:spacing w:after="0" w:line="360" w:lineRule="auto"/>
        <w:jc w:val="both"/>
        <w:rPr>
          <w:rFonts w:ascii="Times New Roman" w:hAnsi="Times New Roman" w:cs="Times New Roman"/>
          <w:sz w:val="24"/>
          <w:szCs w:val="24"/>
        </w:rPr>
      </w:pPr>
      <w:r w:rsidRPr="00A223A5">
        <w:rPr>
          <w:rFonts w:ascii="Times New Roman" w:hAnsi="Times New Roman" w:cs="Times New Roman"/>
          <w:b/>
          <w:sz w:val="24"/>
          <w:szCs w:val="24"/>
          <w:u w:val="single"/>
        </w:rPr>
        <w:t xml:space="preserve">Objections </w:t>
      </w:r>
      <w:r w:rsidRPr="00A223A5">
        <w:rPr>
          <w:rFonts w:ascii="Times New Roman" w:hAnsi="Times New Roman" w:cs="Times New Roman"/>
          <w:b/>
          <w:i/>
          <w:sz w:val="24"/>
          <w:szCs w:val="24"/>
          <w:u w:val="single"/>
        </w:rPr>
        <w:t>in limine</w:t>
      </w:r>
    </w:p>
    <w:p w:rsidR="00F36142" w:rsidRPr="00A223A5" w:rsidRDefault="000224D5" w:rsidP="00A223A5">
      <w:pPr>
        <w:spacing w:after="0" w:line="360" w:lineRule="auto"/>
        <w:jc w:val="both"/>
        <w:rPr>
          <w:rFonts w:ascii="Times New Roman" w:hAnsi="Times New Roman" w:cs="Times New Roman"/>
          <w:sz w:val="24"/>
          <w:szCs w:val="24"/>
        </w:rPr>
      </w:pPr>
      <w:r w:rsidRPr="00A223A5">
        <w:rPr>
          <w:rFonts w:ascii="Times New Roman" w:hAnsi="Times New Roman" w:cs="Times New Roman"/>
          <w:b/>
          <w:sz w:val="24"/>
          <w:szCs w:val="24"/>
          <w:u w:val="single"/>
        </w:rPr>
        <w:t>The authority of Rodreck Itayi Musiyiwa</w:t>
      </w:r>
    </w:p>
    <w:p w:rsidR="000224D5" w:rsidRPr="00A223A5" w:rsidRDefault="000224D5"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Madondo takes the point that that there is no proof that Rodreck Itayi Musiyiwa is authorized to represent Agricircle in these proceedings in the absence of a resolution to that effect.  This is a point that almost every litigant seems to be obsessed with these days.  It is not in every case that a resolution of the board is required to be attached to the affidavit of a deponent in proceedings involving a company.  Where, as in the instant case, the deponent to the affidavit is a director of the company and has made the averment on o</w:t>
      </w:r>
      <w:r w:rsidR="00585B84" w:rsidRPr="00A223A5">
        <w:rPr>
          <w:rFonts w:ascii="Times New Roman" w:hAnsi="Times New Roman" w:cs="Times New Roman"/>
          <w:sz w:val="24"/>
          <w:szCs w:val="24"/>
        </w:rPr>
        <w:t>ath that he has the authority t</w:t>
      </w:r>
      <w:r w:rsidRPr="00A223A5">
        <w:rPr>
          <w:rFonts w:ascii="Times New Roman" w:hAnsi="Times New Roman" w:cs="Times New Roman"/>
          <w:sz w:val="24"/>
          <w:szCs w:val="24"/>
        </w:rPr>
        <w:t>o depose to the affidavit the onus is on the person challenging such authority to give evidence to contradict the assertions made by the deponent.  In this case, no such evidence was tendered.  After all, the d</w:t>
      </w:r>
      <w:r w:rsidR="00585B84" w:rsidRPr="00A223A5">
        <w:rPr>
          <w:rFonts w:ascii="Times New Roman" w:hAnsi="Times New Roman" w:cs="Times New Roman"/>
          <w:sz w:val="24"/>
          <w:szCs w:val="24"/>
        </w:rPr>
        <w:t>ocuments before this court show</w:t>
      </w:r>
      <w:r w:rsidRPr="00A223A5">
        <w:rPr>
          <w:rFonts w:ascii="Times New Roman" w:hAnsi="Times New Roman" w:cs="Times New Roman"/>
          <w:sz w:val="24"/>
          <w:szCs w:val="24"/>
        </w:rPr>
        <w:t xml:space="preserve"> that in all the dealings with Agricircle</w:t>
      </w:r>
      <w:r w:rsidR="00585B84" w:rsidRPr="00A223A5">
        <w:rPr>
          <w:rFonts w:ascii="Times New Roman" w:hAnsi="Times New Roman" w:cs="Times New Roman"/>
          <w:sz w:val="24"/>
          <w:szCs w:val="24"/>
        </w:rPr>
        <w:t>,</w:t>
      </w:r>
      <w:r w:rsidRPr="00A223A5">
        <w:rPr>
          <w:rFonts w:ascii="Times New Roman" w:hAnsi="Times New Roman" w:cs="Times New Roman"/>
          <w:sz w:val="24"/>
          <w:szCs w:val="24"/>
        </w:rPr>
        <w:t xml:space="preserve"> Madondo was dealing with the same Musiyiwa whose authority he seeks to challenge now.  The objection in this respect is not properly founded; it is also not based on evidence.  Accordingly, it is dismissed.</w:t>
      </w:r>
    </w:p>
    <w:p w:rsidR="00F54490" w:rsidRPr="00A223A5" w:rsidRDefault="000224D5" w:rsidP="00A223A5">
      <w:pPr>
        <w:spacing w:line="360" w:lineRule="auto"/>
        <w:jc w:val="both"/>
        <w:rPr>
          <w:rFonts w:ascii="Times New Roman" w:hAnsi="Times New Roman" w:cs="Times New Roman"/>
          <w:sz w:val="24"/>
          <w:szCs w:val="24"/>
        </w:rPr>
      </w:pPr>
      <w:r w:rsidRPr="00A223A5">
        <w:rPr>
          <w:rFonts w:ascii="Times New Roman" w:hAnsi="Times New Roman" w:cs="Times New Roman"/>
          <w:b/>
          <w:sz w:val="24"/>
          <w:szCs w:val="24"/>
          <w:u w:val="single"/>
        </w:rPr>
        <w:t>Non-joinder</w:t>
      </w:r>
    </w:p>
    <w:p w:rsidR="000224D5" w:rsidRPr="00A223A5" w:rsidRDefault="00F54490"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The alleged non-joinder pertains to the Scheme Manager and the companies which are under the scheme of arrangements.  A party is only entitled to participate in proceedings if that party has a direct and substantial interest in the subject matter </w:t>
      </w:r>
      <w:r w:rsidR="00AD5A3B" w:rsidRPr="00A223A5">
        <w:rPr>
          <w:rFonts w:ascii="Times New Roman" w:hAnsi="Times New Roman" w:cs="Times New Roman"/>
          <w:sz w:val="24"/>
          <w:szCs w:val="24"/>
        </w:rPr>
        <w:t xml:space="preserve">and outcome </w:t>
      </w:r>
      <w:r w:rsidRPr="00A223A5">
        <w:rPr>
          <w:rFonts w:ascii="Times New Roman" w:hAnsi="Times New Roman" w:cs="Times New Roman"/>
          <w:sz w:val="24"/>
          <w:szCs w:val="24"/>
        </w:rPr>
        <w:t>of the proceedings</w:t>
      </w:r>
      <w:r w:rsidR="00AD5A3B" w:rsidRPr="00A223A5">
        <w:rPr>
          <w:rFonts w:ascii="Times New Roman" w:hAnsi="Times New Roman" w:cs="Times New Roman"/>
          <w:sz w:val="24"/>
          <w:szCs w:val="24"/>
        </w:rPr>
        <w:t xml:space="preserve">, see </w:t>
      </w:r>
      <w:r w:rsidR="00AD5A3B" w:rsidRPr="00A223A5">
        <w:rPr>
          <w:rFonts w:ascii="Times New Roman" w:hAnsi="Times New Roman" w:cs="Times New Roman"/>
          <w:i/>
          <w:sz w:val="24"/>
          <w:szCs w:val="24"/>
        </w:rPr>
        <w:t xml:space="preserve">Zimbabwe Teachers Association and Others </w:t>
      </w:r>
      <w:r w:rsidR="00AD5A3B" w:rsidRPr="00A223A5">
        <w:rPr>
          <w:rFonts w:ascii="Times New Roman" w:hAnsi="Times New Roman" w:cs="Times New Roman"/>
          <w:sz w:val="24"/>
          <w:szCs w:val="24"/>
        </w:rPr>
        <w:t>v</w:t>
      </w:r>
      <w:r w:rsidR="00AD5A3B" w:rsidRPr="00A223A5">
        <w:rPr>
          <w:rFonts w:ascii="Times New Roman" w:hAnsi="Times New Roman" w:cs="Times New Roman"/>
          <w:i/>
          <w:sz w:val="24"/>
          <w:szCs w:val="24"/>
        </w:rPr>
        <w:t xml:space="preserve"> Minister of Education </w:t>
      </w:r>
      <w:r w:rsidR="00AD5A3B" w:rsidRPr="00A223A5">
        <w:rPr>
          <w:rFonts w:ascii="Times New Roman" w:hAnsi="Times New Roman" w:cs="Times New Roman"/>
          <w:sz w:val="24"/>
          <w:szCs w:val="24"/>
        </w:rPr>
        <w:t>1990 (2) ZLR 48</w:t>
      </w:r>
      <w:r w:rsidR="00A223A5">
        <w:rPr>
          <w:rFonts w:ascii="Times New Roman" w:hAnsi="Times New Roman" w:cs="Times New Roman"/>
          <w:sz w:val="24"/>
          <w:szCs w:val="24"/>
        </w:rPr>
        <w:t xml:space="preserve"> </w:t>
      </w:r>
      <w:r w:rsidR="00AD5A3B" w:rsidRPr="00A223A5">
        <w:rPr>
          <w:rFonts w:ascii="Times New Roman" w:hAnsi="Times New Roman" w:cs="Times New Roman"/>
          <w:sz w:val="24"/>
          <w:szCs w:val="24"/>
        </w:rPr>
        <w:t>(HC) at 52F-53E</w:t>
      </w:r>
      <w:r w:rsidRPr="00A223A5">
        <w:rPr>
          <w:rFonts w:ascii="Times New Roman" w:hAnsi="Times New Roman" w:cs="Times New Roman"/>
          <w:sz w:val="24"/>
          <w:szCs w:val="24"/>
        </w:rPr>
        <w:t xml:space="preserve">.  The interest must be a legal interest.  No relief is </w:t>
      </w:r>
      <w:r w:rsidR="00AD5A3B" w:rsidRPr="00A223A5">
        <w:rPr>
          <w:rFonts w:ascii="Times New Roman" w:hAnsi="Times New Roman" w:cs="Times New Roman"/>
          <w:sz w:val="24"/>
          <w:szCs w:val="24"/>
        </w:rPr>
        <w:t xml:space="preserve">being </w:t>
      </w:r>
      <w:r w:rsidRPr="00A223A5">
        <w:rPr>
          <w:rFonts w:ascii="Times New Roman" w:hAnsi="Times New Roman" w:cs="Times New Roman"/>
          <w:sz w:val="24"/>
          <w:szCs w:val="24"/>
        </w:rPr>
        <w:t>sought against these entities by the applicant in HC206/20.  The relief sought is for the setting aside of the approval by the Master of the fee</w:t>
      </w:r>
      <w:r w:rsidR="00AD5A3B" w:rsidRPr="00A223A5">
        <w:rPr>
          <w:rFonts w:ascii="Times New Roman" w:hAnsi="Times New Roman" w:cs="Times New Roman"/>
          <w:sz w:val="24"/>
          <w:szCs w:val="24"/>
        </w:rPr>
        <w:t>s</w:t>
      </w:r>
      <w:r w:rsidRPr="00A223A5">
        <w:rPr>
          <w:rFonts w:ascii="Times New Roman" w:hAnsi="Times New Roman" w:cs="Times New Roman"/>
          <w:sz w:val="24"/>
          <w:szCs w:val="24"/>
        </w:rPr>
        <w:t xml:space="preserve"> charged by Madondo for his services as judicial manager.  These fees have nothing to do with the Scheme Manager or the companies under judicial management.  The fee</w:t>
      </w:r>
      <w:r w:rsidR="00AD5A3B" w:rsidRPr="00A223A5">
        <w:rPr>
          <w:rFonts w:ascii="Times New Roman" w:hAnsi="Times New Roman" w:cs="Times New Roman"/>
          <w:sz w:val="24"/>
          <w:szCs w:val="24"/>
        </w:rPr>
        <w:t>s were</w:t>
      </w:r>
      <w:r w:rsidRPr="00A223A5">
        <w:rPr>
          <w:rFonts w:ascii="Times New Roman" w:hAnsi="Times New Roman" w:cs="Times New Roman"/>
          <w:sz w:val="24"/>
          <w:szCs w:val="24"/>
        </w:rPr>
        <w:t xml:space="preserve"> </w:t>
      </w:r>
      <w:r w:rsidRPr="00A223A5">
        <w:rPr>
          <w:rFonts w:ascii="Times New Roman" w:hAnsi="Times New Roman" w:cs="Times New Roman"/>
          <w:sz w:val="24"/>
          <w:szCs w:val="24"/>
        </w:rPr>
        <w:lastRenderedPageBreak/>
        <w:t xml:space="preserve">approved by the Master who is cited, and the approval was for the benefit of Madondo who is also cited.  The objection based on the non-joinder of the named persons is therefore without merit.  </w:t>
      </w:r>
      <w:r w:rsidR="000224D5" w:rsidRPr="00A223A5">
        <w:rPr>
          <w:rFonts w:ascii="Times New Roman" w:hAnsi="Times New Roman" w:cs="Times New Roman"/>
          <w:sz w:val="24"/>
          <w:szCs w:val="24"/>
        </w:rPr>
        <w:t xml:space="preserve"> </w:t>
      </w:r>
    </w:p>
    <w:p w:rsidR="00AD5A3B" w:rsidRPr="00A223A5" w:rsidRDefault="00AD5A3B"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Incorrect citation of Madondo</w:t>
      </w:r>
    </w:p>
    <w:p w:rsidR="00AD5A3B" w:rsidRPr="00A223A5" w:rsidRDefault="00AD5A3B"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respondent’s contention is that Madondo ought to have been cited in his official capacity as the judicial manager rather than in his personal capacity.  While the fees in dispute are doe to him for services rendered in the capacity of judicial manager, the appointment to that office was personal.  Thus, he is the person who is entitled to the fees.  While it would have indeed be desirable and proper to clearly state that he is cited in his capacity as judicial manager, it seems to me that that omission does not render the proceedings fatally defective.  The founding affidavit makes it clear that he wa</w:t>
      </w:r>
      <w:r w:rsidR="00471AF0" w:rsidRPr="00A223A5">
        <w:rPr>
          <w:rFonts w:ascii="Times New Roman" w:hAnsi="Times New Roman" w:cs="Times New Roman"/>
          <w:sz w:val="24"/>
          <w:szCs w:val="24"/>
        </w:rPr>
        <w:t>s the judicial manager and that</w:t>
      </w:r>
      <w:r w:rsidRPr="00A223A5">
        <w:rPr>
          <w:rFonts w:ascii="Times New Roman" w:hAnsi="Times New Roman" w:cs="Times New Roman"/>
          <w:sz w:val="24"/>
          <w:szCs w:val="24"/>
        </w:rPr>
        <w:t xml:space="preserve"> the fees being questioned or disputed were due to him</w:t>
      </w:r>
      <w:r w:rsidR="00471AF0" w:rsidRPr="00A223A5">
        <w:rPr>
          <w:rFonts w:ascii="Times New Roman" w:hAnsi="Times New Roman" w:cs="Times New Roman"/>
          <w:sz w:val="24"/>
          <w:szCs w:val="24"/>
        </w:rPr>
        <w:t xml:space="preserve"> in that capacity, see paras 9 and 10 of founding affidavit in HC 206/20.  Thus the objection, while sound, does not invalidate the proceedings.  In any event, he was able to respond to all the issues raised and did so in that capacity albeit he states in the counter application that he is now a former judicial manager.  If he has since vacated the office it would not be proper to cite him in t</w:t>
      </w:r>
      <w:r w:rsidR="00585B84" w:rsidRPr="00A223A5">
        <w:rPr>
          <w:rFonts w:ascii="Times New Roman" w:hAnsi="Times New Roman" w:cs="Times New Roman"/>
          <w:sz w:val="24"/>
          <w:szCs w:val="24"/>
        </w:rPr>
        <w:t>he</w:t>
      </w:r>
      <w:r w:rsidR="00471AF0" w:rsidRPr="00A223A5">
        <w:rPr>
          <w:rFonts w:ascii="Times New Roman" w:hAnsi="Times New Roman" w:cs="Times New Roman"/>
          <w:sz w:val="24"/>
          <w:szCs w:val="24"/>
        </w:rPr>
        <w:t xml:space="preserve"> capacity which he no longer holds.  For these reasons, the objection must fail.</w:t>
      </w:r>
      <w:r w:rsidRPr="00A223A5">
        <w:rPr>
          <w:rFonts w:ascii="Times New Roman" w:hAnsi="Times New Roman" w:cs="Times New Roman"/>
          <w:sz w:val="24"/>
          <w:szCs w:val="24"/>
        </w:rPr>
        <w:t xml:space="preserve">  </w:t>
      </w:r>
    </w:p>
    <w:p w:rsidR="00E033F2" w:rsidRPr="00A223A5" w:rsidRDefault="00E033F2"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No cause of action</w:t>
      </w:r>
    </w:p>
    <w:p w:rsidR="00A61FA1" w:rsidRPr="00A223A5" w:rsidRDefault="00E033F2"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The respondent’s objection advanced under this head pertains to the merits of the applicant’s claim.  The issues raised – namely – that </w:t>
      </w:r>
      <w:r w:rsidR="00A61FA1" w:rsidRPr="00A223A5">
        <w:rPr>
          <w:rFonts w:ascii="Times New Roman" w:hAnsi="Times New Roman" w:cs="Times New Roman"/>
          <w:sz w:val="24"/>
          <w:szCs w:val="24"/>
        </w:rPr>
        <w:t>the applicant was indeed given an opportunity to make representations on the fee note and that the first respondent acted properly in</w:t>
      </w:r>
      <w:r w:rsidR="00585B84" w:rsidRPr="00A223A5">
        <w:rPr>
          <w:rFonts w:ascii="Times New Roman" w:hAnsi="Times New Roman" w:cs="Times New Roman"/>
          <w:sz w:val="24"/>
          <w:szCs w:val="24"/>
        </w:rPr>
        <w:t xml:space="preserve"> accordance with the law</w:t>
      </w:r>
      <w:r w:rsidR="00A61FA1" w:rsidRPr="00A223A5">
        <w:rPr>
          <w:rFonts w:ascii="Times New Roman" w:hAnsi="Times New Roman" w:cs="Times New Roman"/>
          <w:sz w:val="24"/>
          <w:szCs w:val="24"/>
        </w:rPr>
        <w:t xml:space="preserve"> are the questions for determination on the merits.  For these reasons, the objection must fail.</w:t>
      </w:r>
    </w:p>
    <w:p w:rsidR="00A61FA1" w:rsidRPr="00A223A5" w:rsidRDefault="00A61FA1"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The absence of leave to sue Madondo</w:t>
      </w:r>
    </w:p>
    <w:p w:rsidR="006C754E" w:rsidRPr="00A223A5" w:rsidRDefault="00A61FA1"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Madondo states in his affidavits that he is a former judicial manager.  </w:t>
      </w:r>
      <w:r w:rsidR="00320118" w:rsidRPr="00A223A5">
        <w:rPr>
          <w:rFonts w:ascii="Times New Roman" w:hAnsi="Times New Roman" w:cs="Times New Roman"/>
          <w:sz w:val="24"/>
          <w:szCs w:val="24"/>
        </w:rPr>
        <w:t>He also makes the point in the same affidavit that he has been cited in his personal capacity, which is contradictory to the ground of objection being taken.  Since he had ceased to be judicial manager at the time that the proceedings were instituted the ground of objection is not supportable.</w:t>
      </w:r>
      <w:r w:rsidR="006C754E" w:rsidRPr="00A223A5">
        <w:rPr>
          <w:rFonts w:ascii="Times New Roman" w:hAnsi="Times New Roman" w:cs="Times New Roman"/>
          <w:sz w:val="24"/>
          <w:szCs w:val="24"/>
        </w:rPr>
        <w:t xml:space="preserve">  Indeed, even in his counter application in HC 592/20 he does not cite himself in the official capacity of judicial manager (or former judicial manager).  He presents the application in his personal capa</w:t>
      </w:r>
      <w:r w:rsidR="00585B84" w:rsidRPr="00A223A5">
        <w:rPr>
          <w:rFonts w:ascii="Times New Roman" w:hAnsi="Times New Roman" w:cs="Times New Roman"/>
          <w:sz w:val="24"/>
          <w:szCs w:val="24"/>
        </w:rPr>
        <w:t>city. For these reasons, no leave</w:t>
      </w:r>
      <w:r w:rsidR="006C754E" w:rsidRPr="00A223A5">
        <w:rPr>
          <w:rFonts w:ascii="Times New Roman" w:hAnsi="Times New Roman" w:cs="Times New Roman"/>
          <w:sz w:val="24"/>
          <w:szCs w:val="24"/>
        </w:rPr>
        <w:t xml:space="preserve"> was required to institute proceedings against him.  The objection is accordingly dismissed.</w:t>
      </w:r>
    </w:p>
    <w:p w:rsidR="006C754E" w:rsidRPr="00A223A5" w:rsidRDefault="006C754E"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lastRenderedPageBreak/>
        <w:t>The jurisdiction of the court to determine the counter-application</w:t>
      </w:r>
    </w:p>
    <w:p w:rsidR="00617546" w:rsidRPr="00A223A5" w:rsidRDefault="006C754E"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In opposing the counter-application the respondents therein took the point that this court does not have jurisdiction to hear the matter because the parties consented to the jurisdiction of the Magistrates </w:t>
      </w:r>
      <w:r w:rsidR="007D65AB" w:rsidRPr="00A223A5">
        <w:rPr>
          <w:rFonts w:ascii="Times New Roman" w:hAnsi="Times New Roman" w:cs="Times New Roman"/>
          <w:sz w:val="24"/>
          <w:szCs w:val="24"/>
        </w:rPr>
        <w:t>Court.  The jurisdiction of this court cannot be ousted by the parties’ consent to the jurisdiction of the Magistrates Court because its jurisdiction is conferred by law and not by the parties.  It cannot therefore be ousted by the parties.  The effect of the consent to the jurisdiction of the Magistrates Court is simply that even where it would otherwise have no jurisdiction to deal with the dispute between the parties owing to, for instance, the amounts involved, the parties submit thems</w:t>
      </w:r>
      <w:r w:rsidR="000C042B" w:rsidRPr="00A223A5">
        <w:rPr>
          <w:rFonts w:ascii="Times New Roman" w:hAnsi="Times New Roman" w:cs="Times New Roman"/>
          <w:sz w:val="24"/>
          <w:szCs w:val="24"/>
        </w:rPr>
        <w:t>elves to its jurisdiction.  This simply means that either party has an election as to whether to institute the proceedings in this court or in the Magistrates Court notwithstanding the monetary dispute involved.</w:t>
      </w:r>
      <w:r w:rsidR="00C23B8D" w:rsidRPr="00A223A5">
        <w:rPr>
          <w:rFonts w:ascii="Times New Roman" w:hAnsi="Times New Roman" w:cs="Times New Roman"/>
          <w:sz w:val="24"/>
          <w:szCs w:val="24"/>
        </w:rPr>
        <w:t xml:space="preserve">  The objection is therefore dismissed.</w:t>
      </w:r>
    </w:p>
    <w:p w:rsidR="00617546" w:rsidRPr="00A223A5" w:rsidRDefault="00617546"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That the counter-application is improperly before the court</w:t>
      </w:r>
    </w:p>
    <w:p w:rsidR="00255E91" w:rsidRPr="00A223A5" w:rsidRDefault="00617546"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The basis of this objection is that the counter-application has a different case number and </w:t>
      </w:r>
      <w:r w:rsidR="00255E91" w:rsidRPr="00A223A5">
        <w:rPr>
          <w:rFonts w:ascii="Times New Roman" w:hAnsi="Times New Roman" w:cs="Times New Roman"/>
          <w:sz w:val="24"/>
          <w:szCs w:val="24"/>
        </w:rPr>
        <w:t xml:space="preserve">was not filed together with the notice of opposition.  </w:t>
      </w:r>
      <w:r w:rsidR="00AF0889" w:rsidRPr="00A223A5">
        <w:rPr>
          <w:rFonts w:ascii="Times New Roman" w:hAnsi="Times New Roman" w:cs="Times New Roman"/>
          <w:sz w:val="24"/>
          <w:szCs w:val="24"/>
        </w:rPr>
        <w:t>The date stamp shows that the counter-application and the opposing papers in HC 206/20 were filed on the same date.  The o</w:t>
      </w:r>
      <w:r w:rsidR="00C45A0F" w:rsidRPr="00A223A5">
        <w:rPr>
          <w:rFonts w:ascii="Times New Roman" w:hAnsi="Times New Roman" w:cs="Times New Roman"/>
          <w:sz w:val="24"/>
          <w:szCs w:val="24"/>
        </w:rPr>
        <w:t>nly anomaly is that the counter-</w:t>
      </w:r>
      <w:r w:rsidR="00AF0889" w:rsidRPr="00A223A5">
        <w:rPr>
          <w:rFonts w:ascii="Times New Roman" w:hAnsi="Times New Roman" w:cs="Times New Roman"/>
          <w:sz w:val="24"/>
          <w:szCs w:val="24"/>
        </w:rPr>
        <w:t>application was given a different case number from the main application. However, t</w:t>
      </w:r>
      <w:r w:rsidR="00255E91" w:rsidRPr="00A223A5">
        <w:rPr>
          <w:rFonts w:ascii="Times New Roman" w:hAnsi="Times New Roman" w:cs="Times New Roman"/>
          <w:sz w:val="24"/>
          <w:szCs w:val="24"/>
        </w:rPr>
        <w:t>his objection</w:t>
      </w:r>
      <w:r w:rsidR="00C45A0F" w:rsidRPr="00A223A5">
        <w:rPr>
          <w:rFonts w:ascii="Times New Roman" w:hAnsi="Times New Roman" w:cs="Times New Roman"/>
          <w:sz w:val="24"/>
          <w:szCs w:val="24"/>
        </w:rPr>
        <w:t xml:space="preserve"> falls away because the counter-</w:t>
      </w:r>
      <w:r w:rsidR="00255E91" w:rsidRPr="00A223A5">
        <w:rPr>
          <w:rFonts w:ascii="Times New Roman" w:hAnsi="Times New Roman" w:cs="Times New Roman"/>
          <w:sz w:val="24"/>
          <w:szCs w:val="24"/>
        </w:rPr>
        <w:t>application was given a different case number and the two matters had been set do</w:t>
      </w:r>
      <w:r w:rsidR="00AF0889" w:rsidRPr="00A223A5">
        <w:rPr>
          <w:rFonts w:ascii="Times New Roman" w:hAnsi="Times New Roman" w:cs="Times New Roman"/>
          <w:sz w:val="24"/>
          <w:szCs w:val="24"/>
        </w:rPr>
        <w:t>wn separately.  With the consent of the parties it was then directed that</w:t>
      </w:r>
      <w:r w:rsidR="00255E91" w:rsidRPr="00A223A5">
        <w:rPr>
          <w:rFonts w:ascii="Times New Roman" w:hAnsi="Times New Roman" w:cs="Times New Roman"/>
          <w:sz w:val="24"/>
          <w:szCs w:val="24"/>
        </w:rPr>
        <w:t xml:space="preserve"> the two matters </w:t>
      </w:r>
      <w:r w:rsidR="00AF0889" w:rsidRPr="00A223A5">
        <w:rPr>
          <w:rFonts w:ascii="Times New Roman" w:hAnsi="Times New Roman" w:cs="Times New Roman"/>
          <w:sz w:val="24"/>
          <w:szCs w:val="24"/>
        </w:rPr>
        <w:t xml:space="preserve">be </w:t>
      </w:r>
      <w:r w:rsidR="00255E91" w:rsidRPr="00A223A5">
        <w:rPr>
          <w:rFonts w:ascii="Times New Roman" w:hAnsi="Times New Roman" w:cs="Times New Roman"/>
          <w:sz w:val="24"/>
          <w:szCs w:val="24"/>
        </w:rPr>
        <w:t xml:space="preserve">heard together.  In the submissions in court both parties were clear that they would like one judgment to be rendered in respect of the two matters because of their connectedness. </w:t>
      </w:r>
    </w:p>
    <w:p w:rsidR="002B4E3B" w:rsidRPr="00A223A5" w:rsidRDefault="00255E91"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 xml:space="preserve">Misjoinder of the second to seventh respondents in </w:t>
      </w:r>
      <w:r w:rsidR="002B4E3B" w:rsidRPr="00A223A5">
        <w:rPr>
          <w:rFonts w:ascii="Times New Roman" w:hAnsi="Times New Roman" w:cs="Times New Roman"/>
          <w:b/>
          <w:sz w:val="24"/>
          <w:szCs w:val="24"/>
          <w:u w:val="single"/>
        </w:rPr>
        <w:t>HC592/20</w:t>
      </w:r>
    </w:p>
    <w:p w:rsidR="006C754E" w:rsidRPr="00A223A5" w:rsidRDefault="002B4E3B"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ground of objection is that the second to the seventh respondents were i</w:t>
      </w:r>
      <w:r w:rsidR="00C45A0F" w:rsidRPr="00A223A5">
        <w:rPr>
          <w:rFonts w:ascii="Times New Roman" w:hAnsi="Times New Roman" w:cs="Times New Roman"/>
          <w:sz w:val="24"/>
          <w:szCs w:val="24"/>
        </w:rPr>
        <w:t>mproperly joined in the counter-</w:t>
      </w:r>
      <w:r w:rsidRPr="00A223A5">
        <w:rPr>
          <w:rFonts w:ascii="Times New Roman" w:hAnsi="Times New Roman" w:cs="Times New Roman"/>
          <w:sz w:val="24"/>
          <w:szCs w:val="24"/>
        </w:rPr>
        <w:t>application.</w:t>
      </w:r>
      <w:r w:rsidR="00AE5086" w:rsidRPr="00A223A5">
        <w:rPr>
          <w:rFonts w:ascii="Times New Roman" w:hAnsi="Times New Roman" w:cs="Times New Roman"/>
          <w:sz w:val="24"/>
          <w:szCs w:val="24"/>
        </w:rPr>
        <w:t xml:space="preserve">  The second to seventh respondents are the companies which were placed under judicial management.  The objection is that they have no legal interest in th</w:t>
      </w:r>
      <w:r w:rsidR="00C45A0F" w:rsidRPr="00A223A5">
        <w:rPr>
          <w:rFonts w:ascii="Times New Roman" w:hAnsi="Times New Roman" w:cs="Times New Roman"/>
          <w:sz w:val="24"/>
          <w:szCs w:val="24"/>
        </w:rPr>
        <w:t>e dispute raised by the counter-application, because Agricircle</w:t>
      </w:r>
      <w:r w:rsidR="00AE5086" w:rsidRPr="00A223A5">
        <w:rPr>
          <w:rFonts w:ascii="Times New Roman" w:hAnsi="Times New Roman" w:cs="Times New Roman"/>
          <w:sz w:val="24"/>
          <w:szCs w:val="24"/>
        </w:rPr>
        <w:t xml:space="preserve"> and not these companies, made the undertaking to meet all the costs of the judicial manager.  However, the draft order makes a claim for the recovery of the fees against these companies</w:t>
      </w:r>
      <w:r w:rsidR="00C45A0F" w:rsidRPr="00A223A5">
        <w:rPr>
          <w:rFonts w:ascii="Times New Roman" w:hAnsi="Times New Roman" w:cs="Times New Roman"/>
          <w:sz w:val="24"/>
          <w:szCs w:val="24"/>
        </w:rPr>
        <w:t xml:space="preserve"> as well</w:t>
      </w:r>
      <w:r w:rsidR="00AE5086" w:rsidRPr="00A223A5">
        <w:rPr>
          <w:rFonts w:ascii="Times New Roman" w:hAnsi="Times New Roman" w:cs="Times New Roman"/>
          <w:sz w:val="24"/>
          <w:szCs w:val="24"/>
        </w:rPr>
        <w:t xml:space="preserve">.  In the absence of the investor, nothing would stop the judicial manager from recovering his fees from the companies under his management.  Thus these companies are not only cited but relief is being sought against them.  </w:t>
      </w:r>
      <w:r w:rsidR="00AE5086" w:rsidRPr="00A223A5">
        <w:rPr>
          <w:rFonts w:ascii="Times New Roman" w:hAnsi="Times New Roman" w:cs="Times New Roman"/>
          <w:sz w:val="24"/>
          <w:szCs w:val="24"/>
        </w:rPr>
        <w:lastRenderedPageBreak/>
        <w:t xml:space="preserve">They are therefore properly joined in the proceedings. Whether Madondo ultimately succeeds in proving their liability for the fees is a matter for the merits.  It cannot be raised by way of an objection </w:t>
      </w:r>
      <w:r w:rsidR="00AE5086" w:rsidRPr="00A223A5">
        <w:rPr>
          <w:rFonts w:ascii="Times New Roman" w:hAnsi="Times New Roman" w:cs="Times New Roman"/>
          <w:i/>
          <w:sz w:val="24"/>
          <w:szCs w:val="24"/>
        </w:rPr>
        <w:t>in limine</w:t>
      </w:r>
      <w:r w:rsidR="00AE5086" w:rsidRPr="00A223A5">
        <w:rPr>
          <w:rFonts w:ascii="Times New Roman" w:hAnsi="Times New Roman" w:cs="Times New Roman"/>
          <w:sz w:val="24"/>
          <w:szCs w:val="24"/>
        </w:rPr>
        <w:t xml:space="preserve">.  </w:t>
      </w:r>
      <w:r w:rsidR="00433487" w:rsidRPr="00A223A5">
        <w:rPr>
          <w:rFonts w:ascii="Times New Roman" w:hAnsi="Times New Roman" w:cs="Times New Roman"/>
          <w:sz w:val="24"/>
          <w:szCs w:val="24"/>
        </w:rPr>
        <w:t>Accordingly, the objection is</w:t>
      </w:r>
      <w:r w:rsidR="00AE5086" w:rsidRPr="00A223A5">
        <w:rPr>
          <w:rFonts w:ascii="Times New Roman" w:hAnsi="Times New Roman" w:cs="Times New Roman"/>
          <w:sz w:val="24"/>
          <w:szCs w:val="24"/>
        </w:rPr>
        <w:t xml:space="preserve"> dismissed.</w:t>
      </w:r>
      <w:r w:rsidR="00255E91" w:rsidRPr="00A223A5">
        <w:rPr>
          <w:rFonts w:ascii="Times New Roman" w:hAnsi="Times New Roman" w:cs="Times New Roman"/>
          <w:b/>
          <w:sz w:val="24"/>
          <w:szCs w:val="24"/>
          <w:u w:val="single"/>
        </w:rPr>
        <w:t xml:space="preserve"> </w:t>
      </w:r>
      <w:r w:rsidR="007D65AB" w:rsidRPr="00A223A5">
        <w:rPr>
          <w:rFonts w:ascii="Times New Roman" w:hAnsi="Times New Roman" w:cs="Times New Roman"/>
          <w:sz w:val="24"/>
          <w:szCs w:val="24"/>
        </w:rPr>
        <w:t xml:space="preserve"> </w:t>
      </w:r>
    </w:p>
    <w:p w:rsidR="006C754E" w:rsidRPr="00A223A5" w:rsidRDefault="006C754E" w:rsidP="00A223A5">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THE MERITS</w:t>
      </w:r>
    </w:p>
    <w:p w:rsidR="00E033F2" w:rsidRPr="00A223A5" w:rsidRDefault="00076AC9"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Agricircle challenges the Master’s approval of the fee on the grounds that it is not lawful, reasonable and fair.  </w:t>
      </w:r>
      <w:r w:rsidR="00575677" w:rsidRPr="00A223A5">
        <w:rPr>
          <w:rFonts w:ascii="Times New Roman" w:hAnsi="Times New Roman" w:cs="Times New Roman"/>
          <w:sz w:val="24"/>
          <w:szCs w:val="24"/>
        </w:rPr>
        <w:t>Section 3</w:t>
      </w:r>
      <w:r w:rsidR="00395269" w:rsidRPr="00A223A5">
        <w:rPr>
          <w:rFonts w:ascii="Times New Roman" w:hAnsi="Times New Roman" w:cs="Times New Roman"/>
          <w:sz w:val="24"/>
          <w:szCs w:val="24"/>
        </w:rPr>
        <w:t>(1) of the Administrative Justice Act [</w:t>
      </w:r>
      <w:r w:rsidR="00395269" w:rsidRPr="00A223A5">
        <w:rPr>
          <w:rFonts w:ascii="Times New Roman" w:hAnsi="Times New Roman" w:cs="Times New Roman"/>
          <w:i/>
          <w:sz w:val="24"/>
          <w:szCs w:val="24"/>
        </w:rPr>
        <w:t>Chapter 10:28</w:t>
      </w:r>
      <w:r w:rsidR="00395269" w:rsidRPr="00A223A5">
        <w:rPr>
          <w:rFonts w:ascii="Times New Roman" w:hAnsi="Times New Roman" w:cs="Times New Roman"/>
          <w:sz w:val="24"/>
          <w:szCs w:val="24"/>
        </w:rPr>
        <w:t>] provides as follows:</w:t>
      </w:r>
      <w:r w:rsidR="006C754E" w:rsidRPr="00A223A5">
        <w:rPr>
          <w:rFonts w:ascii="Times New Roman" w:hAnsi="Times New Roman" w:cs="Times New Roman"/>
          <w:sz w:val="24"/>
          <w:szCs w:val="24"/>
        </w:rPr>
        <w:t xml:space="preserve"> </w:t>
      </w:r>
      <w:r w:rsidR="00E033F2" w:rsidRPr="00A223A5">
        <w:rPr>
          <w:rFonts w:ascii="Times New Roman" w:hAnsi="Times New Roman" w:cs="Times New Roman"/>
          <w:sz w:val="24"/>
          <w:szCs w:val="24"/>
        </w:rPr>
        <w:t xml:space="preserve"> </w:t>
      </w:r>
    </w:p>
    <w:p w:rsidR="00076AC9" w:rsidRPr="00A223A5" w:rsidRDefault="00076AC9" w:rsidP="00A223A5">
      <w:pPr>
        <w:spacing w:line="240" w:lineRule="auto"/>
        <w:ind w:left="720"/>
        <w:jc w:val="both"/>
        <w:rPr>
          <w:rFonts w:ascii="Times New Roman" w:hAnsi="Times New Roman" w:cs="Times New Roman"/>
        </w:rPr>
      </w:pPr>
      <w:r w:rsidRPr="00A223A5">
        <w:rPr>
          <w:rFonts w:ascii="Times New Roman" w:hAnsi="Times New Roman" w:cs="Times New Roman"/>
        </w:rPr>
        <w:t xml:space="preserve">“An administrative authority which has the responsibility or power to take any administrative action which may affect the rights, interests or legitimate expectations of any person shall – </w:t>
      </w:r>
    </w:p>
    <w:p w:rsidR="00076AC9" w:rsidRPr="00A223A5" w:rsidRDefault="008F71D7" w:rsidP="00A223A5">
      <w:pPr>
        <w:pStyle w:val="ListParagraph"/>
        <w:numPr>
          <w:ilvl w:val="0"/>
          <w:numId w:val="1"/>
        </w:numPr>
        <w:spacing w:line="240" w:lineRule="auto"/>
        <w:jc w:val="both"/>
        <w:rPr>
          <w:rFonts w:ascii="Times New Roman" w:hAnsi="Times New Roman" w:cs="Times New Roman"/>
        </w:rPr>
      </w:pPr>
      <w:r w:rsidRPr="00A223A5">
        <w:rPr>
          <w:rFonts w:ascii="Times New Roman" w:hAnsi="Times New Roman" w:cs="Times New Roman"/>
        </w:rPr>
        <w:t>a</w:t>
      </w:r>
      <w:r w:rsidR="00076AC9" w:rsidRPr="00A223A5">
        <w:rPr>
          <w:rFonts w:ascii="Times New Roman" w:hAnsi="Times New Roman" w:cs="Times New Roman"/>
        </w:rPr>
        <w:t>ct lawfully, reasonably and in a fair manner; and</w:t>
      </w:r>
    </w:p>
    <w:p w:rsidR="00F845CE" w:rsidRPr="00A223A5" w:rsidRDefault="00A223A5" w:rsidP="00A223A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 . . .”</w:t>
      </w:r>
    </w:p>
    <w:p w:rsidR="00B5634E" w:rsidRPr="00A223A5" w:rsidRDefault="00F845CE"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In the case of </w:t>
      </w:r>
      <w:r w:rsidRPr="00A223A5">
        <w:rPr>
          <w:rFonts w:ascii="Times New Roman" w:hAnsi="Times New Roman" w:cs="Times New Roman"/>
          <w:i/>
          <w:sz w:val="24"/>
          <w:szCs w:val="24"/>
        </w:rPr>
        <w:t xml:space="preserve">Awumey v Fort Cox Agricultural College </w:t>
      </w:r>
      <w:r w:rsidRPr="00A223A5">
        <w:rPr>
          <w:rFonts w:ascii="Times New Roman" w:hAnsi="Times New Roman" w:cs="Times New Roman"/>
          <w:sz w:val="24"/>
          <w:szCs w:val="24"/>
        </w:rPr>
        <w:t>2003 (8) BCLR 861(Ck), the Court held that the right to lawful administrative action, as provided for in</w:t>
      </w:r>
      <w:r w:rsidR="00F447AD" w:rsidRPr="00A223A5">
        <w:rPr>
          <w:rFonts w:ascii="Times New Roman" w:hAnsi="Times New Roman" w:cs="Times New Roman"/>
          <w:sz w:val="24"/>
          <w:szCs w:val="24"/>
        </w:rPr>
        <w:t xml:space="preserve"> s 6 of the South African Promo</w:t>
      </w:r>
      <w:r w:rsidRPr="00A223A5">
        <w:rPr>
          <w:rFonts w:ascii="Times New Roman" w:hAnsi="Times New Roman" w:cs="Times New Roman"/>
          <w:sz w:val="24"/>
          <w:szCs w:val="24"/>
        </w:rPr>
        <w:t xml:space="preserve">tion of Administrative Justice Act, encompasses common law requirements regarding the competence and qualification of administrators.  That reasoning applies equally in our case given the similarities in the wording of the two Acts.  </w:t>
      </w:r>
      <w:r w:rsidR="008F71D7" w:rsidRPr="00A223A5">
        <w:rPr>
          <w:rFonts w:ascii="Times New Roman" w:hAnsi="Times New Roman" w:cs="Times New Roman"/>
          <w:sz w:val="24"/>
          <w:szCs w:val="24"/>
        </w:rPr>
        <w:t>An allegation that the Master did not act lawfully must be supported by evidence pointing to the law which was contravened by the action of the Master.</w:t>
      </w:r>
      <w:r w:rsidR="003E2022" w:rsidRPr="00A223A5">
        <w:rPr>
          <w:rFonts w:ascii="Times New Roman" w:hAnsi="Times New Roman" w:cs="Times New Roman"/>
          <w:sz w:val="24"/>
          <w:szCs w:val="24"/>
        </w:rPr>
        <w:t xml:space="preserve">  Lawfulness entails that the administrator making the decision must act in accordance with the dictates of the law and must have lawful authority for the decision.</w:t>
      </w:r>
    </w:p>
    <w:p w:rsidR="00B5634E" w:rsidRPr="00A223A5" w:rsidRDefault="00B5634E"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Master has explained that he authorized the fee charged by the judicial manager in the exercise of his powers as provided for in s 308 of the Companies Act [</w:t>
      </w:r>
      <w:r w:rsidRPr="00A223A5">
        <w:rPr>
          <w:rFonts w:ascii="Times New Roman" w:hAnsi="Times New Roman" w:cs="Times New Roman"/>
          <w:i/>
          <w:sz w:val="24"/>
          <w:szCs w:val="24"/>
        </w:rPr>
        <w:t>Chapter 24:03</w:t>
      </w:r>
      <w:r w:rsidRPr="00A223A5">
        <w:rPr>
          <w:rFonts w:ascii="Times New Roman" w:hAnsi="Times New Roman" w:cs="Times New Roman"/>
          <w:sz w:val="24"/>
          <w:szCs w:val="24"/>
        </w:rPr>
        <w:t>], which provided as follows:</w:t>
      </w:r>
    </w:p>
    <w:p w:rsidR="00B5634E" w:rsidRPr="00A223A5" w:rsidRDefault="00B5634E" w:rsidP="00A223A5">
      <w:pPr>
        <w:spacing w:line="240" w:lineRule="auto"/>
        <w:ind w:left="1440" w:hanging="720"/>
        <w:jc w:val="both"/>
        <w:rPr>
          <w:rFonts w:ascii="Times New Roman" w:hAnsi="Times New Roman" w:cs="Times New Roman"/>
          <w:sz w:val="24"/>
          <w:szCs w:val="24"/>
        </w:rPr>
      </w:pPr>
      <w:r w:rsidRPr="00A223A5">
        <w:rPr>
          <w:rFonts w:ascii="Times New Roman" w:hAnsi="Times New Roman" w:cs="Times New Roman"/>
          <w:sz w:val="24"/>
          <w:szCs w:val="24"/>
        </w:rPr>
        <w:t>“(1)</w:t>
      </w:r>
      <w:r w:rsidRPr="00A223A5">
        <w:rPr>
          <w:rFonts w:ascii="Times New Roman" w:hAnsi="Times New Roman" w:cs="Times New Roman"/>
          <w:sz w:val="24"/>
          <w:szCs w:val="24"/>
        </w:rPr>
        <w:tab/>
        <w:t>A provisional judicial manager and a final judicial manager shall be entitled to such reasonable remuneration for their services as may be fixed by the Master from time to time.</w:t>
      </w:r>
    </w:p>
    <w:p w:rsidR="00B5634E" w:rsidRPr="00A223A5" w:rsidRDefault="00B5634E" w:rsidP="00A223A5">
      <w:pPr>
        <w:spacing w:line="240" w:lineRule="auto"/>
        <w:ind w:left="1440" w:hanging="720"/>
        <w:jc w:val="both"/>
        <w:rPr>
          <w:rFonts w:ascii="Times New Roman" w:hAnsi="Times New Roman" w:cs="Times New Roman"/>
          <w:sz w:val="24"/>
          <w:szCs w:val="24"/>
        </w:rPr>
      </w:pPr>
      <w:r w:rsidRPr="00A223A5">
        <w:rPr>
          <w:rFonts w:ascii="Times New Roman" w:hAnsi="Times New Roman" w:cs="Times New Roman"/>
          <w:sz w:val="24"/>
          <w:szCs w:val="24"/>
        </w:rPr>
        <w:t>(2)</w:t>
      </w:r>
      <w:r w:rsidRPr="00A223A5">
        <w:rPr>
          <w:rFonts w:ascii="Times New Roman" w:hAnsi="Times New Roman" w:cs="Times New Roman"/>
          <w:sz w:val="24"/>
          <w:szCs w:val="24"/>
        </w:rPr>
        <w:tab/>
        <w:t>In fixing the remuneration of a judicial manager, the Master shall take into account the manner in which the provisional judicial manager or the final judicial manager has performed his functions and any recommendations by the members or creditors of the company relating to such remuneration.</w:t>
      </w:r>
    </w:p>
    <w:p w:rsidR="00B5634E" w:rsidRPr="00A223A5" w:rsidRDefault="00B5634E" w:rsidP="00A223A5">
      <w:pPr>
        <w:spacing w:line="240" w:lineRule="auto"/>
        <w:ind w:left="1440" w:hanging="720"/>
        <w:jc w:val="both"/>
        <w:rPr>
          <w:rFonts w:ascii="Times New Roman" w:hAnsi="Times New Roman" w:cs="Times New Roman"/>
          <w:sz w:val="24"/>
          <w:szCs w:val="24"/>
        </w:rPr>
      </w:pPr>
      <w:r w:rsidRPr="00A223A5">
        <w:rPr>
          <w:rFonts w:ascii="Times New Roman" w:hAnsi="Times New Roman" w:cs="Times New Roman"/>
          <w:sz w:val="24"/>
          <w:szCs w:val="24"/>
        </w:rPr>
        <w:t>(3)</w:t>
      </w:r>
      <w:r w:rsidRPr="00A223A5">
        <w:rPr>
          <w:rFonts w:ascii="Times New Roman" w:hAnsi="Times New Roman" w:cs="Times New Roman"/>
          <w:sz w:val="24"/>
          <w:szCs w:val="24"/>
        </w:rPr>
        <w:tab/>
        <w:t>Section 192 of the Insolvency Act [</w:t>
      </w:r>
      <w:r w:rsidRPr="00A223A5">
        <w:rPr>
          <w:rFonts w:ascii="Times New Roman" w:hAnsi="Times New Roman" w:cs="Times New Roman"/>
          <w:i/>
          <w:sz w:val="24"/>
          <w:szCs w:val="24"/>
        </w:rPr>
        <w:t>Chapter 6:04</w:t>
      </w:r>
      <w:r w:rsidRPr="00A223A5">
        <w:rPr>
          <w:rFonts w:ascii="Times New Roman" w:hAnsi="Times New Roman" w:cs="Times New Roman"/>
          <w:sz w:val="24"/>
          <w:szCs w:val="24"/>
        </w:rPr>
        <w:t xml:space="preserve">] shall apply, </w:t>
      </w:r>
      <w:r w:rsidRPr="00A223A5">
        <w:rPr>
          <w:rFonts w:ascii="Times New Roman" w:hAnsi="Times New Roman" w:cs="Times New Roman"/>
          <w:i/>
          <w:sz w:val="24"/>
          <w:szCs w:val="24"/>
        </w:rPr>
        <w:t>mutatis mutandis</w:t>
      </w:r>
      <w:r w:rsidRPr="00A223A5">
        <w:rPr>
          <w:rFonts w:ascii="Times New Roman" w:hAnsi="Times New Roman" w:cs="Times New Roman"/>
          <w:sz w:val="24"/>
          <w:szCs w:val="24"/>
        </w:rPr>
        <w:t>,</w:t>
      </w:r>
      <w:r w:rsidRPr="00A223A5">
        <w:rPr>
          <w:rFonts w:ascii="Times New Roman" w:hAnsi="Times New Roman" w:cs="Times New Roman"/>
          <w:i/>
          <w:sz w:val="24"/>
          <w:szCs w:val="24"/>
        </w:rPr>
        <w:t xml:space="preserve"> </w:t>
      </w:r>
      <w:r w:rsidR="00A223A5">
        <w:rPr>
          <w:rFonts w:ascii="Times New Roman" w:hAnsi="Times New Roman" w:cs="Times New Roman"/>
          <w:i/>
          <w:sz w:val="24"/>
          <w:szCs w:val="24"/>
        </w:rPr>
        <w:t>w</w:t>
      </w:r>
      <w:r w:rsidRPr="00A223A5">
        <w:rPr>
          <w:rFonts w:ascii="Times New Roman" w:hAnsi="Times New Roman" w:cs="Times New Roman"/>
          <w:sz w:val="24"/>
          <w:szCs w:val="24"/>
        </w:rPr>
        <w:t>ith regard to any fixing of remuneration by the Master under this section.”</w:t>
      </w:r>
    </w:p>
    <w:p w:rsidR="000C6031" w:rsidRPr="00A223A5" w:rsidRDefault="000C6031" w:rsidP="00A223A5">
      <w:pPr>
        <w:spacing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lastRenderedPageBreak/>
        <w:t>Section 192 of the Insolvency Act provides recourse to take on review the decision of the Master or an officer.  Agricircle has also made reference to the provisions of s 136(1) of the Insolvency Act which are as follows:</w:t>
      </w:r>
    </w:p>
    <w:p w:rsidR="000C6031" w:rsidRPr="00A223A5" w:rsidRDefault="000C6031" w:rsidP="00A223A5">
      <w:pPr>
        <w:spacing w:line="240" w:lineRule="auto"/>
        <w:ind w:left="720"/>
        <w:jc w:val="both"/>
        <w:rPr>
          <w:rFonts w:ascii="Times New Roman" w:hAnsi="Times New Roman" w:cs="Times New Roman"/>
        </w:rPr>
      </w:pPr>
      <w:r w:rsidRPr="00A223A5">
        <w:rPr>
          <w:rFonts w:ascii="Times New Roman" w:hAnsi="Times New Roman" w:cs="Times New Roman"/>
        </w:rPr>
        <w:t xml:space="preserve">“The corporate rescue practitioner is entitled to charge an amount to the company for the remuneration and expenses of the practitioner in accordance with the Second Schedule item 1 which may be amended by the Minister from time to time by way of notice in the </w:t>
      </w:r>
      <w:r w:rsidRPr="00A223A5">
        <w:rPr>
          <w:rFonts w:ascii="Times New Roman" w:hAnsi="Times New Roman" w:cs="Times New Roman"/>
          <w:i/>
        </w:rPr>
        <w:t>Gazette</w:t>
      </w:r>
      <w:r w:rsidRPr="00A223A5">
        <w:rPr>
          <w:rFonts w:ascii="Times New Roman" w:hAnsi="Times New Roman" w:cs="Times New Roman"/>
        </w:rPr>
        <w:t>.”</w:t>
      </w:r>
    </w:p>
    <w:p w:rsidR="00F55AB5" w:rsidRPr="00A223A5" w:rsidRDefault="000C6031"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What is clear from the cited provisions is the entitlement of the judicial manager to reasonable remuneration for his or her services.  Such remuneration must be fixed by the Master.</w:t>
      </w:r>
      <w:r w:rsidR="00092717" w:rsidRPr="00A223A5">
        <w:rPr>
          <w:rFonts w:ascii="Times New Roman" w:hAnsi="Times New Roman" w:cs="Times New Roman"/>
          <w:sz w:val="24"/>
          <w:szCs w:val="24"/>
        </w:rPr>
        <w:t xml:space="preserve">  In the exercise of his powers of fixing the remuneration of a judicial manager the Master is enjoined by law to consider the manner in which the judicial manager has performed his functions as well as any recommendations made by the members or creditors of the company in connection with such remuneration.  The applicant’s contention is that in the instant case the Master did not fix the remuneration but merely rubber</w:t>
      </w:r>
      <w:r w:rsidR="0062087C" w:rsidRPr="00A223A5">
        <w:rPr>
          <w:rFonts w:ascii="Times New Roman" w:hAnsi="Times New Roman" w:cs="Times New Roman"/>
          <w:sz w:val="24"/>
          <w:szCs w:val="24"/>
        </w:rPr>
        <w:t xml:space="preserve">stamped and approved the fees as submitted by the judicial manager.  It is further contended that the Master did not even ascertain, as he was obliged to do, if the remuneration and expenses were prepared in accordance with the Second Schedule item 1 of the Insolvency Act.  There is a suggestion in the respondent’s opposing papers and the letters of 5 and 14 November 2019 that Agricircle had been </w:t>
      </w:r>
      <w:r w:rsidR="008D43B3" w:rsidRPr="00A223A5">
        <w:rPr>
          <w:rFonts w:ascii="Times New Roman" w:hAnsi="Times New Roman" w:cs="Times New Roman"/>
          <w:sz w:val="24"/>
          <w:szCs w:val="24"/>
        </w:rPr>
        <w:t xml:space="preserve">presented with the draft fees and reviewed and agreed to them before they were submitted to the Master.  The extent to which the Master was furnished with the recommendations of Agricircle is not clear.  The assertion by the judicial manager that the bills were agreed to by the investor is inconsistent with the conduct of the same investor who called for a taxation meeting by letter dated 7 November 2019.  That letter was delivered to the Master on 8 November, the same day that it is alleged that the fees were fixed.  </w:t>
      </w:r>
      <w:r w:rsidR="00F55AB5" w:rsidRPr="00A223A5">
        <w:rPr>
          <w:rFonts w:ascii="Times New Roman" w:hAnsi="Times New Roman" w:cs="Times New Roman"/>
          <w:sz w:val="24"/>
          <w:szCs w:val="24"/>
        </w:rPr>
        <w:t>Clearly there was no agreement on the fee charged by the judicial manager.</w:t>
      </w:r>
    </w:p>
    <w:p w:rsidR="00764095" w:rsidRPr="00A223A5" w:rsidRDefault="008D43B3"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Master would have known on that date that there was a dispute and ought to have stayed approval pending receipt of written recommendations from Agricircle.</w:t>
      </w:r>
      <w:r w:rsidR="00F55AB5" w:rsidRPr="00A223A5">
        <w:rPr>
          <w:rFonts w:ascii="Times New Roman" w:hAnsi="Times New Roman" w:cs="Times New Roman"/>
          <w:sz w:val="24"/>
          <w:szCs w:val="24"/>
        </w:rPr>
        <w:t xml:space="preserve">  The Master only invited Agricircle to submit its representations on the fee charged in writing by letter dated 19 November 2019.  Yet by this day he had already approved the fee raised</w:t>
      </w:r>
      <w:r w:rsidR="003B3489" w:rsidRPr="00A223A5">
        <w:rPr>
          <w:rFonts w:ascii="Times New Roman" w:hAnsi="Times New Roman" w:cs="Times New Roman"/>
          <w:sz w:val="24"/>
          <w:szCs w:val="24"/>
        </w:rPr>
        <w:t xml:space="preserve"> by the judicial manager.  T</w:t>
      </w:r>
      <w:r w:rsidR="00F55AB5" w:rsidRPr="00A223A5">
        <w:rPr>
          <w:rFonts w:ascii="Times New Roman" w:hAnsi="Times New Roman" w:cs="Times New Roman"/>
          <w:sz w:val="24"/>
          <w:szCs w:val="24"/>
        </w:rPr>
        <w:t>he Master only informed the lawyers of Agricircle of the approval by letter dated 26 November 2019</w:t>
      </w:r>
      <w:r w:rsidR="00764095" w:rsidRPr="00A223A5">
        <w:rPr>
          <w:rFonts w:ascii="Times New Roman" w:hAnsi="Times New Roman" w:cs="Times New Roman"/>
          <w:sz w:val="24"/>
          <w:szCs w:val="24"/>
        </w:rPr>
        <w:t xml:space="preserve">.  This was a complete departure from the letter of 19 November in terms of which he invited </w:t>
      </w:r>
      <w:r w:rsidR="00764095" w:rsidRPr="00A223A5">
        <w:rPr>
          <w:rFonts w:ascii="Times New Roman" w:hAnsi="Times New Roman" w:cs="Times New Roman"/>
          <w:sz w:val="24"/>
          <w:szCs w:val="24"/>
        </w:rPr>
        <w:lastRenderedPageBreak/>
        <w:t xml:space="preserve">Agricircle to submit its representations in writing.  There was therefore no compliance with the requirements of the law, hence the approval cannot stand.  </w:t>
      </w:r>
    </w:p>
    <w:p w:rsidR="00F447AD" w:rsidRPr="00A223A5" w:rsidRDefault="00764095"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The former judicial manager submits that because he engaged Agricircle before submitting his fee to the Master for approval then there was compliance with the requirements of the law.  The provision requires that any recommendations regarding the fees be made to the Master, not to the judicial manager.</w:t>
      </w:r>
      <w:r w:rsidR="005951BB" w:rsidRPr="00A223A5">
        <w:rPr>
          <w:rFonts w:ascii="Times New Roman" w:hAnsi="Times New Roman" w:cs="Times New Roman"/>
          <w:sz w:val="24"/>
          <w:szCs w:val="24"/>
        </w:rPr>
        <w:t xml:space="preserve">  The court notes that even after the approval of the fee by the Master the judicial manager at some point reviewed the approved fee downwards from $156 887.64 to $130 104.72, and corrected what he refers to as “a typographical error”.</w:t>
      </w:r>
      <w:r w:rsidR="003B3489" w:rsidRPr="00A223A5">
        <w:rPr>
          <w:rFonts w:ascii="Times New Roman" w:hAnsi="Times New Roman" w:cs="Times New Roman"/>
          <w:sz w:val="24"/>
          <w:szCs w:val="24"/>
        </w:rPr>
        <w:t xml:space="preserve">  That development underscores the necessity for debatement of the fees before they are finally approved or fixed by the Master.</w:t>
      </w:r>
    </w:p>
    <w:p w:rsidR="008D632F" w:rsidRPr="00A223A5" w:rsidRDefault="00F447AD" w:rsidP="00A223A5">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An administrative decision qualifies to be unreasonable if it is “one that a reasonable decision-maker could not reach”, see</w:t>
      </w:r>
      <w:r w:rsidR="00A05A71" w:rsidRPr="00A223A5">
        <w:rPr>
          <w:rFonts w:ascii="Times New Roman" w:hAnsi="Times New Roman" w:cs="Times New Roman"/>
          <w:sz w:val="24"/>
          <w:szCs w:val="24"/>
        </w:rPr>
        <w:t xml:space="preserve"> </w:t>
      </w:r>
      <w:r w:rsidR="00A05A71" w:rsidRPr="00A223A5">
        <w:rPr>
          <w:rFonts w:ascii="Times New Roman" w:hAnsi="Times New Roman" w:cs="Times New Roman"/>
          <w:i/>
          <w:sz w:val="24"/>
          <w:szCs w:val="24"/>
        </w:rPr>
        <w:t xml:space="preserve">Bato Star Fishing (Pty) Ltd </w:t>
      </w:r>
      <w:r w:rsidR="00A05A71" w:rsidRPr="00A223A5">
        <w:rPr>
          <w:rFonts w:ascii="Times New Roman" w:hAnsi="Times New Roman" w:cs="Times New Roman"/>
          <w:sz w:val="24"/>
          <w:szCs w:val="24"/>
        </w:rPr>
        <w:t xml:space="preserve">v </w:t>
      </w:r>
      <w:r w:rsidR="00A05A71" w:rsidRPr="00A223A5">
        <w:rPr>
          <w:rFonts w:ascii="Times New Roman" w:hAnsi="Times New Roman" w:cs="Times New Roman"/>
          <w:i/>
          <w:sz w:val="24"/>
          <w:szCs w:val="24"/>
        </w:rPr>
        <w:t xml:space="preserve">Minister of Environmental Affairs and Tourism </w:t>
      </w:r>
      <w:r w:rsidR="00A05A71" w:rsidRPr="00A223A5">
        <w:rPr>
          <w:rFonts w:ascii="Times New Roman" w:hAnsi="Times New Roman" w:cs="Times New Roman"/>
          <w:sz w:val="24"/>
          <w:szCs w:val="24"/>
        </w:rPr>
        <w:t>2004 (4) 490(CC) para 44.  From the provisions of the Companies Act cited above, the Master was not merely supposed to approve a fee submitted by the judicial manager.  He is the authority responsible for fixing the fee, hence the need to take on board the concerns from the stakeholders referred to in the Companies Act.  In this case he proceeded without recourse to the investor.  When concerns were raised and a request was made for the fee to be taxed he did not readily disclose that he had approved the fee.  Instead, he invited representations only to turn around and state that he had already approved the fee even as he was busy inviting representations thereon.  This approach fails the test of reasonableness.</w:t>
      </w:r>
    </w:p>
    <w:p w:rsidR="00426D44" w:rsidRPr="00A223A5" w:rsidRDefault="008D632F" w:rsidP="00AF7F4C">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Fairness encapsulates the common law entitlement to natural justice but goes beyond the principles of natural justice, see </w:t>
      </w:r>
      <w:r w:rsidRPr="00A223A5">
        <w:rPr>
          <w:rFonts w:ascii="Times New Roman" w:hAnsi="Times New Roman" w:cs="Times New Roman"/>
          <w:i/>
          <w:sz w:val="24"/>
          <w:szCs w:val="24"/>
        </w:rPr>
        <w:t xml:space="preserve">Bel Porto School Governing Body </w:t>
      </w:r>
      <w:r w:rsidRPr="00A223A5">
        <w:rPr>
          <w:rFonts w:ascii="Times New Roman" w:hAnsi="Times New Roman" w:cs="Times New Roman"/>
          <w:sz w:val="24"/>
          <w:szCs w:val="24"/>
        </w:rPr>
        <w:t>v</w:t>
      </w:r>
      <w:r w:rsidRPr="00A223A5">
        <w:rPr>
          <w:rFonts w:ascii="Times New Roman" w:hAnsi="Times New Roman" w:cs="Times New Roman"/>
          <w:i/>
          <w:sz w:val="24"/>
          <w:szCs w:val="24"/>
        </w:rPr>
        <w:t xml:space="preserve"> Premier, Western Cape </w:t>
      </w:r>
      <w:r w:rsidRPr="00A223A5">
        <w:rPr>
          <w:rFonts w:ascii="Times New Roman" w:hAnsi="Times New Roman" w:cs="Times New Roman"/>
          <w:sz w:val="24"/>
          <w:szCs w:val="24"/>
        </w:rPr>
        <w:t>2003 (3) SA 265(CC), para 84.</w:t>
      </w:r>
      <w:r w:rsidR="003D738C" w:rsidRPr="00A223A5">
        <w:rPr>
          <w:rFonts w:ascii="Times New Roman" w:hAnsi="Times New Roman" w:cs="Times New Roman"/>
          <w:sz w:val="24"/>
          <w:szCs w:val="24"/>
        </w:rPr>
        <w:t xml:space="preserve">  Under the common law there are two rules of natural justice – namely – (a) </w:t>
      </w:r>
      <w:r w:rsidR="003D738C" w:rsidRPr="00A223A5">
        <w:rPr>
          <w:rFonts w:ascii="Times New Roman" w:hAnsi="Times New Roman" w:cs="Times New Roman"/>
          <w:i/>
          <w:sz w:val="24"/>
          <w:szCs w:val="24"/>
        </w:rPr>
        <w:t xml:space="preserve">audi alteram partem </w:t>
      </w:r>
      <w:r w:rsidR="003D738C" w:rsidRPr="00A223A5">
        <w:rPr>
          <w:rFonts w:ascii="Times New Roman" w:hAnsi="Times New Roman" w:cs="Times New Roman"/>
          <w:sz w:val="24"/>
          <w:szCs w:val="24"/>
        </w:rPr>
        <w:t xml:space="preserve">which enjoins that a person affected by a decision must be given a fair hearing by the decision-maker before the making of a decision, and (b) </w:t>
      </w:r>
      <w:r w:rsidR="003D738C" w:rsidRPr="00A223A5">
        <w:rPr>
          <w:rFonts w:ascii="Times New Roman" w:hAnsi="Times New Roman" w:cs="Times New Roman"/>
          <w:i/>
          <w:sz w:val="24"/>
          <w:szCs w:val="24"/>
        </w:rPr>
        <w:t>nemo iudex in sua causa</w:t>
      </w:r>
      <w:r w:rsidR="003D738C" w:rsidRPr="00A223A5">
        <w:rPr>
          <w:rFonts w:ascii="Times New Roman" w:hAnsi="Times New Roman" w:cs="Times New Roman"/>
          <w:sz w:val="24"/>
          <w:szCs w:val="24"/>
        </w:rPr>
        <w:t>, the rule against bias, which disqualifies a person from being judge in a cause in which they have an interest.</w:t>
      </w:r>
      <w:r w:rsidR="00DA219A" w:rsidRPr="00A223A5">
        <w:rPr>
          <w:rFonts w:ascii="Times New Roman" w:hAnsi="Times New Roman" w:cs="Times New Roman"/>
          <w:sz w:val="24"/>
          <w:szCs w:val="24"/>
        </w:rPr>
        <w:t xml:space="preserve">  </w:t>
      </w:r>
      <w:r w:rsidR="00DA219A" w:rsidRPr="00A223A5">
        <w:rPr>
          <w:rFonts w:ascii="Times New Roman" w:hAnsi="Times New Roman" w:cs="Times New Roman"/>
          <w:i/>
          <w:sz w:val="24"/>
          <w:szCs w:val="24"/>
        </w:rPr>
        <w:t>In casu</w:t>
      </w:r>
      <w:r w:rsidR="00DA219A" w:rsidRPr="00A223A5">
        <w:rPr>
          <w:rFonts w:ascii="Times New Roman" w:hAnsi="Times New Roman" w:cs="Times New Roman"/>
          <w:sz w:val="24"/>
          <w:szCs w:val="24"/>
        </w:rPr>
        <w:t xml:space="preserve">, the right to be heard as expressed in the </w:t>
      </w:r>
      <w:r w:rsidR="00DA219A" w:rsidRPr="00A223A5">
        <w:rPr>
          <w:rFonts w:ascii="Times New Roman" w:hAnsi="Times New Roman" w:cs="Times New Roman"/>
          <w:i/>
          <w:sz w:val="24"/>
          <w:szCs w:val="24"/>
        </w:rPr>
        <w:t xml:space="preserve">audi alteram partem </w:t>
      </w:r>
      <w:r w:rsidR="00DA219A" w:rsidRPr="00A223A5">
        <w:rPr>
          <w:rFonts w:ascii="Times New Roman" w:hAnsi="Times New Roman" w:cs="Times New Roman"/>
          <w:sz w:val="24"/>
          <w:szCs w:val="24"/>
        </w:rPr>
        <w:t>rule</w:t>
      </w:r>
      <w:r w:rsidR="00093B9D" w:rsidRPr="00A223A5">
        <w:rPr>
          <w:rFonts w:ascii="Times New Roman" w:hAnsi="Times New Roman" w:cs="Times New Roman"/>
          <w:sz w:val="24"/>
          <w:szCs w:val="24"/>
        </w:rPr>
        <w:t xml:space="preserve"> obligated the Master to hear Agricircle before fixing the fees for the judicial manager</w:t>
      </w:r>
      <w:r w:rsidR="00DA219A" w:rsidRPr="00A223A5">
        <w:rPr>
          <w:rFonts w:ascii="Times New Roman" w:hAnsi="Times New Roman" w:cs="Times New Roman"/>
          <w:sz w:val="24"/>
          <w:szCs w:val="24"/>
        </w:rPr>
        <w:t xml:space="preserve">.  In the case of </w:t>
      </w:r>
      <w:r w:rsidR="00DA219A" w:rsidRPr="00A223A5">
        <w:rPr>
          <w:rFonts w:ascii="Times New Roman" w:hAnsi="Times New Roman" w:cs="Times New Roman"/>
          <w:i/>
          <w:sz w:val="24"/>
          <w:szCs w:val="24"/>
        </w:rPr>
        <w:t xml:space="preserve">De Lange </w:t>
      </w:r>
      <w:r w:rsidR="00DA219A" w:rsidRPr="00AF7F4C">
        <w:rPr>
          <w:rFonts w:ascii="Times New Roman" w:hAnsi="Times New Roman" w:cs="Times New Roman"/>
          <w:sz w:val="24"/>
          <w:szCs w:val="24"/>
        </w:rPr>
        <w:t xml:space="preserve">v </w:t>
      </w:r>
      <w:r w:rsidR="00DA219A" w:rsidRPr="00A223A5">
        <w:rPr>
          <w:rFonts w:ascii="Times New Roman" w:hAnsi="Times New Roman" w:cs="Times New Roman"/>
          <w:i/>
          <w:sz w:val="24"/>
          <w:szCs w:val="24"/>
        </w:rPr>
        <w:t>Smuts N</w:t>
      </w:r>
      <w:r w:rsidR="00AF7F4C">
        <w:rPr>
          <w:rFonts w:ascii="Times New Roman" w:hAnsi="Times New Roman" w:cs="Times New Roman"/>
          <w:i/>
          <w:sz w:val="24"/>
          <w:szCs w:val="24"/>
        </w:rPr>
        <w:t>.</w:t>
      </w:r>
      <w:r w:rsidR="00DA219A" w:rsidRPr="00A223A5">
        <w:rPr>
          <w:rFonts w:ascii="Times New Roman" w:hAnsi="Times New Roman" w:cs="Times New Roman"/>
          <w:i/>
          <w:sz w:val="24"/>
          <w:szCs w:val="24"/>
        </w:rPr>
        <w:t xml:space="preserve">O </w:t>
      </w:r>
      <w:r w:rsidR="00DA219A" w:rsidRPr="00A223A5">
        <w:rPr>
          <w:rFonts w:ascii="Times New Roman" w:hAnsi="Times New Roman" w:cs="Times New Roman"/>
          <w:sz w:val="24"/>
          <w:szCs w:val="24"/>
        </w:rPr>
        <w:t xml:space="preserve">1998 (3) SA 785(CC), para 131, the Constitutional Court of South Africa articulated the constitutional justification of this aspect of fairness in the following terms: “Everyone has the right to state his or her case, not because his or her version is right, and must be </w:t>
      </w:r>
      <w:r w:rsidR="00DA219A" w:rsidRPr="00A223A5">
        <w:rPr>
          <w:rFonts w:ascii="Times New Roman" w:hAnsi="Times New Roman" w:cs="Times New Roman"/>
          <w:sz w:val="24"/>
          <w:szCs w:val="24"/>
        </w:rPr>
        <w:lastRenderedPageBreak/>
        <w:t>accepted, but because, in evaluating the cogency of any argument, the arbiter, still a fallible human being, must be informed about the points of view of both parties in order to stand any real chance of coming up with an objectively justifiable conclusion that is anything more than chance.”  Procedural fairness enhances the quality of decision-making</w:t>
      </w:r>
      <w:r w:rsidR="00426D44" w:rsidRPr="00A223A5">
        <w:rPr>
          <w:rFonts w:ascii="Times New Roman" w:hAnsi="Times New Roman" w:cs="Times New Roman"/>
          <w:sz w:val="24"/>
          <w:szCs w:val="24"/>
        </w:rPr>
        <w:t xml:space="preserve"> </w:t>
      </w:r>
      <w:r w:rsidR="00DA219A" w:rsidRPr="00A223A5">
        <w:rPr>
          <w:rFonts w:ascii="Times New Roman" w:hAnsi="Times New Roman" w:cs="Times New Roman"/>
          <w:sz w:val="24"/>
          <w:szCs w:val="24"/>
        </w:rPr>
        <w:t xml:space="preserve">while at the same time protecting an individual’s dignity by allowing the individual an opportunity to </w:t>
      </w:r>
      <w:r w:rsidR="005C714F" w:rsidRPr="00A223A5">
        <w:rPr>
          <w:rFonts w:ascii="Times New Roman" w:hAnsi="Times New Roman" w:cs="Times New Roman"/>
          <w:sz w:val="24"/>
          <w:szCs w:val="24"/>
        </w:rPr>
        <w:t>participate in decisions affecting him or her.</w:t>
      </w:r>
      <w:r w:rsidR="00426D44" w:rsidRPr="00A223A5">
        <w:rPr>
          <w:rFonts w:ascii="Times New Roman" w:hAnsi="Times New Roman" w:cs="Times New Roman"/>
          <w:sz w:val="24"/>
          <w:szCs w:val="24"/>
        </w:rPr>
        <w:t xml:space="preserve">  In this case, as noted earlier on, the Master proceeded to make a decision on the reasonable fee for the judicial manager without hearing Agricircle.  The judicial manager, on the other hand, has shown a determination to defend the fee on the basis that he presented the figures to Agricircle before he submitted them to the Master.  But the obligation to hear the other side was on the Master.  When Agricircle expressed an intention to be heard the Master ought to have stopped the approval and entertain</w:t>
      </w:r>
      <w:r w:rsidR="00093B9D" w:rsidRPr="00A223A5">
        <w:rPr>
          <w:rFonts w:ascii="Times New Roman" w:hAnsi="Times New Roman" w:cs="Times New Roman"/>
          <w:sz w:val="24"/>
          <w:szCs w:val="24"/>
        </w:rPr>
        <w:t>ed</w:t>
      </w:r>
      <w:r w:rsidR="00426D44" w:rsidRPr="00A223A5">
        <w:rPr>
          <w:rFonts w:ascii="Times New Roman" w:hAnsi="Times New Roman" w:cs="Times New Roman"/>
          <w:sz w:val="24"/>
          <w:szCs w:val="24"/>
        </w:rPr>
        <w:t xml:space="preserve"> representations from it.  Instead, he proceeded to allow the fee proposed by the judicial manager then subsequently engaged Agricircle in discussion without disclosing that the fee it was complaining about had already been approved.  This information was only disclosed almost three weeks after the fee had been approved even though the Master had received communication from Agricircle on the same date that he is sa</w:t>
      </w:r>
      <w:r w:rsidR="00093B9D" w:rsidRPr="00A223A5">
        <w:rPr>
          <w:rFonts w:ascii="Times New Roman" w:hAnsi="Times New Roman" w:cs="Times New Roman"/>
          <w:sz w:val="24"/>
          <w:szCs w:val="24"/>
        </w:rPr>
        <w:t>id to have approved the fee.  The</w:t>
      </w:r>
      <w:r w:rsidR="00426D44" w:rsidRPr="00A223A5">
        <w:rPr>
          <w:rFonts w:ascii="Times New Roman" w:hAnsi="Times New Roman" w:cs="Times New Roman"/>
          <w:sz w:val="24"/>
          <w:szCs w:val="24"/>
        </w:rPr>
        <w:t xml:space="preserve"> approach </w:t>
      </w:r>
      <w:r w:rsidR="00093B9D" w:rsidRPr="00A223A5">
        <w:rPr>
          <w:rFonts w:ascii="Times New Roman" w:hAnsi="Times New Roman" w:cs="Times New Roman"/>
          <w:sz w:val="24"/>
          <w:szCs w:val="24"/>
        </w:rPr>
        <w:t xml:space="preserve">of the Master thus </w:t>
      </w:r>
      <w:r w:rsidR="00426D44" w:rsidRPr="00A223A5">
        <w:rPr>
          <w:rFonts w:ascii="Times New Roman" w:hAnsi="Times New Roman" w:cs="Times New Roman"/>
          <w:sz w:val="24"/>
          <w:szCs w:val="24"/>
        </w:rPr>
        <w:t>made the involvement of Agricircle irrelevant.  There was therefore a failure of procedural fairness in the manner that the approval took place.</w:t>
      </w:r>
    </w:p>
    <w:p w:rsidR="00D91109" w:rsidRPr="00A223A5" w:rsidRDefault="00D91109" w:rsidP="00AF7F4C">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 xml:space="preserve">In light of the conclusions reached above, the claim for payment of the fees made in the counter-application cannot succeed.  The fee must be approved by the Master in a lawful, reasonable and fair manner. </w:t>
      </w:r>
    </w:p>
    <w:p w:rsidR="007B49C8" w:rsidRPr="00A223A5" w:rsidRDefault="007B49C8" w:rsidP="00AF7F4C">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Costs</w:t>
      </w:r>
    </w:p>
    <w:p w:rsidR="00D91109" w:rsidRPr="00A223A5" w:rsidRDefault="00426D44" w:rsidP="00AF7F4C">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Agricircle has sought costs against the Master and the former judicial manager on the attorney-client scale.  I do not believe that costs against the Master are warranted.  There is no impropriety that warrants punishing the Master b</w:t>
      </w:r>
      <w:r w:rsidR="00D91109" w:rsidRPr="00A223A5">
        <w:rPr>
          <w:rFonts w:ascii="Times New Roman" w:hAnsi="Times New Roman" w:cs="Times New Roman"/>
          <w:sz w:val="24"/>
          <w:szCs w:val="24"/>
        </w:rPr>
        <w:t>y awarding costs against him.  The claim for costs against the Master must therefore fail.</w:t>
      </w:r>
    </w:p>
    <w:p w:rsidR="000C6031" w:rsidRPr="00A223A5" w:rsidRDefault="00D91109" w:rsidP="00AF7F4C">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Costs would normally follow the result.  However, there is a worrying feature of this case which justifies a departure from that principle.  The language used in the affidavits filed on behalf of Agricircle is highly intemperate, scurrilous and disrespectful of the court.  While the challenge to the Master’s decision has been found to be successful, there is no iota of evidence to justify the accusations of connivance and imputatio</w:t>
      </w:r>
      <w:r w:rsidR="000D668E" w:rsidRPr="00A223A5">
        <w:rPr>
          <w:rFonts w:ascii="Times New Roman" w:hAnsi="Times New Roman" w:cs="Times New Roman"/>
          <w:sz w:val="24"/>
          <w:szCs w:val="24"/>
        </w:rPr>
        <w:t xml:space="preserve">ns of corruption which are implied in </w:t>
      </w:r>
      <w:r w:rsidR="00093B9D" w:rsidRPr="00A223A5">
        <w:rPr>
          <w:rFonts w:ascii="Times New Roman" w:hAnsi="Times New Roman" w:cs="Times New Roman"/>
          <w:sz w:val="24"/>
          <w:szCs w:val="24"/>
        </w:rPr>
        <w:t xml:space="preserve">the papers filed on </w:t>
      </w:r>
      <w:r w:rsidR="00093B9D" w:rsidRPr="00A223A5">
        <w:rPr>
          <w:rFonts w:ascii="Times New Roman" w:hAnsi="Times New Roman" w:cs="Times New Roman"/>
          <w:sz w:val="24"/>
          <w:szCs w:val="24"/>
        </w:rPr>
        <w:lastRenderedPageBreak/>
        <w:t>behalf of Ag</w:t>
      </w:r>
      <w:r w:rsidR="000D668E" w:rsidRPr="00A223A5">
        <w:rPr>
          <w:rFonts w:ascii="Times New Roman" w:hAnsi="Times New Roman" w:cs="Times New Roman"/>
          <w:sz w:val="24"/>
          <w:szCs w:val="24"/>
        </w:rPr>
        <w:t>ricircle.  The Master has been unduly accused of being</w:t>
      </w:r>
      <w:r w:rsidR="00093B9D" w:rsidRPr="00A223A5">
        <w:rPr>
          <w:rFonts w:ascii="Times New Roman" w:hAnsi="Times New Roman" w:cs="Times New Roman"/>
          <w:sz w:val="24"/>
          <w:szCs w:val="24"/>
        </w:rPr>
        <w:t xml:space="preserve"> deceitful</w:t>
      </w:r>
      <w:r w:rsidRPr="00A223A5">
        <w:rPr>
          <w:rFonts w:ascii="Times New Roman" w:hAnsi="Times New Roman" w:cs="Times New Roman"/>
          <w:sz w:val="24"/>
          <w:szCs w:val="24"/>
        </w:rPr>
        <w:t xml:space="preserve">, </w:t>
      </w:r>
      <w:r w:rsidR="000D668E" w:rsidRPr="00A223A5">
        <w:rPr>
          <w:rFonts w:ascii="Times New Roman" w:hAnsi="Times New Roman" w:cs="Times New Roman"/>
          <w:sz w:val="24"/>
          <w:szCs w:val="24"/>
        </w:rPr>
        <w:t xml:space="preserve">bringing the administration of justice into disrepute, being dishonest, acting in bad faith, being intent on circumventing a lawful process, acting disgracefully, among other descriptions.  This court has previously stated that it holds legal practitioners responsible for the language used in affidavits and other court documents, and has urged against the use of language that undermines the dignity of the court.  This is a matter in which because of the </w:t>
      </w:r>
      <w:r w:rsidR="007B49C8" w:rsidRPr="00A223A5">
        <w:rPr>
          <w:rFonts w:ascii="Times New Roman" w:hAnsi="Times New Roman" w:cs="Times New Roman"/>
          <w:sz w:val="24"/>
          <w:szCs w:val="24"/>
        </w:rPr>
        <w:t>disrespectful language used the court must penalize the successful party by not awarding costs.  Accordingly, each party must bear its own costs.</w:t>
      </w:r>
      <w:r w:rsidR="000D668E" w:rsidRPr="00A223A5">
        <w:rPr>
          <w:rFonts w:ascii="Times New Roman" w:hAnsi="Times New Roman" w:cs="Times New Roman"/>
          <w:sz w:val="24"/>
          <w:szCs w:val="24"/>
        </w:rPr>
        <w:t xml:space="preserve"> </w:t>
      </w:r>
      <w:r w:rsidRPr="00A223A5">
        <w:rPr>
          <w:rFonts w:ascii="Times New Roman" w:hAnsi="Times New Roman" w:cs="Times New Roman"/>
          <w:sz w:val="24"/>
          <w:szCs w:val="24"/>
        </w:rPr>
        <w:t xml:space="preserve">   </w:t>
      </w:r>
      <w:r w:rsidR="00426D44" w:rsidRPr="00A223A5">
        <w:rPr>
          <w:rFonts w:ascii="Times New Roman" w:hAnsi="Times New Roman" w:cs="Times New Roman"/>
          <w:sz w:val="24"/>
          <w:szCs w:val="24"/>
        </w:rPr>
        <w:t xml:space="preserve"> </w:t>
      </w:r>
      <w:r w:rsidR="00DA219A" w:rsidRPr="00A223A5">
        <w:rPr>
          <w:rFonts w:ascii="Times New Roman" w:hAnsi="Times New Roman" w:cs="Times New Roman"/>
          <w:sz w:val="24"/>
          <w:szCs w:val="24"/>
        </w:rPr>
        <w:t xml:space="preserve"> </w:t>
      </w:r>
      <w:r w:rsidR="003D738C" w:rsidRPr="00A223A5">
        <w:rPr>
          <w:rFonts w:ascii="Times New Roman" w:hAnsi="Times New Roman" w:cs="Times New Roman"/>
          <w:i/>
          <w:sz w:val="24"/>
          <w:szCs w:val="24"/>
        </w:rPr>
        <w:t xml:space="preserve"> </w:t>
      </w:r>
      <w:r w:rsidR="008D632F" w:rsidRPr="00A223A5">
        <w:rPr>
          <w:rFonts w:ascii="Times New Roman" w:hAnsi="Times New Roman" w:cs="Times New Roman"/>
          <w:sz w:val="24"/>
          <w:szCs w:val="24"/>
        </w:rPr>
        <w:t xml:space="preserve"> </w:t>
      </w:r>
      <w:r w:rsidR="008D43B3" w:rsidRPr="00A223A5">
        <w:rPr>
          <w:rFonts w:ascii="Times New Roman" w:hAnsi="Times New Roman" w:cs="Times New Roman"/>
          <w:sz w:val="24"/>
          <w:szCs w:val="24"/>
        </w:rPr>
        <w:t xml:space="preserve">   </w:t>
      </w:r>
      <w:r w:rsidR="0062087C" w:rsidRPr="00A223A5">
        <w:rPr>
          <w:rFonts w:ascii="Times New Roman" w:hAnsi="Times New Roman" w:cs="Times New Roman"/>
          <w:sz w:val="24"/>
          <w:szCs w:val="24"/>
        </w:rPr>
        <w:t xml:space="preserve">  </w:t>
      </w:r>
    </w:p>
    <w:p w:rsidR="007B49C8" w:rsidRPr="00A223A5" w:rsidRDefault="007B49C8" w:rsidP="00AF7F4C">
      <w:pPr>
        <w:spacing w:after="0" w:line="360" w:lineRule="auto"/>
        <w:jc w:val="both"/>
        <w:rPr>
          <w:rFonts w:ascii="Times New Roman" w:hAnsi="Times New Roman" w:cs="Times New Roman"/>
          <w:b/>
          <w:sz w:val="24"/>
          <w:szCs w:val="24"/>
          <w:u w:val="single"/>
        </w:rPr>
      </w:pPr>
      <w:r w:rsidRPr="00A223A5">
        <w:rPr>
          <w:rFonts w:ascii="Times New Roman" w:hAnsi="Times New Roman" w:cs="Times New Roman"/>
          <w:b/>
          <w:sz w:val="24"/>
          <w:szCs w:val="24"/>
          <w:u w:val="single"/>
        </w:rPr>
        <w:t>Conclusion</w:t>
      </w:r>
    </w:p>
    <w:p w:rsidR="007B49C8" w:rsidRPr="00A223A5" w:rsidRDefault="007B49C8" w:rsidP="00AF7F4C">
      <w:pPr>
        <w:spacing w:after="0" w:line="360" w:lineRule="auto"/>
        <w:ind w:firstLine="720"/>
        <w:jc w:val="both"/>
        <w:rPr>
          <w:rFonts w:ascii="Times New Roman" w:hAnsi="Times New Roman" w:cs="Times New Roman"/>
          <w:sz w:val="24"/>
          <w:szCs w:val="24"/>
        </w:rPr>
      </w:pPr>
      <w:r w:rsidRPr="00A223A5">
        <w:rPr>
          <w:rFonts w:ascii="Times New Roman" w:hAnsi="Times New Roman" w:cs="Times New Roman"/>
          <w:sz w:val="24"/>
          <w:szCs w:val="24"/>
        </w:rPr>
        <w:t>In the result, IT IS ORDERED THAT:</w:t>
      </w:r>
    </w:p>
    <w:p w:rsidR="007B49C8" w:rsidRPr="00A223A5" w:rsidRDefault="007B49C8" w:rsidP="00AF7F4C">
      <w:pPr>
        <w:pStyle w:val="ListParagraph"/>
        <w:numPr>
          <w:ilvl w:val="0"/>
          <w:numId w:val="2"/>
        </w:numPr>
        <w:spacing w:after="0" w:line="360" w:lineRule="auto"/>
        <w:jc w:val="both"/>
        <w:rPr>
          <w:rFonts w:ascii="Times New Roman" w:hAnsi="Times New Roman" w:cs="Times New Roman"/>
          <w:sz w:val="24"/>
          <w:szCs w:val="24"/>
        </w:rPr>
      </w:pPr>
      <w:r w:rsidRPr="00A223A5">
        <w:rPr>
          <w:rFonts w:ascii="Times New Roman" w:hAnsi="Times New Roman" w:cs="Times New Roman"/>
          <w:sz w:val="24"/>
          <w:szCs w:val="24"/>
        </w:rPr>
        <w:t>The decision by the Master approving or fixing the remuneration to be paid to the second respondent in HC 206/20 be and is hereby set aside.</w:t>
      </w:r>
    </w:p>
    <w:p w:rsidR="007B49C8" w:rsidRPr="00A223A5" w:rsidRDefault="007B49C8" w:rsidP="00AF7F4C">
      <w:pPr>
        <w:pStyle w:val="ListParagraph"/>
        <w:numPr>
          <w:ilvl w:val="0"/>
          <w:numId w:val="2"/>
        </w:numPr>
        <w:spacing w:line="360" w:lineRule="auto"/>
        <w:jc w:val="both"/>
        <w:rPr>
          <w:rFonts w:ascii="Times New Roman" w:hAnsi="Times New Roman" w:cs="Times New Roman"/>
          <w:sz w:val="24"/>
          <w:szCs w:val="24"/>
        </w:rPr>
      </w:pPr>
      <w:r w:rsidRPr="00A223A5">
        <w:rPr>
          <w:rFonts w:ascii="Times New Roman" w:hAnsi="Times New Roman" w:cs="Times New Roman"/>
          <w:sz w:val="24"/>
          <w:szCs w:val="24"/>
        </w:rPr>
        <w:t xml:space="preserve">The application in HC 592/20 be and is hereby dismissed in its entirety. </w:t>
      </w:r>
    </w:p>
    <w:p w:rsidR="009369DC" w:rsidRPr="00A223A5" w:rsidRDefault="007B49C8" w:rsidP="00AF7F4C">
      <w:pPr>
        <w:pStyle w:val="ListParagraph"/>
        <w:numPr>
          <w:ilvl w:val="0"/>
          <w:numId w:val="2"/>
        </w:numPr>
        <w:spacing w:line="360" w:lineRule="auto"/>
        <w:jc w:val="both"/>
        <w:rPr>
          <w:rFonts w:ascii="Times New Roman" w:hAnsi="Times New Roman" w:cs="Times New Roman"/>
          <w:sz w:val="24"/>
          <w:szCs w:val="24"/>
        </w:rPr>
      </w:pPr>
      <w:r w:rsidRPr="00A223A5">
        <w:rPr>
          <w:rFonts w:ascii="Times New Roman" w:hAnsi="Times New Roman" w:cs="Times New Roman"/>
          <w:sz w:val="24"/>
          <w:szCs w:val="24"/>
        </w:rPr>
        <w:t>The question</w:t>
      </w:r>
      <w:r w:rsidR="002E09B3" w:rsidRPr="00A223A5">
        <w:rPr>
          <w:rFonts w:ascii="Times New Roman" w:hAnsi="Times New Roman" w:cs="Times New Roman"/>
          <w:sz w:val="24"/>
          <w:szCs w:val="24"/>
        </w:rPr>
        <w:t xml:space="preserve"> of the</w:t>
      </w:r>
      <w:r w:rsidRPr="00A223A5">
        <w:rPr>
          <w:rFonts w:ascii="Times New Roman" w:hAnsi="Times New Roman" w:cs="Times New Roman"/>
          <w:sz w:val="24"/>
          <w:szCs w:val="24"/>
        </w:rPr>
        <w:t xml:space="preserve"> reasonable remuneration to be paid to the second respondent in HC 206/20, who is the applicant in HC 592/20, is remitted to the Master who shall fix the reasonable </w:t>
      </w:r>
      <w:r w:rsidR="009369DC" w:rsidRPr="00A223A5">
        <w:rPr>
          <w:rFonts w:ascii="Times New Roman" w:hAnsi="Times New Roman" w:cs="Times New Roman"/>
          <w:sz w:val="24"/>
          <w:szCs w:val="24"/>
        </w:rPr>
        <w:t>remuneration after taking into account representations from both the former judicial manager and Agricircle (Private) Limited.</w:t>
      </w:r>
    </w:p>
    <w:p w:rsidR="009369DC" w:rsidRDefault="009369DC" w:rsidP="00AF7F4C">
      <w:pPr>
        <w:pStyle w:val="ListParagraph"/>
        <w:numPr>
          <w:ilvl w:val="0"/>
          <w:numId w:val="2"/>
        </w:numPr>
        <w:spacing w:line="360" w:lineRule="auto"/>
        <w:jc w:val="both"/>
        <w:rPr>
          <w:rFonts w:ascii="Times New Roman" w:hAnsi="Times New Roman" w:cs="Times New Roman"/>
          <w:sz w:val="24"/>
          <w:szCs w:val="24"/>
        </w:rPr>
      </w:pPr>
      <w:r w:rsidRPr="00A223A5">
        <w:rPr>
          <w:rFonts w:ascii="Times New Roman" w:hAnsi="Times New Roman" w:cs="Times New Roman"/>
          <w:sz w:val="24"/>
          <w:szCs w:val="24"/>
        </w:rPr>
        <w:t>Each party shall bear its own costs.</w:t>
      </w:r>
    </w:p>
    <w:p w:rsidR="001D1E67" w:rsidRDefault="001D1E67" w:rsidP="001D1E67">
      <w:pPr>
        <w:pStyle w:val="ListParagraph"/>
        <w:spacing w:line="360" w:lineRule="auto"/>
        <w:jc w:val="both"/>
        <w:rPr>
          <w:rFonts w:ascii="Times New Roman" w:hAnsi="Times New Roman" w:cs="Times New Roman"/>
          <w:sz w:val="24"/>
          <w:szCs w:val="24"/>
        </w:rPr>
      </w:pPr>
    </w:p>
    <w:p w:rsidR="001D1E67" w:rsidRPr="00A223A5" w:rsidRDefault="001D1E67" w:rsidP="001D1E67">
      <w:pPr>
        <w:pStyle w:val="ListParagraph"/>
        <w:spacing w:line="360" w:lineRule="auto"/>
        <w:jc w:val="both"/>
        <w:rPr>
          <w:rFonts w:ascii="Times New Roman" w:hAnsi="Times New Roman" w:cs="Times New Roman"/>
          <w:sz w:val="24"/>
          <w:szCs w:val="24"/>
        </w:rPr>
      </w:pPr>
    </w:p>
    <w:p w:rsidR="009369DC" w:rsidRPr="00A223A5" w:rsidRDefault="009369DC" w:rsidP="00A223A5">
      <w:pPr>
        <w:jc w:val="both"/>
        <w:rPr>
          <w:rFonts w:ascii="Times New Roman" w:hAnsi="Times New Roman" w:cs="Times New Roman"/>
          <w:sz w:val="24"/>
          <w:szCs w:val="24"/>
        </w:rPr>
      </w:pPr>
    </w:p>
    <w:p w:rsidR="00A223A5" w:rsidRDefault="00637FBE"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i/>
          <w:sz w:val="24"/>
          <w:szCs w:val="24"/>
        </w:rPr>
        <w:t>Kantor &amp; Immerman</w:t>
      </w:r>
      <w:r w:rsidRPr="00A223A5">
        <w:rPr>
          <w:rFonts w:ascii="Times New Roman" w:hAnsi="Times New Roman" w:cs="Times New Roman"/>
          <w:sz w:val="24"/>
          <w:szCs w:val="24"/>
        </w:rPr>
        <w:t xml:space="preserve">, legal practitioners for the applicant in HC 206/20 and the </w:t>
      </w:r>
      <w:r w:rsidR="00AF7F4C">
        <w:rPr>
          <w:rFonts w:ascii="Times New Roman" w:hAnsi="Times New Roman" w:cs="Times New Roman"/>
          <w:sz w:val="24"/>
          <w:szCs w:val="24"/>
        </w:rPr>
        <w:t>1</w:t>
      </w:r>
      <w:r w:rsidR="00AF7F4C" w:rsidRPr="00AF7F4C">
        <w:rPr>
          <w:rFonts w:ascii="Times New Roman" w:hAnsi="Times New Roman" w:cs="Times New Roman"/>
          <w:sz w:val="24"/>
          <w:szCs w:val="24"/>
          <w:vertAlign w:val="superscript"/>
        </w:rPr>
        <w:t>st</w:t>
      </w:r>
      <w:r w:rsidR="00201ACA">
        <w:rPr>
          <w:rFonts w:ascii="Times New Roman" w:hAnsi="Times New Roman" w:cs="Times New Roman"/>
          <w:sz w:val="24"/>
          <w:szCs w:val="24"/>
          <w:vertAlign w:val="superscript"/>
        </w:rPr>
        <w:t xml:space="preserve"> </w:t>
      </w:r>
      <w:r w:rsidR="00AF7F4C">
        <w:rPr>
          <w:rFonts w:ascii="Times New Roman" w:hAnsi="Times New Roman" w:cs="Times New Roman"/>
          <w:sz w:val="24"/>
          <w:szCs w:val="24"/>
        </w:rPr>
        <w:t>-</w:t>
      </w:r>
      <w:r w:rsidR="00201ACA">
        <w:rPr>
          <w:rFonts w:ascii="Times New Roman" w:hAnsi="Times New Roman" w:cs="Times New Roman"/>
          <w:sz w:val="24"/>
          <w:szCs w:val="24"/>
        </w:rPr>
        <w:t xml:space="preserve"> </w:t>
      </w:r>
      <w:r w:rsidR="00AF7F4C">
        <w:rPr>
          <w:rFonts w:ascii="Times New Roman" w:hAnsi="Times New Roman" w:cs="Times New Roman"/>
          <w:sz w:val="24"/>
          <w:szCs w:val="24"/>
        </w:rPr>
        <w:t>7</w:t>
      </w:r>
      <w:r w:rsidR="00AF7F4C" w:rsidRPr="00AF7F4C">
        <w:rPr>
          <w:rFonts w:ascii="Times New Roman" w:hAnsi="Times New Roman" w:cs="Times New Roman"/>
          <w:sz w:val="24"/>
          <w:szCs w:val="24"/>
          <w:vertAlign w:val="superscript"/>
        </w:rPr>
        <w:t>th</w:t>
      </w:r>
      <w:r w:rsidR="00AF7F4C">
        <w:rPr>
          <w:rFonts w:ascii="Times New Roman" w:hAnsi="Times New Roman" w:cs="Times New Roman"/>
          <w:sz w:val="24"/>
          <w:szCs w:val="24"/>
        </w:rPr>
        <w:t xml:space="preserve"> </w:t>
      </w:r>
      <w:r w:rsidR="00AF7F4C" w:rsidRPr="00A223A5">
        <w:rPr>
          <w:rFonts w:ascii="Times New Roman" w:hAnsi="Times New Roman" w:cs="Times New Roman"/>
          <w:sz w:val="24"/>
          <w:szCs w:val="24"/>
        </w:rPr>
        <w:t>respondents</w:t>
      </w:r>
      <w:r w:rsidRPr="00A223A5">
        <w:rPr>
          <w:rFonts w:ascii="Times New Roman" w:hAnsi="Times New Roman" w:cs="Times New Roman"/>
          <w:sz w:val="24"/>
          <w:szCs w:val="24"/>
        </w:rPr>
        <w:t xml:space="preserve"> in HC 592/20.</w:t>
      </w:r>
    </w:p>
    <w:p w:rsidR="007B49C8" w:rsidRPr="00A223A5" w:rsidRDefault="00C758E6" w:rsidP="00A223A5">
      <w:pPr>
        <w:spacing w:after="0" w:line="240" w:lineRule="auto"/>
        <w:jc w:val="both"/>
        <w:rPr>
          <w:rFonts w:ascii="Times New Roman" w:hAnsi="Times New Roman" w:cs="Times New Roman"/>
          <w:sz w:val="24"/>
          <w:szCs w:val="24"/>
        </w:rPr>
      </w:pPr>
      <w:r w:rsidRPr="00A223A5">
        <w:rPr>
          <w:rFonts w:ascii="Times New Roman" w:hAnsi="Times New Roman" w:cs="Times New Roman"/>
          <w:i/>
          <w:sz w:val="24"/>
          <w:szCs w:val="24"/>
        </w:rPr>
        <w:t>Henning Lock</w:t>
      </w:r>
      <w:r w:rsidRPr="00A223A5">
        <w:rPr>
          <w:rFonts w:ascii="Times New Roman" w:hAnsi="Times New Roman" w:cs="Times New Roman"/>
          <w:sz w:val="24"/>
          <w:szCs w:val="24"/>
        </w:rPr>
        <w:t xml:space="preserve">, legal </w:t>
      </w:r>
      <w:r w:rsidR="00AF7F4C" w:rsidRPr="00A223A5">
        <w:rPr>
          <w:rFonts w:ascii="Times New Roman" w:hAnsi="Times New Roman" w:cs="Times New Roman"/>
          <w:sz w:val="24"/>
          <w:szCs w:val="24"/>
        </w:rPr>
        <w:t>practitioners</w:t>
      </w:r>
      <w:r w:rsidRPr="00A223A5">
        <w:rPr>
          <w:rFonts w:ascii="Times New Roman" w:hAnsi="Times New Roman" w:cs="Times New Roman"/>
          <w:sz w:val="24"/>
          <w:szCs w:val="24"/>
        </w:rPr>
        <w:t xml:space="preserve"> for the </w:t>
      </w:r>
      <w:r w:rsidR="00AF7F4C">
        <w:rPr>
          <w:rFonts w:ascii="Times New Roman" w:hAnsi="Times New Roman" w:cs="Times New Roman"/>
          <w:sz w:val="24"/>
          <w:szCs w:val="24"/>
        </w:rPr>
        <w:t>2</w:t>
      </w:r>
      <w:r w:rsidR="00AF7F4C" w:rsidRPr="00AF7F4C">
        <w:rPr>
          <w:rFonts w:ascii="Times New Roman" w:hAnsi="Times New Roman" w:cs="Times New Roman"/>
          <w:sz w:val="24"/>
          <w:szCs w:val="24"/>
          <w:vertAlign w:val="superscript"/>
        </w:rPr>
        <w:t>nd</w:t>
      </w:r>
      <w:r w:rsidR="00AF7F4C">
        <w:rPr>
          <w:rFonts w:ascii="Times New Roman" w:hAnsi="Times New Roman" w:cs="Times New Roman"/>
          <w:sz w:val="24"/>
          <w:szCs w:val="24"/>
        </w:rPr>
        <w:t xml:space="preserve"> </w:t>
      </w:r>
      <w:r w:rsidRPr="00A223A5">
        <w:rPr>
          <w:rFonts w:ascii="Times New Roman" w:hAnsi="Times New Roman" w:cs="Times New Roman"/>
          <w:sz w:val="24"/>
          <w:szCs w:val="24"/>
        </w:rPr>
        <w:t>respondent in HC 206/20 and the applicant in HC 592/20</w:t>
      </w:r>
      <w:r w:rsidR="00637FBE" w:rsidRPr="00A223A5">
        <w:rPr>
          <w:rFonts w:ascii="Times New Roman" w:hAnsi="Times New Roman" w:cs="Times New Roman"/>
          <w:sz w:val="24"/>
          <w:szCs w:val="24"/>
        </w:rPr>
        <w:t xml:space="preserve"> </w:t>
      </w:r>
      <w:r w:rsidR="007B49C8" w:rsidRPr="00A223A5">
        <w:rPr>
          <w:rFonts w:ascii="Times New Roman" w:hAnsi="Times New Roman" w:cs="Times New Roman"/>
          <w:sz w:val="24"/>
          <w:szCs w:val="24"/>
        </w:rPr>
        <w:t xml:space="preserve"> </w:t>
      </w:r>
    </w:p>
    <w:p w:rsidR="00076AC9" w:rsidRPr="00A223A5" w:rsidRDefault="008F71D7" w:rsidP="00A223A5">
      <w:pPr>
        <w:jc w:val="both"/>
        <w:rPr>
          <w:rFonts w:ascii="Times New Roman" w:hAnsi="Times New Roman" w:cs="Times New Roman"/>
          <w:sz w:val="24"/>
          <w:szCs w:val="24"/>
        </w:rPr>
      </w:pPr>
      <w:r w:rsidRPr="00A223A5">
        <w:rPr>
          <w:rFonts w:ascii="Times New Roman" w:hAnsi="Times New Roman" w:cs="Times New Roman"/>
          <w:sz w:val="24"/>
          <w:szCs w:val="24"/>
        </w:rPr>
        <w:t xml:space="preserve"> </w:t>
      </w:r>
      <w:r w:rsidR="00076AC9" w:rsidRPr="00A223A5">
        <w:rPr>
          <w:rFonts w:ascii="Times New Roman" w:hAnsi="Times New Roman" w:cs="Times New Roman"/>
          <w:sz w:val="24"/>
          <w:szCs w:val="24"/>
        </w:rPr>
        <w:t xml:space="preserve"> </w:t>
      </w:r>
    </w:p>
    <w:sectPr w:rsidR="00076AC9" w:rsidRPr="00A223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D3" w:rsidRDefault="004A04D3" w:rsidP="00A223A5">
      <w:pPr>
        <w:spacing w:after="0" w:line="240" w:lineRule="auto"/>
      </w:pPr>
      <w:r>
        <w:separator/>
      </w:r>
    </w:p>
  </w:endnote>
  <w:endnote w:type="continuationSeparator" w:id="0">
    <w:p w:rsidR="004A04D3" w:rsidRDefault="004A04D3" w:rsidP="00A2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D3" w:rsidRDefault="004A04D3" w:rsidP="00A223A5">
      <w:pPr>
        <w:spacing w:after="0" w:line="240" w:lineRule="auto"/>
      </w:pPr>
      <w:r>
        <w:separator/>
      </w:r>
    </w:p>
  </w:footnote>
  <w:footnote w:type="continuationSeparator" w:id="0">
    <w:p w:rsidR="004A04D3" w:rsidRDefault="004A04D3" w:rsidP="00A2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673812"/>
      <w:docPartObj>
        <w:docPartGallery w:val="Page Numbers (Top of Page)"/>
        <w:docPartUnique/>
      </w:docPartObj>
    </w:sdtPr>
    <w:sdtEndPr>
      <w:rPr>
        <w:noProof/>
      </w:rPr>
    </w:sdtEndPr>
    <w:sdtContent>
      <w:p w:rsidR="00BB65B1" w:rsidRDefault="00BB65B1">
        <w:pPr>
          <w:pStyle w:val="Header"/>
          <w:jc w:val="right"/>
          <w:rPr>
            <w:noProof/>
          </w:rPr>
        </w:pPr>
        <w:r>
          <w:fldChar w:fldCharType="begin"/>
        </w:r>
        <w:r>
          <w:instrText xml:space="preserve"> PAGE   \* MERGEFORMAT </w:instrText>
        </w:r>
        <w:r>
          <w:fldChar w:fldCharType="separate"/>
        </w:r>
        <w:r w:rsidR="00776F56">
          <w:rPr>
            <w:noProof/>
          </w:rPr>
          <w:t>1</w:t>
        </w:r>
        <w:r>
          <w:rPr>
            <w:noProof/>
          </w:rPr>
          <w:fldChar w:fldCharType="end"/>
        </w:r>
      </w:p>
      <w:p w:rsidR="00BB65B1" w:rsidRDefault="00BB65B1">
        <w:pPr>
          <w:pStyle w:val="Header"/>
          <w:jc w:val="right"/>
          <w:rPr>
            <w:noProof/>
          </w:rPr>
        </w:pPr>
        <w:r>
          <w:rPr>
            <w:noProof/>
          </w:rPr>
          <w:t>HH</w:t>
        </w:r>
        <w:r w:rsidR="007D75A4">
          <w:rPr>
            <w:noProof/>
          </w:rPr>
          <w:t xml:space="preserve"> 376-21</w:t>
        </w:r>
      </w:p>
      <w:p w:rsidR="00BB65B1" w:rsidRDefault="00BB65B1">
        <w:pPr>
          <w:pStyle w:val="Header"/>
          <w:jc w:val="right"/>
          <w:rPr>
            <w:noProof/>
          </w:rPr>
        </w:pPr>
        <w:r>
          <w:rPr>
            <w:noProof/>
          </w:rPr>
          <w:t>HC 206/20</w:t>
        </w:r>
      </w:p>
      <w:p w:rsidR="00BB65B1" w:rsidRDefault="00BB65B1">
        <w:pPr>
          <w:pStyle w:val="Header"/>
          <w:jc w:val="right"/>
        </w:pPr>
        <w:r>
          <w:rPr>
            <w:noProof/>
          </w:rPr>
          <w:t>HC 592/20</w:t>
        </w:r>
      </w:p>
    </w:sdtContent>
  </w:sdt>
  <w:p w:rsidR="00A223A5" w:rsidRDefault="00A223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16A0"/>
    <w:multiLevelType w:val="hybridMultilevel"/>
    <w:tmpl w:val="5076190A"/>
    <w:lvl w:ilvl="0" w:tplc="AA44A4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5D4320"/>
    <w:multiLevelType w:val="hybridMultilevel"/>
    <w:tmpl w:val="A0CE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3D"/>
    <w:rsid w:val="0000357D"/>
    <w:rsid w:val="000224D5"/>
    <w:rsid w:val="00052065"/>
    <w:rsid w:val="00070888"/>
    <w:rsid w:val="00076AC9"/>
    <w:rsid w:val="00092717"/>
    <w:rsid w:val="00093B9D"/>
    <w:rsid w:val="000C042B"/>
    <w:rsid w:val="000C6031"/>
    <w:rsid w:val="000D668E"/>
    <w:rsid w:val="00120D67"/>
    <w:rsid w:val="00132CBE"/>
    <w:rsid w:val="00190A0C"/>
    <w:rsid w:val="001A0FDD"/>
    <w:rsid w:val="001D1E67"/>
    <w:rsid w:val="00201ACA"/>
    <w:rsid w:val="00231C2E"/>
    <w:rsid w:val="00255E91"/>
    <w:rsid w:val="00265101"/>
    <w:rsid w:val="00266560"/>
    <w:rsid w:val="00294F79"/>
    <w:rsid w:val="002B4E3B"/>
    <w:rsid w:val="002E09B3"/>
    <w:rsid w:val="00305929"/>
    <w:rsid w:val="00317E9E"/>
    <w:rsid w:val="00320118"/>
    <w:rsid w:val="003501CF"/>
    <w:rsid w:val="00395269"/>
    <w:rsid w:val="003B3489"/>
    <w:rsid w:val="003D738C"/>
    <w:rsid w:val="003E2022"/>
    <w:rsid w:val="00426D44"/>
    <w:rsid w:val="00433487"/>
    <w:rsid w:val="00471AF0"/>
    <w:rsid w:val="0047628E"/>
    <w:rsid w:val="0049739F"/>
    <w:rsid w:val="004A04D3"/>
    <w:rsid w:val="004A6D1E"/>
    <w:rsid w:val="005214D7"/>
    <w:rsid w:val="00575677"/>
    <w:rsid w:val="00585B84"/>
    <w:rsid w:val="005951BB"/>
    <w:rsid w:val="005C714F"/>
    <w:rsid w:val="00617546"/>
    <w:rsid w:val="0062087C"/>
    <w:rsid w:val="00637FBE"/>
    <w:rsid w:val="006C754E"/>
    <w:rsid w:val="006D21B4"/>
    <w:rsid w:val="006D316B"/>
    <w:rsid w:val="00702D20"/>
    <w:rsid w:val="00764095"/>
    <w:rsid w:val="00776F56"/>
    <w:rsid w:val="007B49C8"/>
    <w:rsid w:val="007D65AB"/>
    <w:rsid w:val="007D75A4"/>
    <w:rsid w:val="008C1D3F"/>
    <w:rsid w:val="008D173D"/>
    <w:rsid w:val="008D43B3"/>
    <w:rsid w:val="008D632F"/>
    <w:rsid w:val="008D7A29"/>
    <w:rsid w:val="008F199E"/>
    <w:rsid w:val="008F71D7"/>
    <w:rsid w:val="009369DC"/>
    <w:rsid w:val="0099640E"/>
    <w:rsid w:val="009B7BB6"/>
    <w:rsid w:val="00A05A71"/>
    <w:rsid w:val="00A223A5"/>
    <w:rsid w:val="00A61FA1"/>
    <w:rsid w:val="00AD5A3B"/>
    <w:rsid w:val="00AE5086"/>
    <w:rsid w:val="00AF0889"/>
    <w:rsid w:val="00AF7F4C"/>
    <w:rsid w:val="00B119ED"/>
    <w:rsid w:val="00B2704D"/>
    <w:rsid w:val="00B5634E"/>
    <w:rsid w:val="00B64E95"/>
    <w:rsid w:val="00B74747"/>
    <w:rsid w:val="00BB65B1"/>
    <w:rsid w:val="00C23B8D"/>
    <w:rsid w:val="00C3692F"/>
    <w:rsid w:val="00C45A0F"/>
    <w:rsid w:val="00C758E6"/>
    <w:rsid w:val="00C8569C"/>
    <w:rsid w:val="00D12156"/>
    <w:rsid w:val="00D65177"/>
    <w:rsid w:val="00D71024"/>
    <w:rsid w:val="00D91109"/>
    <w:rsid w:val="00DA219A"/>
    <w:rsid w:val="00DB60E6"/>
    <w:rsid w:val="00E01D12"/>
    <w:rsid w:val="00E033F2"/>
    <w:rsid w:val="00E070CC"/>
    <w:rsid w:val="00E3351B"/>
    <w:rsid w:val="00E87D22"/>
    <w:rsid w:val="00EA37F2"/>
    <w:rsid w:val="00F20B7D"/>
    <w:rsid w:val="00F36142"/>
    <w:rsid w:val="00F447AD"/>
    <w:rsid w:val="00F54490"/>
    <w:rsid w:val="00F55AB5"/>
    <w:rsid w:val="00F8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91546-7612-4892-8475-322A49EE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AC9"/>
    <w:pPr>
      <w:ind w:left="720"/>
      <w:contextualSpacing/>
    </w:pPr>
  </w:style>
  <w:style w:type="paragraph" w:styleId="BalloonText">
    <w:name w:val="Balloon Text"/>
    <w:basedOn w:val="Normal"/>
    <w:link w:val="BalloonTextChar"/>
    <w:uiPriority w:val="99"/>
    <w:semiHidden/>
    <w:unhideWhenUsed/>
    <w:rsid w:val="0031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E9E"/>
    <w:rPr>
      <w:rFonts w:ascii="Segoe UI" w:hAnsi="Segoe UI" w:cs="Segoe UI"/>
      <w:sz w:val="18"/>
      <w:szCs w:val="18"/>
    </w:rPr>
  </w:style>
  <w:style w:type="paragraph" w:styleId="Header">
    <w:name w:val="header"/>
    <w:basedOn w:val="Normal"/>
    <w:link w:val="HeaderChar"/>
    <w:uiPriority w:val="99"/>
    <w:unhideWhenUsed/>
    <w:rsid w:val="00A22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3A5"/>
  </w:style>
  <w:style w:type="paragraph" w:styleId="Footer">
    <w:name w:val="footer"/>
    <w:basedOn w:val="Normal"/>
    <w:link w:val="FooterChar"/>
    <w:uiPriority w:val="99"/>
    <w:unhideWhenUsed/>
    <w:rsid w:val="00A22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FB0B-6DF4-44E7-AD48-EBA5654B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2021-07-19T06:55:00Z</cp:lastPrinted>
  <dcterms:created xsi:type="dcterms:W3CDTF">2021-07-23T07:08:00Z</dcterms:created>
  <dcterms:modified xsi:type="dcterms:W3CDTF">2021-07-23T07:08:00Z</dcterms:modified>
</cp:coreProperties>
</file>