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654" w:rsidRDefault="00DC4654" w:rsidP="00E51D89">
      <w:pPr>
        <w:rPr>
          <w:rFonts w:cs="Tahoma"/>
          <w:b/>
          <w:color w:val="auto"/>
          <w:szCs w:val="24"/>
        </w:rPr>
      </w:pPr>
    </w:p>
    <w:p w:rsidR="00E51D89" w:rsidRPr="00523BA6" w:rsidRDefault="00E51D89" w:rsidP="00E51D89">
      <w:pPr>
        <w:rPr>
          <w:rFonts w:cs="Tahoma"/>
          <w:b/>
          <w:color w:val="auto"/>
          <w:szCs w:val="24"/>
        </w:rPr>
      </w:pPr>
      <w:r w:rsidRPr="00523BA6">
        <w:rPr>
          <w:rFonts w:cs="Tahoma"/>
          <w:b/>
          <w:color w:val="auto"/>
          <w:szCs w:val="24"/>
        </w:rPr>
        <w:t xml:space="preserve">IN THE LABOUR COURT OF ZIMBABWE         </w:t>
      </w:r>
    </w:p>
    <w:p w:rsidR="00E51D89" w:rsidRDefault="00E51D89" w:rsidP="00E51D89">
      <w:pPr>
        <w:rPr>
          <w:rFonts w:cs="Tahoma"/>
          <w:b/>
          <w:color w:val="auto"/>
          <w:szCs w:val="24"/>
        </w:rPr>
      </w:pPr>
      <w:proofErr w:type="gramStart"/>
      <w:r w:rsidRPr="00523BA6">
        <w:rPr>
          <w:rFonts w:cs="Tahoma"/>
          <w:b/>
          <w:color w:val="auto"/>
          <w:szCs w:val="24"/>
        </w:rPr>
        <w:t xml:space="preserve">HELD AT </w:t>
      </w:r>
      <w:r w:rsidR="003D14D2" w:rsidRPr="00523BA6">
        <w:rPr>
          <w:rFonts w:cs="Tahoma"/>
          <w:b/>
          <w:color w:val="auto"/>
          <w:szCs w:val="24"/>
        </w:rPr>
        <w:t>HARARE ON</w:t>
      </w:r>
      <w:r w:rsidR="00C10B03">
        <w:rPr>
          <w:rFonts w:cs="Tahoma"/>
          <w:b/>
          <w:color w:val="auto"/>
          <w:szCs w:val="24"/>
        </w:rPr>
        <w:t xml:space="preserve"> 19</w:t>
      </w:r>
      <w:r w:rsidR="00C10B03" w:rsidRPr="00C10B03">
        <w:rPr>
          <w:rFonts w:cs="Tahoma"/>
          <w:b/>
          <w:color w:val="auto"/>
          <w:szCs w:val="24"/>
          <w:vertAlign w:val="superscript"/>
        </w:rPr>
        <w:t>th</w:t>
      </w:r>
      <w:r w:rsidR="00C10B03">
        <w:rPr>
          <w:rFonts w:cs="Tahoma"/>
          <w:b/>
          <w:color w:val="auto"/>
          <w:szCs w:val="24"/>
        </w:rPr>
        <w:t xml:space="preserve"> MAY 2015 </w:t>
      </w:r>
      <w:r w:rsidR="003D14D2" w:rsidRPr="00523BA6">
        <w:rPr>
          <w:rFonts w:cs="Tahoma"/>
          <w:b/>
          <w:color w:val="auto"/>
          <w:szCs w:val="24"/>
        </w:rPr>
        <w:t xml:space="preserve"> </w:t>
      </w:r>
      <w:r w:rsidR="005C58EB" w:rsidRPr="00523BA6">
        <w:rPr>
          <w:rFonts w:cs="Tahoma"/>
          <w:b/>
          <w:color w:val="auto"/>
          <w:szCs w:val="24"/>
        </w:rPr>
        <w:t xml:space="preserve">  </w:t>
      </w:r>
      <w:r w:rsidR="00835364">
        <w:rPr>
          <w:rFonts w:cs="Tahoma"/>
          <w:b/>
          <w:color w:val="auto"/>
          <w:szCs w:val="24"/>
        </w:rPr>
        <w:tab/>
      </w:r>
      <w:r w:rsidR="00835364">
        <w:rPr>
          <w:rFonts w:cs="Tahoma"/>
          <w:b/>
          <w:color w:val="auto"/>
          <w:szCs w:val="24"/>
        </w:rPr>
        <w:tab/>
      </w:r>
      <w:r w:rsidRPr="00523BA6">
        <w:rPr>
          <w:rFonts w:cs="Tahoma"/>
          <w:b/>
          <w:color w:val="auto"/>
          <w:szCs w:val="24"/>
        </w:rPr>
        <w:t>CASE NO.</w:t>
      </w:r>
      <w:proofErr w:type="gramEnd"/>
      <w:r w:rsidR="003D14D2" w:rsidRPr="00523BA6">
        <w:rPr>
          <w:rFonts w:cs="Tahoma"/>
          <w:b/>
          <w:color w:val="auto"/>
          <w:szCs w:val="24"/>
        </w:rPr>
        <w:t xml:space="preserve"> </w:t>
      </w:r>
      <w:r w:rsidR="00C10B03">
        <w:rPr>
          <w:rFonts w:cs="Tahoma"/>
          <w:b/>
          <w:color w:val="auto"/>
          <w:szCs w:val="24"/>
        </w:rPr>
        <w:t>LC/MC/68/11</w:t>
      </w:r>
    </w:p>
    <w:p w:rsidR="00835364" w:rsidRPr="00523BA6" w:rsidRDefault="00835364" w:rsidP="00E51D89">
      <w:pPr>
        <w:rPr>
          <w:rFonts w:cs="Tahoma"/>
          <w:b/>
          <w:color w:val="auto"/>
          <w:szCs w:val="24"/>
        </w:rPr>
      </w:pPr>
      <w:r>
        <w:rPr>
          <w:rFonts w:cs="Tahoma"/>
          <w:b/>
          <w:color w:val="auto"/>
          <w:szCs w:val="24"/>
        </w:rPr>
        <w:t xml:space="preserve">AND </w:t>
      </w:r>
      <w:r w:rsidR="00650929">
        <w:rPr>
          <w:rFonts w:cs="Tahoma"/>
          <w:b/>
          <w:color w:val="auto"/>
          <w:szCs w:val="24"/>
        </w:rPr>
        <w:t>18</w:t>
      </w:r>
      <w:r w:rsidR="00650929" w:rsidRPr="00650929">
        <w:rPr>
          <w:rFonts w:cs="Tahoma"/>
          <w:b/>
          <w:color w:val="auto"/>
          <w:szCs w:val="24"/>
          <w:vertAlign w:val="superscript"/>
        </w:rPr>
        <w:t>th</w:t>
      </w:r>
      <w:r w:rsidR="00650929">
        <w:rPr>
          <w:rFonts w:cs="Tahoma"/>
          <w:b/>
          <w:color w:val="auto"/>
          <w:szCs w:val="24"/>
        </w:rPr>
        <w:t xml:space="preserve"> MARCH</w:t>
      </w:r>
      <w:r>
        <w:rPr>
          <w:rFonts w:cs="Tahoma"/>
          <w:b/>
          <w:color w:val="auto"/>
          <w:szCs w:val="24"/>
        </w:rPr>
        <w:t>, 2016</w:t>
      </w:r>
    </w:p>
    <w:p w:rsidR="00E51D89" w:rsidRPr="00523BA6" w:rsidRDefault="00E51D89" w:rsidP="00E51D89">
      <w:pPr>
        <w:rPr>
          <w:rFonts w:cs="Tahoma"/>
          <w:color w:val="auto"/>
          <w:szCs w:val="24"/>
        </w:rPr>
      </w:pPr>
      <w:r w:rsidRPr="00523BA6">
        <w:rPr>
          <w:rFonts w:cs="Tahoma"/>
          <w:color w:val="auto"/>
          <w:szCs w:val="24"/>
        </w:rPr>
        <w:t xml:space="preserve">In the matter between:- </w:t>
      </w:r>
    </w:p>
    <w:p w:rsidR="00E51D89" w:rsidRPr="00523BA6" w:rsidRDefault="00C10B03" w:rsidP="00BE6E11">
      <w:pPr>
        <w:rPr>
          <w:rFonts w:cs="Tahoma"/>
          <w:b/>
          <w:color w:val="auto"/>
          <w:szCs w:val="24"/>
        </w:rPr>
      </w:pPr>
      <w:r>
        <w:rPr>
          <w:rFonts w:cs="Tahoma"/>
          <w:b/>
          <w:color w:val="auto"/>
          <w:szCs w:val="24"/>
        </w:rPr>
        <w:t xml:space="preserve">AFRICA UNIVERSITY                                                            </w:t>
      </w:r>
      <w:r w:rsidR="00BE6E11" w:rsidRPr="00523BA6">
        <w:rPr>
          <w:rFonts w:cs="Tahoma"/>
          <w:b/>
          <w:color w:val="auto"/>
          <w:szCs w:val="24"/>
        </w:rPr>
        <w:t>-</w:t>
      </w:r>
      <w:r w:rsidR="009D188E" w:rsidRPr="00523BA6">
        <w:rPr>
          <w:rFonts w:cs="Tahoma"/>
          <w:b/>
          <w:color w:val="auto"/>
          <w:szCs w:val="24"/>
        </w:rPr>
        <w:t>APPELLANT</w:t>
      </w:r>
    </w:p>
    <w:sdt>
      <w:sdtPr>
        <w:rPr>
          <w:color w:val="auto"/>
        </w:rPr>
        <w:id w:val="967902742"/>
        <w:docPartObj>
          <w:docPartGallery w:val="Cover Pages"/>
          <w:docPartUnique/>
        </w:docPartObj>
      </w:sdtPr>
      <w:sdtEndPr/>
      <w:sdtContent>
        <w:p w:rsidR="00E51D89" w:rsidRPr="00523BA6" w:rsidRDefault="00E51D89" w:rsidP="00E51D89">
          <w:pPr>
            <w:rPr>
              <w:b/>
              <w:color w:val="auto"/>
            </w:rPr>
          </w:pPr>
          <w:r w:rsidRPr="00523BA6">
            <w:rPr>
              <w:b/>
              <w:color w:val="auto"/>
              <w:szCs w:val="24"/>
            </w:rPr>
            <w:t>AND</w:t>
          </w:r>
        </w:p>
        <w:p w:rsidR="00EA2BDD" w:rsidRPr="00523BA6" w:rsidRDefault="00C10B03" w:rsidP="00EA2BDD">
          <w:pPr>
            <w:rPr>
              <w:rFonts w:cs="Tahoma"/>
              <w:b/>
              <w:color w:val="auto"/>
              <w:szCs w:val="24"/>
            </w:rPr>
          </w:pPr>
          <w:r>
            <w:rPr>
              <w:rFonts w:cs="Tahoma"/>
              <w:b/>
              <w:color w:val="auto"/>
              <w:szCs w:val="24"/>
            </w:rPr>
            <w:t xml:space="preserve">TIMOTHY NDHLERA                                                         </w:t>
          </w:r>
          <w:r w:rsidR="00BE6E11" w:rsidRPr="00523BA6">
            <w:rPr>
              <w:rFonts w:cs="Tahoma"/>
              <w:b/>
              <w:color w:val="auto"/>
              <w:szCs w:val="24"/>
            </w:rPr>
            <w:t>-</w:t>
          </w:r>
          <w:r w:rsidR="009D188E" w:rsidRPr="00523BA6">
            <w:rPr>
              <w:rFonts w:cs="Tahoma"/>
              <w:b/>
              <w:color w:val="auto"/>
              <w:szCs w:val="24"/>
            </w:rPr>
            <w:t xml:space="preserve"> RESPONDENT</w:t>
          </w:r>
        </w:p>
        <w:p w:rsidR="00EA2BDD" w:rsidRPr="00523BA6" w:rsidRDefault="00EA2BDD" w:rsidP="00EA2BDD">
          <w:pPr>
            <w:rPr>
              <w:rFonts w:cs="Tahoma"/>
              <w:color w:val="auto"/>
              <w:szCs w:val="24"/>
            </w:rPr>
          </w:pPr>
          <w:r w:rsidRPr="00523BA6">
            <w:rPr>
              <w:rFonts w:cs="Tahoma"/>
              <w:color w:val="auto"/>
              <w:szCs w:val="24"/>
            </w:rPr>
            <w:t xml:space="preserve">Before the Honourable B.T Chivizhe: Judge </w:t>
          </w:r>
        </w:p>
        <w:p w:rsidR="00EA2BDD" w:rsidRPr="00523BA6" w:rsidRDefault="00EA2BDD" w:rsidP="00EA2BDD">
          <w:pPr>
            <w:rPr>
              <w:rFonts w:cs="Tahoma"/>
              <w:b/>
              <w:color w:val="auto"/>
              <w:szCs w:val="24"/>
            </w:rPr>
          </w:pPr>
          <w:r w:rsidRPr="00523BA6">
            <w:rPr>
              <w:rFonts w:cs="Tahoma"/>
              <w:b/>
              <w:color w:val="auto"/>
              <w:szCs w:val="24"/>
            </w:rPr>
            <w:t>For Appellant</w:t>
          </w:r>
          <w:r w:rsidR="00835364">
            <w:rPr>
              <w:rFonts w:cs="Tahoma"/>
              <w:b/>
              <w:color w:val="auto"/>
              <w:szCs w:val="24"/>
            </w:rPr>
            <w:tab/>
          </w:r>
          <w:r w:rsidRPr="00523BA6">
            <w:rPr>
              <w:rFonts w:cs="Tahoma"/>
              <w:b/>
              <w:color w:val="auto"/>
              <w:szCs w:val="24"/>
            </w:rPr>
            <w:t>:</w:t>
          </w:r>
          <w:r w:rsidR="00C10B03">
            <w:rPr>
              <w:rFonts w:cs="Tahoma"/>
              <w:b/>
              <w:color w:val="auto"/>
              <w:szCs w:val="24"/>
            </w:rPr>
            <w:t xml:space="preserve"> Mr C. </w:t>
          </w:r>
          <w:proofErr w:type="spellStart"/>
          <w:r w:rsidR="00C10B03">
            <w:rPr>
              <w:rFonts w:cs="Tahoma"/>
              <w:b/>
              <w:color w:val="auto"/>
              <w:szCs w:val="24"/>
            </w:rPr>
            <w:t>Munguma</w:t>
          </w:r>
          <w:proofErr w:type="spellEnd"/>
          <w:r w:rsidR="00BE6E11" w:rsidRPr="00523BA6">
            <w:rPr>
              <w:rFonts w:cs="Tahoma"/>
              <w:b/>
              <w:color w:val="auto"/>
              <w:szCs w:val="24"/>
            </w:rPr>
            <w:t xml:space="preserve"> </w:t>
          </w:r>
          <w:r w:rsidR="00C10B03">
            <w:rPr>
              <w:rFonts w:cs="Tahoma"/>
              <w:b/>
              <w:color w:val="auto"/>
              <w:szCs w:val="24"/>
            </w:rPr>
            <w:t>(Corporate Secretary</w:t>
          </w:r>
          <w:r w:rsidR="008871B5" w:rsidRPr="00523BA6">
            <w:rPr>
              <w:rFonts w:cs="Tahoma"/>
              <w:b/>
              <w:color w:val="auto"/>
              <w:szCs w:val="24"/>
            </w:rPr>
            <w:t xml:space="preserve">) </w:t>
          </w:r>
        </w:p>
        <w:p w:rsidR="00EA2BDD" w:rsidRDefault="00EA2BDD" w:rsidP="00EA2BDD">
          <w:pPr>
            <w:rPr>
              <w:rFonts w:cs="Tahoma"/>
              <w:b/>
              <w:color w:val="auto"/>
              <w:szCs w:val="24"/>
            </w:rPr>
          </w:pPr>
          <w:r w:rsidRPr="00523BA6">
            <w:rPr>
              <w:rFonts w:cs="Tahoma"/>
              <w:b/>
              <w:color w:val="auto"/>
              <w:szCs w:val="24"/>
            </w:rPr>
            <w:t>For Respondent</w:t>
          </w:r>
          <w:r w:rsidR="00835364">
            <w:rPr>
              <w:rFonts w:cs="Tahoma"/>
              <w:b/>
              <w:color w:val="auto"/>
              <w:szCs w:val="24"/>
            </w:rPr>
            <w:tab/>
          </w:r>
          <w:r w:rsidRPr="00523BA6">
            <w:rPr>
              <w:rFonts w:cs="Tahoma"/>
              <w:b/>
              <w:color w:val="auto"/>
              <w:szCs w:val="24"/>
            </w:rPr>
            <w:t xml:space="preserve">: </w:t>
          </w:r>
          <w:r w:rsidR="00C10B03">
            <w:rPr>
              <w:rFonts w:cs="Tahoma"/>
              <w:b/>
              <w:color w:val="auto"/>
              <w:szCs w:val="24"/>
            </w:rPr>
            <w:t xml:space="preserve">Mr T. </w:t>
          </w:r>
          <w:proofErr w:type="spellStart"/>
          <w:r w:rsidR="00C10B03">
            <w:rPr>
              <w:rFonts w:cs="Tahoma"/>
              <w:b/>
              <w:color w:val="auto"/>
              <w:szCs w:val="24"/>
            </w:rPr>
            <w:t>Chekayi</w:t>
          </w:r>
          <w:proofErr w:type="spellEnd"/>
          <w:r w:rsidR="00C10B03">
            <w:rPr>
              <w:rFonts w:cs="Tahoma"/>
              <w:b/>
              <w:color w:val="auto"/>
              <w:szCs w:val="24"/>
            </w:rPr>
            <w:t xml:space="preserve"> </w:t>
          </w:r>
          <w:r w:rsidR="008871B5" w:rsidRPr="00523BA6">
            <w:rPr>
              <w:rFonts w:cs="Tahoma"/>
              <w:b/>
              <w:color w:val="auto"/>
              <w:szCs w:val="24"/>
            </w:rPr>
            <w:t xml:space="preserve">(Legal Practitioner) </w:t>
          </w:r>
          <w:r w:rsidRPr="00523BA6">
            <w:rPr>
              <w:rFonts w:cs="Tahoma"/>
              <w:b/>
              <w:color w:val="auto"/>
              <w:szCs w:val="24"/>
            </w:rPr>
            <w:t xml:space="preserve"> </w:t>
          </w:r>
        </w:p>
        <w:p w:rsidR="00835364" w:rsidRPr="00523BA6" w:rsidRDefault="00835364" w:rsidP="00EA2BDD">
          <w:pPr>
            <w:rPr>
              <w:rFonts w:cs="Tahoma"/>
              <w:b/>
              <w:color w:val="auto"/>
              <w:szCs w:val="24"/>
            </w:rPr>
          </w:pPr>
        </w:p>
        <w:p w:rsidR="008871B5" w:rsidRPr="00523BA6" w:rsidRDefault="00EA2BDD" w:rsidP="006C1FF4">
          <w:pPr>
            <w:rPr>
              <w:color w:val="auto"/>
            </w:rPr>
          </w:pPr>
          <w:r w:rsidRPr="00523BA6">
            <w:rPr>
              <w:rFonts w:cs="Tahoma"/>
              <w:b/>
              <w:color w:val="auto"/>
              <w:szCs w:val="24"/>
            </w:rPr>
            <w:t>CHIVIZHE</w:t>
          </w:r>
          <w:r w:rsidR="00C352A3" w:rsidRPr="00523BA6">
            <w:rPr>
              <w:rFonts w:cs="Tahoma"/>
              <w:b/>
              <w:color w:val="auto"/>
              <w:szCs w:val="24"/>
            </w:rPr>
            <w:t xml:space="preserve">, J; </w:t>
          </w:r>
        </w:p>
      </w:sdtContent>
    </w:sdt>
    <w:p w:rsidR="00835364" w:rsidRDefault="00835364" w:rsidP="006C1FF4">
      <w:pPr>
        <w:rPr>
          <w:color w:val="auto"/>
        </w:rPr>
      </w:pPr>
    </w:p>
    <w:p w:rsidR="00DC4654" w:rsidRDefault="003D14D2" w:rsidP="006C1FF4">
      <w:pPr>
        <w:rPr>
          <w:color w:val="auto"/>
        </w:rPr>
      </w:pPr>
      <w:r w:rsidRPr="00523BA6">
        <w:rPr>
          <w:color w:val="auto"/>
        </w:rPr>
        <w:tab/>
        <w:t>The</w:t>
      </w:r>
      <w:r w:rsidR="005C58EB" w:rsidRPr="00523BA6">
        <w:rPr>
          <w:color w:val="auto"/>
        </w:rPr>
        <w:t xml:space="preserve"> </w:t>
      </w:r>
      <w:r w:rsidR="00C10B03">
        <w:rPr>
          <w:color w:val="auto"/>
        </w:rPr>
        <w:t>matter was placed before me as an appeal against an arbitral award handed down on the 13</w:t>
      </w:r>
      <w:r w:rsidR="00C10B03" w:rsidRPr="00C10B03">
        <w:rPr>
          <w:color w:val="auto"/>
          <w:vertAlign w:val="superscript"/>
        </w:rPr>
        <w:t>th</w:t>
      </w:r>
      <w:r w:rsidR="00C10B03">
        <w:rPr>
          <w:color w:val="auto"/>
        </w:rPr>
        <w:t xml:space="preserve"> of October 2011. The Respondent was employed by the Appellant as the Sports Director. He was suspended from duty on 21</w:t>
      </w:r>
      <w:r w:rsidR="00C10B03" w:rsidRPr="00C10B03">
        <w:rPr>
          <w:color w:val="auto"/>
          <w:vertAlign w:val="superscript"/>
        </w:rPr>
        <w:t>st</w:t>
      </w:r>
      <w:r w:rsidR="00C10B03">
        <w:rPr>
          <w:color w:val="auto"/>
        </w:rPr>
        <w:t xml:space="preserve"> June 2011 on allegations of misconduct. It was Appellant allegations that in December 2010 he had gone to Botswana accompanied by other members of staff. On his return he produced to Africa University tax invoices with forged signatures and false dates stamp to give the impression he had paid U</w:t>
      </w:r>
      <w:r w:rsidR="00835364">
        <w:rPr>
          <w:color w:val="auto"/>
        </w:rPr>
        <w:t>B</w:t>
      </w:r>
      <w:r w:rsidR="00C10B03">
        <w:rPr>
          <w:color w:val="auto"/>
        </w:rPr>
        <w:t xml:space="preserve">SSRA P 11 340.00  for accommodation instead of P 5 460.00 which he had actually paid. Further that he had also produced to the employer fake tax invoices with forged signatures and date stamps to give the impression that he had </w:t>
      </w:r>
      <w:r w:rsidR="00E50B40">
        <w:rPr>
          <w:color w:val="auto"/>
        </w:rPr>
        <w:t xml:space="preserve">paid to SAUSSA </w:t>
      </w:r>
      <w:proofErr w:type="spellStart"/>
      <w:r w:rsidR="00E50B40">
        <w:rPr>
          <w:color w:val="auto"/>
        </w:rPr>
        <w:t>Triosme</w:t>
      </w:r>
      <w:proofErr w:type="spellEnd"/>
      <w:r w:rsidR="00E50B40">
        <w:rPr>
          <w:color w:val="auto"/>
        </w:rPr>
        <w:t xml:space="preserve"> P 2500.00 for SAUSSA membership </w:t>
      </w:r>
    </w:p>
    <w:p w:rsidR="00DC4654" w:rsidRDefault="00DC4654" w:rsidP="006C1FF4">
      <w:pPr>
        <w:rPr>
          <w:color w:val="auto"/>
        </w:rPr>
      </w:pPr>
    </w:p>
    <w:p w:rsidR="00E50B40" w:rsidRDefault="00E50B40" w:rsidP="006C1FF4">
      <w:pPr>
        <w:rPr>
          <w:color w:val="auto"/>
        </w:rPr>
      </w:pPr>
      <w:proofErr w:type="gramStart"/>
      <w:r>
        <w:rPr>
          <w:color w:val="auto"/>
        </w:rPr>
        <w:t>application</w:t>
      </w:r>
      <w:proofErr w:type="gramEnd"/>
      <w:r>
        <w:rPr>
          <w:color w:val="auto"/>
        </w:rPr>
        <w:t>. Finally it was Appellant allegation that he had produced a solicited fuel receipt number 34042 for 325 litres of diesel worth P 2 047.50 when in actual fact he had paid for a lesser amount.</w:t>
      </w:r>
    </w:p>
    <w:p w:rsidR="00B34B00" w:rsidRDefault="00E50B40" w:rsidP="00FC2C50">
      <w:pPr>
        <w:ind w:firstLine="720"/>
        <w:rPr>
          <w:color w:val="auto"/>
        </w:rPr>
      </w:pPr>
      <w:r>
        <w:rPr>
          <w:color w:val="auto"/>
        </w:rPr>
        <w:t xml:space="preserve">The Respondent </w:t>
      </w:r>
      <w:r w:rsidR="00BF7674">
        <w:rPr>
          <w:color w:val="auto"/>
        </w:rPr>
        <w:t>was on the 29</w:t>
      </w:r>
      <w:r w:rsidR="00BF7674" w:rsidRPr="00BF7674">
        <w:rPr>
          <w:color w:val="auto"/>
          <w:vertAlign w:val="superscript"/>
        </w:rPr>
        <w:t>th</w:t>
      </w:r>
      <w:r w:rsidR="00BF7674">
        <w:rPr>
          <w:color w:val="auto"/>
        </w:rPr>
        <w:t xml:space="preserve"> June 2011 served with notification of</w:t>
      </w:r>
      <w:r w:rsidR="00FC2C50">
        <w:rPr>
          <w:color w:val="auto"/>
        </w:rPr>
        <w:t xml:space="preserve"> a disciplinary</w:t>
      </w:r>
      <w:r w:rsidR="00BF7674">
        <w:rPr>
          <w:color w:val="auto"/>
        </w:rPr>
        <w:t xml:space="preserve"> hearing </w:t>
      </w:r>
      <w:r w:rsidR="00FC2C50">
        <w:rPr>
          <w:color w:val="auto"/>
        </w:rPr>
        <w:t>t</w:t>
      </w:r>
      <w:r w:rsidR="00BF7674">
        <w:rPr>
          <w:color w:val="auto"/>
        </w:rPr>
        <w:t xml:space="preserve">o be held on 5 </w:t>
      </w:r>
      <w:r w:rsidR="00835364">
        <w:rPr>
          <w:color w:val="auto"/>
        </w:rPr>
        <w:t>July</w:t>
      </w:r>
      <w:r w:rsidR="00BF7674">
        <w:rPr>
          <w:color w:val="auto"/>
        </w:rPr>
        <w:t xml:space="preserve"> 2011. The hearing commenced on the 5</w:t>
      </w:r>
      <w:r w:rsidR="00BF7674" w:rsidRPr="00BF7674">
        <w:rPr>
          <w:color w:val="auto"/>
          <w:vertAlign w:val="superscript"/>
        </w:rPr>
        <w:t>th</w:t>
      </w:r>
      <w:r w:rsidR="00BF7674">
        <w:rPr>
          <w:color w:val="auto"/>
        </w:rPr>
        <w:t xml:space="preserve"> July 2011 and was postponed to the 12</w:t>
      </w:r>
      <w:r w:rsidR="00BF7674" w:rsidRPr="00BF7674">
        <w:rPr>
          <w:color w:val="auto"/>
          <w:vertAlign w:val="superscript"/>
        </w:rPr>
        <w:t>th</w:t>
      </w:r>
      <w:r w:rsidR="00BF7674">
        <w:rPr>
          <w:color w:val="auto"/>
        </w:rPr>
        <w:t xml:space="preserve"> of July 2011. The hearing continued on the 12</w:t>
      </w:r>
      <w:r w:rsidR="00BF7674" w:rsidRPr="00BF7674">
        <w:rPr>
          <w:color w:val="auto"/>
          <w:vertAlign w:val="superscript"/>
        </w:rPr>
        <w:t>th</w:t>
      </w:r>
      <w:r w:rsidR="00BF7674">
        <w:rPr>
          <w:color w:val="auto"/>
        </w:rPr>
        <w:t xml:space="preserve"> and 13</w:t>
      </w:r>
      <w:r w:rsidR="00BF7674" w:rsidRPr="00BF7674">
        <w:rPr>
          <w:color w:val="auto"/>
          <w:vertAlign w:val="superscript"/>
        </w:rPr>
        <w:t>th</w:t>
      </w:r>
      <w:r w:rsidR="00BF7674">
        <w:rPr>
          <w:color w:val="auto"/>
        </w:rPr>
        <w:t xml:space="preserve"> of July 2011. The hearing was due to be finalised on the 14</w:t>
      </w:r>
      <w:r w:rsidR="00BF7674" w:rsidRPr="00BF7674">
        <w:rPr>
          <w:color w:val="auto"/>
          <w:vertAlign w:val="superscript"/>
        </w:rPr>
        <w:t>th</w:t>
      </w:r>
      <w:r w:rsidR="00BF7674">
        <w:rPr>
          <w:color w:val="auto"/>
        </w:rPr>
        <w:t xml:space="preserve"> of July but had to be postponed once again as Respondent was n</w:t>
      </w:r>
      <w:r w:rsidR="00FC2C50">
        <w:rPr>
          <w:color w:val="auto"/>
        </w:rPr>
        <w:t>ot available being at the time</w:t>
      </w:r>
      <w:r w:rsidR="00BF7674">
        <w:rPr>
          <w:color w:val="auto"/>
        </w:rPr>
        <w:t xml:space="preserve"> at the Police for the criminal case. On the 14</w:t>
      </w:r>
      <w:r w:rsidR="00BF7674" w:rsidRPr="00BF7674">
        <w:rPr>
          <w:color w:val="auto"/>
          <w:vertAlign w:val="superscript"/>
        </w:rPr>
        <w:t>th</w:t>
      </w:r>
      <w:r w:rsidR="00BF7674">
        <w:rPr>
          <w:color w:val="auto"/>
        </w:rPr>
        <w:t xml:space="preserve"> of Augu</w:t>
      </w:r>
      <w:r w:rsidR="00FC2C50">
        <w:rPr>
          <w:color w:val="auto"/>
        </w:rPr>
        <w:t>st Respondent lodged a compliance</w:t>
      </w:r>
      <w:r w:rsidR="00BF7674">
        <w:rPr>
          <w:color w:val="auto"/>
        </w:rPr>
        <w:t xml:space="preserve"> with the Ministry of Labour on the basis that no determination had been made by the Appellant. The Appellant then served Respondent with a determination letter on</w:t>
      </w:r>
      <w:r w:rsidR="00FC2C50">
        <w:rPr>
          <w:color w:val="auto"/>
        </w:rPr>
        <w:t xml:space="preserve"> the disciplinary case on</w:t>
      </w:r>
      <w:r w:rsidR="00BF7674">
        <w:rPr>
          <w:color w:val="auto"/>
        </w:rPr>
        <w:t xml:space="preserve"> the 11</w:t>
      </w:r>
      <w:r w:rsidR="00BF7674" w:rsidRPr="00BF7674">
        <w:rPr>
          <w:color w:val="auto"/>
          <w:vertAlign w:val="superscript"/>
        </w:rPr>
        <w:t>th</w:t>
      </w:r>
      <w:r w:rsidR="00BF7674">
        <w:rPr>
          <w:color w:val="auto"/>
        </w:rPr>
        <w:t xml:space="preserve"> of August. The parties having failed to conciliate</w:t>
      </w:r>
      <w:r w:rsidR="00FC2C50">
        <w:rPr>
          <w:color w:val="auto"/>
        </w:rPr>
        <w:t xml:space="preserve"> the matter</w:t>
      </w:r>
      <w:r w:rsidR="00BF7674">
        <w:rPr>
          <w:color w:val="auto"/>
        </w:rPr>
        <w:t xml:space="preserve"> was referred to arbitration.</w:t>
      </w:r>
      <w:r w:rsidR="00D04B43">
        <w:rPr>
          <w:color w:val="auto"/>
        </w:rPr>
        <w:t xml:space="preserve"> </w:t>
      </w:r>
    </w:p>
    <w:p w:rsidR="00131EFB" w:rsidRDefault="00FC2C50" w:rsidP="00FC2C50">
      <w:pPr>
        <w:ind w:firstLine="720"/>
        <w:rPr>
          <w:color w:val="auto"/>
        </w:rPr>
      </w:pPr>
      <w:r>
        <w:rPr>
          <w:color w:val="auto"/>
        </w:rPr>
        <w:t>The t</w:t>
      </w:r>
      <w:r w:rsidR="00D04B43">
        <w:rPr>
          <w:color w:val="auto"/>
        </w:rPr>
        <w:t>erms of reference for the Arbitrator were for the Arbitrator to determine whether or not disciplinary proceed</w:t>
      </w:r>
      <w:r>
        <w:rPr>
          <w:color w:val="auto"/>
        </w:rPr>
        <w:t>ings against the Respondent</w:t>
      </w:r>
      <w:r w:rsidR="00D04B43">
        <w:rPr>
          <w:color w:val="auto"/>
        </w:rPr>
        <w:t xml:space="preserve"> complied</w:t>
      </w:r>
      <w:r w:rsidR="00B34B00">
        <w:rPr>
          <w:color w:val="auto"/>
        </w:rPr>
        <w:t xml:space="preserve"> with the stipulated period at law. The Arbitrator in his award found that disciplinary proceedings were flawed when the employer after clearly electing to pursue disciplinary procedures </w:t>
      </w:r>
      <w:r w:rsidR="00DD2905">
        <w:rPr>
          <w:color w:val="auto"/>
        </w:rPr>
        <w:t>under</w:t>
      </w:r>
      <w:r w:rsidR="00B34B00">
        <w:rPr>
          <w:color w:val="auto"/>
        </w:rPr>
        <w:t xml:space="preserve"> Statutory Instrument 15 of 2006 then failed to comply with Section 6 (2) of that statue requiring disc</w:t>
      </w:r>
      <w:r>
        <w:rPr>
          <w:color w:val="auto"/>
        </w:rPr>
        <w:t>iplinary process to be completed</w:t>
      </w:r>
      <w:r w:rsidR="00B34B00">
        <w:rPr>
          <w:color w:val="auto"/>
        </w:rPr>
        <w:t xml:space="preserve"> with 14 days from the date of suspension. The Arbitrator then in relief directed that the disciplinary process being marke</w:t>
      </w:r>
      <w:r>
        <w:rPr>
          <w:color w:val="auto"/>
        </w:rPr>
        <w:t>d by procedural irregularities b</w:t>
      </w:r>
      <w:r w:rsidR="00B34B00">
        <w:rPr>
          <w:color w:val="auto"/>
        </w:rPr>
        <w:t xml:space="preserve">e set aside and the dismissal penalty also be set aside. The Arbitrator directed that </w:t>
      </w:r>
      <w:r>
        <w:rPr>
          <w:color w:val="auto"/>
        </w:rPr>
        <w:t xml:space="preserve">a </w:t>
      </w:r>
      <w:r w:rsidR="00B34B00">
        <w:rPr>
          <w:color w:val="auto"/>
        </w:rPr>
        <w:t xml:space="preserve">hearing </w:t>
      </w:r>
      <w:r w:rsidR="00B34B00">
        <w:rPr>
          <w:i/>
          <w:color w:val="auto"/>
        </w:rPr>
        <w:t xml:space="preserve">de novo </w:t>
      </w:r>
      <w:r w:rsidR="00B34B00" w:rsidRPr="00B34B00">
        <w:rPr>
          <w:color w:val="auto"/>
        </w:rPr>
        <w:t xml:space="preserve">was </w:t>
      </w:r>
      <w:r w:rsidR="00DD2905">
        <w:rPr>
          <w:color w:val="auto"/>
        </w:rPr>
        <w:t>to be h</w:t>
      </w:r>
      <w:r w:rsidR="00B34B00" w:rsidRPr="00B34B00">
        <w:rPr>
          <w:color w:val="auto"/>
        </w:rPr>
        <w:t>eld</w:t>
      </w:r>
      <w:r w:rsidR="00B34B00">
        <w:rPr>
          <w:color w:val="auto"/>
        </w:rPr>
        <w:t xml:space="preserve">. The Respondent was to be either reinstated without loss of salary/benefits. If however the parties were to agree to terminate mutually. It is common </w:t>
      </w:r>
      <w:proofErr w:type="gramStart"/>
      <w:r w:rsidR="00B34B00">
        <w:rPr>
          <w:color w:val="auto"/>
        </w:rPr>
        <w:t>cause</w:t>
      </w:r>
      <w:proofErr w:type="gramEnd"/>
      <w:r w:rsidR="00B34B00">
        <w:rPr>
          <w:color w:val="auto"/>
        </w:rPr>
        <w:t xml:space="preserve"> that Respondent </w:t>
      </w:r>
      <w:r>
        <w:rPr>
          <w:color w:val="auto"/>
        </w:rPr>
        <w:t xml:space="preserve">later </w:t>
      </w:r>
      <w:r w:rsidR="00B34B00">
        <w:rPr>
          <w:color w:val="auto"/>
        </w:rPr>
        <w:t>referred the matter for quantifi</w:t>
      </w:r>
      <w:r>
        <w:rPr>
          <w:color w:val="auto"/>
        </w:rPr>
        <w:t>cation of the</w:t>
      </w:r>
      <w:r w:rsidR="00131EFB">
        <w:rPr>
          <w:color w:val="auto"/>
        </w:rPr>
        <w:t xml:space="preserve"> award which award was </w:t>
      </w:r>
      <w:r>
        <w:rPr>
          <w:color w:val="auto"/>
        </w:rPr>
        <w:t xml:space="preserve">duly </w:t>
      </w:r>
      <w:r w:rsidR="00131EFB">
        <w:rPr>
          <w:color w:val="auto"/>
        </w:rPr>
        <w:t>granted.</w:t>
      </w:r>
    </w:p>
    <w:p w:rsidR="00DC4654" w:rsidRDefault="00DC4654" w:rsidP="00FC2C50">
      <w:pPr>
        <w:ind w:firstLine="720"/>
        <w:rPr>
          <w:color w:val="auto"/>
        </w:rPr>
      </w:pPr>
    </w:p>
    <w:p w:rsidR="00DC4654" w:rsidRDefault="00DC4654" w:rsidP="00FC2C50">
      <w:pPr>
        <w:ind w:firstLine="720"/>
        <w:rPr>
          <w:color w:val="auto"/>
        </w:rPr>
      </w:pPr>
    </w:p>
    <w:p w:rsidR="00DC4654" w:rsidRDefault="00DC4654" w:rsidP="00FC2C50">
      <w:pPr>
        <w:ind w:firstLine="720"/>
        <w:rPr>
          <w:color w:val="auto"/>
        </w:rPr>
      </w:pPr>
    </w:p>
    <w:p w:rsidR="00131EFB" w:rsidRDefault="00131EFB" w:rsidP="00FC2C50">
      <w:pPr>
        <w:ind w:firstLine="720"/>
        <w:rPr>
          <w:color w:val="auto"/>
        </w:rPr>
      </w:pPr>
      <w:r>
        <w:rPr>
          <w:color w:val="auto"/>
        </w:rPr>
        <w:t>The Appellant aggrieved not</w:t>
      </w:r>
      <w:r w:rsidR="00FC2C50">
        <w:rPr>
          <w:color w:val="auto"/>
        </w:rPr>
        <w:t xml:space="preserve">ed the present appeal. The grounds of appeal are rather lengthy and cumbersome. </w:t>
      </w:r>
      <w:r>
        <w:rPr>
          <w:color w:val="auto"/>
        </w:rPr>
        <w:t>The Appellant</w:t>
      </w:r>
      <w:r w:rsidR="00FC2C50">
        <w:rPr>
          <w:color w:val="auto"/>
        </w:rPr>
        <w:t xml:space="preserve"> also filed a</w:t>
      </w:r>
      <w:r>
        <w:rPr>
          <w:color w:val="auto"/>
        </w:rPr>
        <w:t>n application for amend</w:t>
      </w:r>
      <w:r w:rsidR="00DC3527">
        <w:rPr>
          <w:color w:val="auto"/>
        </w:rPr>
        <w:t>ment</w:t>
      </w:r>
      <w:r>
        <w:rPr>
          <w:color w:val="auto"/>
        </w:rPr>
        <w:t xml:space="preserve"> of the grounds of appeal to incorporate ground 6 which was to read as follows</w:t>
      </w:r>
      <w:r w:rsidR="00835364">
        <w:rPr>
          <w:color w:val="auto"/>
        </w:rPr>
        <w:t>;</w:t>
      </w:r>
      <w:r>
        <w:rPr>
          <w:color w:val="auto"/>
        </w:rPr>
        <w:t xml:space="preserve"> </w:t>
      </w:r>
    </w:p>
    <w:p w:rsidR="00835364" w:rsidRDefault="00835364" w:rsidP="00835364">
      <w:pPr>
        <w:spacing w:line="240" w:lineRule="auto"/>
        <w:ind w:firstLine="720"/>
        <w:rPr>
          <w:color w:val="auto"/>
          <w:sz w:val="22"/>
        </w:rPr>
      </w:pPr>
      <w:r>
        <w:rPr>
          <w:color w:val="auto"/>
          <w:sz w:val="22"/>
        </w:rPr>
        <w:t>“1.</w:t>
      </w:r>
      <w:r>
        <w:rPr>
          <w:color w:val="auto"/>
          <w:sz w:val="22"/>
        </w:rPr>
        <w:tab/>
      </w:r>
      <w:proofErr w:type="gramStart"/>
      <w:r>
        <w:rPr>
          <w:color w:val="auto"/>
          <w:sz w:val="22"/>
        </w:rPr>
        <w:t>By</w:t>
      </w:r>
      <w:proofErr w:type="gramEnd"/>
      <w:r>
        <w:rPr>
          <w:color w:val="auto"/>
          <w:sz w:val="22"/>
        </w:rPr>
        <w:t xml:space="preserve"> adding paragraph 6 to the grounds of appeal to read as follows:</w:t>
      </w:r>
    </w:p>
    <w:p w:rsidR="00835364" w:rsidRPr="00835364" w:rsidRDefault="00835364" w:rsidP="00835364">
      <w:pPr>
        <w:spacing w:line="240" w:lineRule="auto"/>
        <w:ind w:left="2160" w:hanging="720"/>
        <w:rPr>
          <w:color w:val="auto"/>
          <w:sz w:val="22"/>
        </w:rPr>
      </w:pPr>
      <w:r>
        <w:rPr>
          <w:color w:val="auto"/>
          <w:sz w:val="22"/>
        </w:rPr>
        <w:t>‘6.</w:t>
      </w:r>
      <w:r>
        <w:rPr>
          <w:color w:val="auto"/>
          <w:sz w:val="22"/>
        </w:rPr>
        <w:tab/>
        <w:t>The Arbitrator erred in law in applying SI15 of 2006 to the matter before him when the matter was not subject to that law but to the University Charter (SI 29 of 1992).”</w:t>
      </w:r>
    </w:p>
    <w:p w:rsidR="00D667C6" w:rsidRPr="00835364" w:rsidRDefault="00D667C6" w:rsidP="00A15C5F">
      <w:pPr>
        <w:ind w:firstLine="720"/>
        <w:rPr>
          <w:color w:val="auto"/>
        </w:rPr>
      </w:pPr>
      <w:r w:rsidRPr="00A15C5F">
        <w:rPr>
          <w:color w:val="auto"/>
        </w:rPr>
        <w:t xml:space="preserve">The application was opposed by the Respondent. On the date of hearing the Appellant </w:t>
      </w:r>
      <w:r w:rsidR="00FC2C50">
        <w:rPr>
          <w:color w:val="auto"/>
        </w:rPr>
        <w:t xml:space="preserve">through </w:t>
      </w:r>
      <w:r w:rsidR="00DD2905">
        <w:rPr>
          <w:color w:val="auto"/>
        </w:rPr>
        <w:t>i</w:t>
      </w:r>
      <w:r w:rsidR="00FC2C50">
        <w:rPr>
          <w:color w:val="auto"/>
        </w:rPr>
        <w:t>t</w:t>
      </w:r>
      <w:r w:rsidR="00DD2905">
        <w:rPr>
          <w:color w:val="auto"/>
        </w:rPr>
        <w:t>s</w:t>
      </w:r>
      <w:r w:rsidR="00FC2C50">
        <w:rPr>
          <w:color w:val="auto"/>
        </w:rPr>
        <w:t xml:space="preserve"> representative </w:t>
      </w:r>
      <w:r w:rsidRPr="00A15C5F">
        <w:rPr>
          <w:color w:val="auto"/>
        </w:rPr>
        <w:t>made an oral application to amend the grounds of appeal. The applicant submitted that it was entitled to seek the amendment as it was raising a question of law and a question of law may be raised at any stage of proceedings including on appeal. There</w:t>
      </w:r>
      <w:r w:rsidR="00A15C5F">
        <w:rPr>
          <w:color w:val="auto"/>
        </w:rPr>
        <w:t xml:space="preserve"> was nothing wrong in Appellant raising the point a</w:t>
      </w:r>
      <w:r w:rsidR="00FC2C50">
        <w:rPr>
          <w:color w:val="auto"/>
        </w:rPr>
        <w:t>t that stage. The Respondent had</w:t>
      </w:r>
      <w:r w:rsidR="00A15C5F">
        <w:rPr>
          <w:color w:val="auto"/>
        </w:rPr>
        <w:t xml:space="preserve"> also not alleged prejudice. The Appellant relied on </w:t>
      </w:r>
      <w:r w:rsidR="00A15C5F">
        <w:rPr>
          <w:b/>
          <w:color w:val="auto"/>
        </w:rPr>
        <w:t xml:space="preserve">Muchakata </w:t>
      </w:r>
      <w:r w:rsidR="00A15C5F" w:rsidRPr="00835364">
        <w:rPr>
          <w:color w:val="auto"/>
        </w:rPr>
        <w:t>vs</w:t>
      </w:r>
      <w:r w:rsidR="00A15C5F">
        <w:rPr>
          <w:b/>
          <w:color w:val="auto"/>
        </w:rPr>
        <w:t xml:space="preserve"> Netherbu</w:t>
      </w:r>
      <w:r w:rsidR="00DD2905">
        <w:rPr>
          <w:b/>
          <w:color w:val="auto"/>
        </w:rPr>
        <w:t>rn</w:t>
      </w:r>
      <w:r w:rsidR="00A15C5F">
        <w:rPr>
          <w:b/>
          <w:color w:val="auto"/>
        </w:rPr>
        <w:t xml:space="preserve"> Mine </w:t>
      </w:r>
      <w:r w:rsidR="00A15C5F" w:rsidRPr="00835364">
        <w:rPr>
          <w:color w:val="auto"/>
        </w:rPr>
        <w:t>1996 (1) ZLR 153</w:t>
      </w:r>
      <w:r w:rsidR="00CC2341" w:rsidRPr="00835364">
        <w:rPr>
          <w:color w:val="auto"/>
        </w:rPr>
        <w:t xml:space="preserve"> and 157 A.</w:t>
      </w:r>
    </w:p>
    <w:p w:rsidR="00CC2341" w:rsidRDefault="00CC2341" w:rsidP="00A15C5F">
      <w:pPr>
        <w:ind w:firstLine="720"/>
        <w:rPr>
          <w:color w:val="auto"/>
        </w:rPr>
      </w:pPr>
      <w:r>
        <w:rPr>
          <w:color w:val="auto"/>
        </w:rPr>
        <w:t>It is the position at law that a point of law can be raised at any stage of the proceedings including</w:t>
      </w:r>
      <w:r w:rsidR="00FC2C50">
        <w:rPr>
          <w:color w:val="auto"/>
        </w:rPr>
        <w:t xml:space="preserve"> for the first time an appeal. The general rule however i</w:t>
      </w:r>
      <w:r>
        <w:rPr>
          <w:color w:val="auto"/>
        </w:rPr>
        <w:t xml:space="preserve">s subject to a qualification that the introduction of the new point of law for the first time on appeal must not introduce </w:t>
      </w:r>
      <w:proofErr w:type="gramStart"/>
      <w:r>
        <w:rPr>
          <w:color w:val="auto"/>
        </w:rPr>
        <w:t>an unfair</w:t>
      </w:r>
      <w:r w:rsidR="00FC2C50">
        <w:rPr>
          <w:color w:val="auto"/>
        </w:rPr>
        <w:t>ness</w:t>
      </w:r>
      <w:proofErr w:type="gramEnd"/>
      <w:r>
        <w:rPr>
          <w:color w:val="auto"/>
        </w:rPr>
        <w:t xml:space="preserve"> to the other party. See </w:t>
      </w:r>
      <w:proofErr w:type="spellStart"/>
      <w:r w:rsidRPr="00CC2341">
        <w:rPr>
          <w:b/>
          <w:color w:val="auto"/>
        </w:rPr>
        <w:t>AusterKinds</w:t>
      </w:r>
      <w:proofErr w:type="spellEnd"/>
      <w:r w:rsidRPr="00CC2341">
        <w:rPr>
          <w:b/>
          <w:color w:val="auto"/>
        </w:rPr>
        <w:t xml:space="preserve"> (Private) Limited </w:t>
      </w:r>
      <w:r w:rsidRPr="00835364">
        <w:rPr>
          <w:color w:val="auto"/>
        </w:rPr>
        <w:t>vs</w:t>
      </w:r>
      <w:r w:rsidRPr="00CC2341">
        <w:rPr>
          <w:b/>
          <w:color w:val="auto"/>
        </w:rPr>
        <w:t xml:space="preserve"> Trade &amp; Investment Bank (Limited) &amp; </w:t>
      </w:r>
      <w:proofErr w:type="spellStart"/>
      <w:r w:rsidRPr="00CC2341">
        <w:rPr>
          <w:b/>
          <w:color w:val="auto"/>
        </w:rPr>
        <w:t>Ors</w:t>
      </w:r>
      <w:proofErr w:type="spellEnd"/>
      <w:r w:rsidRPr="00CC2341">
        <w:rPr>
          <w:b/>
          <w:color w:val="auto"/>
        </w:rPr>
        <w:t xml:space="preserve"> </w:t>
      </w:r>
      <w:r w:rsidRPr="00DD2905">
        <w:rPr>
          <w:color w:val="auto"/>
        </w:rPr>
        <w:t>SC 92/95.</w:t>
      </w:r>
      <w:r>
        <w:rPr>
          <w:b/>
          <w:color w:val="auto"/>
        </w:rPr>
        <w:t xml:space="preserve"> </w:t>
      </w:r>
      <w:r>
        <w:rPr>
          <w:color w:val="auto"/>
        </w:rPr>
        <w:t xml:space="preserve">In </w:t>
      </w:r>
      <w:r w:rsidRPr="00835364">
        <w:rPr>
          <w:b/>
          <w:color w:val="auto"/>
        </w:rPr>
        <w:t>Muchakata</w:t>
      </w:r>
      <w:r>
        <w:rPr>
          <w:color w:val="auto"/>
        </w:rPr>
        <w:t xml:space="preserve"> vs </w:t>
      </w:r>
      <w:r w:rsidRPr="00835364">
        <w:rPr>
          <w:b/>
          <w:color w:val="auto"/>
        </w:rPr>
        <w:t>Netherburn</w:t>
      </w:r>
      <w:r>
        <w:rPr>
          <w:color w:val="auto"/>
        </w:rPr>
        <w:t xml:space="preserve"> </w:t>
      </w:r>
      <w:r w:rsidR="00DD2905" w:rsidRPr="00DD2905">
        <w:rPr>
          <w:b/>
          <w:color w:val="auto"/>
        </w:rPr>
        <w:t>Mine</w:t>
      </w:r>
      <w:r w:rsidR="00DD2905">
        <w:rPr>
          <w:color w:val="auto"/>
        </w:rPr>
        <w:t xml:space="preserve"> </w:t>
      </w:r>
      <w:r>
        <w:rPr>
          <w:color w:val="auto"/>
        </w:rPr>
        <w:t xml:space="preserve">referred to by Appellant the Supreme Court </w:t>
      </w:r>
      <w:r w:rsidR="00DD2905">
        <w:rPr>
          <w:color w:val="auto"/>
        </w:rPr>
        <w:t xml:space="preserve">also </w:t>
      </w:r>
      <w:r>
        <w:rPr>
          <w:color w:val="auto"/>
        </w:rPr>
        <w:t>stated that the introduction of a new point</w:t>
      </w:r>
      <w:r w:rsidR="00FC2C50">
        <w:rPr>
          <w:color w:val="auto"/>
        </w:rPr>
        <w:t xml:space="preserve"> of law should not be prejudicial</w:t>
      </w:r>
      <w:r>
        <w:rPr>
          <w:color w:val="auto"/>
        </w:rPr>
        <w:t xml:space="preserve"> to other party</w:t>
      </w:r>
      <w:r w:rsidR="00FC2C50">
        <w:rPr>
          <w:color w:val="auto"/>
        </w:rPr>
        <w:t>.</w:t>
      </w:r>
    </w:p>
    <w:p w:rsidR="00DC4654" w:rsidRDefault="009A1425" w:rsidP="00A15C5F">
      <w:pPr>
        <w:ind w:firstLine="720"/>
        <w:rPr>
          <w:color w:val="auto"/>
        </w:rPr>
      </w:pPr>
      <w:r>
        <w:rPr>
          <w:color w:val="auto"/>
        </w:rPr>
        <w:t>Applying the principles</w:t>
      </w:r>
      <w:r w:rsidR="00FC2C50">
        <w:rPr>
          <w:color w:val="auto"/>
        </w:rPr>
        <w:t xml:space="preserve"> outlined above to the present matter it wa</w:t>
      </w:r>
      <w:r>
        <w:rPr>
          <w:color w:val="auto"/>
        </w:rPr>
        <w:t xml:space="preserve">s very clear to the court that indeed the Respondent </w:t>
      </w:r>
      <w:r w:rsidR="00FE4F49">
        <w:rPr>
          <w:color w:val="auto"/>
        </w:rPr>
        <w:t>would be prejudiced by the introd</w:t>
      </w:r>
      <w:r w:rsidR="00FC2C50">
        <w:rPr>
          <w:color w:val="auto"/>
        </w:rPr>
        <w:t>uction of the additional ground</w:t>
      </w:r>
      <w:r w:rsidR="00FE4F49">
        <w:rPr>
          <w:color w:val="auto"/>
        </w:rPr>
        <w:t xml:space="preserve"> of appeal number 6</w:t>
      </w:r>
      <w:r w:rsidR="00986371">
        <w:rPr>
          <w:color w:val="auto"/>
        </w:rPr>
        <w:t xml:space="preserve">. It </w:t>
      </w:r>
      <w:r w:rsidR="00DD2905">
        <w:rPr>
          <w:color w:val="auto"/>
        </w:rPr>
        <w:t>wa</w:t>
      </w:r>
      <w:r w:rsidR="00986371">
        <w:rPr>
          <w:color w:val="auto"/>
        </w:rPr>
        <w:t xml:space="preserve">s clear from a perusal of the record that Appellant in initiating the disciplinary process invoked </w:t>
      </w:r>
      <w:r w:rsidR="00986371" w:rsidRPr="00364C58">
        <w:rPr>
          <w:b/>
          <w:color w:val="auto"/>
        </w:rPr>
        <w:t>Statutory Instrument 15 of 2006</w:t>
      </w:r>
      <w:r w:rsidR="00986371">
        <w:rPr>
          <w:color w:val="auto"/>
        </w:rPr>
        <w:t>. The Appell</w:t>
      </w:r>
      <w:r w:rsidR="00FC2C50">
        <w:rPr>
          <w:color w:val="auto"/>
        </w:rPr>
        <w:t>ant however through the proposed ground of appeal was seeking to</w:t>
      </w:r>
      <w:r w:rsidR="00986371">
        <w:rPr>
          <w:color w:val="auto"/>
        </w:rPr>
        <w:t xml:space="preserve"> introduce the </w:t>
      </w:r>
      <w:r w:rsidR="00986371" w:rsidRPr="00364C58">
        <w:rPr>
          <w:b/>
          <w:color w:val="auto"/>
        </w:rPr>
        <w:t>University Charter Statutory Instrument 29 of 1992</w:t>
      </w:r>
      <w:r w:rsidR="00986371">
        <w:rPr>
          <w:color w:val="auto"/>
        </w:rPr>
        <w:t xml:space="preserve">. </w:t>
      </w:r>
    </w:p>
    <w:p w:rsidR="00DC4654" w:rsidRDefault="00DC4654" w:rsidP="00DC4654">
      <w:pPr>
        <w:rPr>
          <w:color w:val="auto"/>
        </w:rPr>
      </w:pPr>
    </w:p>
    <w:p w:rsidR="009A1425" w:rsidRDefault="00986371" w:rsidP="00DC4654">
      <w:pPr>
        <w:rPr>
          <w:color w:val="auto"/>
        </w:rPr>
      </w:pPr>
      <w:r>
        <w:rPr>
          <w:color w:val="auto"/>
        </w:rPr>
        <w:t xml:space="preserve">It is common </w:t>
      </w:r>
      <w:proofErr w:type="gramStart"/>
      <w:r>
        <w:rPr>
          <w:color w:val="auto"/>
        </w:rPr>
        <w:t>cause</w:t>
      </w:r>
      <w:proofErr w:type="gramEnd"/>
      <w:r>
        <w:rPr>
          <w:color w:val="auto"/>
        </w:rPr>
        <w:t xml:space="preserve"> this issue was not before the Arbitrator. The Respondent was clearly going to be prejudiced by the introduction of the grounds of appeal as it would essentially mean</w:t>
      </w:r>
      <w:r w:rsidR="006F1A31">
        <w:rPr>
          <w:color w:val="auto"/>
        </w:rPr>
        <w:t xml:space="preserve"> the</w:t>
      </w:r>
      <w:r>
        <w:rPr>
          <w:color w:val="auto"/>
        </w:rPr>
        <w:t xml:space="preserve"> parties arguing the matter afresh on a different law. This was the reason why on the date of hearing I dismissed the application to amend the grounds of appeal.</w:t>
      </w:r>
    </w:p>
    <w:p w:rsidR="00986371" w:rsidRDefault="00986371" w:rsidP="00A15C5F">
      <w:pPr>
        <w:ind w:firstLine="720"/>
        <w:rPr>
          <w:color w:val="auto"/>
        </w:rPr>
      </w:pPr>
      <w:r>
        <w:rPr>
          <w:color w:val="auto"/>
        </w:rPr>
        <w:t>I</w:t>
      </w:r>
      <w:r w:rsidR="006F1A31">
        <w:rPr>
          <w:color w:val="auto"/>
        </w:rPr>
        <w:t>n</w:t>
      </w:r>
      <w:r>
        <w:rPr>
          <w:color w:val="auto"/>
        </w:rPr>
        <w:t xml:space="preserve"> regards the rest </w:t>
      </w:r>
      <w:r w:rsidR="006F1A31">
        <w:rPr>
          <w:color w:val="auto"/>
        </w:rPr>
        <w:t>of the grounds the Appellant</w:t>
      </w:r>
      <w:r>
        <w:rPr>
          <w:color w:val="auto"/>
        </w:rPr>
        <w:t xml:space="preserve"> raised three main points;</w:t>
      </w:r>
    </w:p>
    <w:p w:rsidR="00752FD6" w:rsidRDefault="00986371" w:rsidP="00A15C5F">
      <w:pPr>
        <w:ind w:firstLine="720"/>
        <w:rPr>
          <w:b/>
          <w:color w:val="auto"/>
        </w:rPr>
      </w:pPr>
      <w:r>
        <w:rPr>
          <w:color w:val="auto"/>
        </w:rPr>
        <w:t>Firstly that the Arbitrator erred in the conclusion reached that the disciplinary case was not finalised within 30 day</w:t>
      </w:r>
      <w:r w:rsidR="00DE1587">
        <w:rPr>
          <w:color w:val="auto"/>
        </w:rPr>
        <w:t>s. The Arbitrator had</w:t>
      </w:r>
      <w:r>
        <w:rPr>
          <w:color w:val="auto"/>
        </w:rPr>
        <w:t xml:space="preserve"> further erred when he failed after establis</w:t>
      </w:r>
      <w:r w:rsidR="00DE1587">
        <w:rPr>
          <w:color w:val="auto"/>
        </w:rPr>
        <w:t>hing the procedural irregularities to proceed to determine matter on the merits</w:t>
      </w:r>
      <w:r>
        <w:rPr>
          <w:color w:val="auto"/>
        </w:rPr>
        <w:t xml:space="preserve">. Secondly the Arbitrator had </w:t>
      </w:r>
      <w:r w:rsidR="00CA0FC3">
        <w:rPr>
          <w:color w:val="auto"/>
        </w:rPr>
        <w:t xml:space="preserve">acted </w:t>
      </w:r>
      <w:r>
        <w:rPr>
          <w:color w:val="auto"/>
        </w:rPr>
        <w:t>outside</w:t>
      </w:r>
      <w:r w:rsidR="00CA0FC3">
        <w:rPr>
          <w:color w:val="auto"/>
        </w:rPr>
        <w:t xml:space="preserve"> his mandate when he concluded</w:t>
      </w:r>
      <w:r>
        <w:rPr>
          <w:color w:val="auto"/>
        </w:rPr>
        <w:t xml:space="preserve"> that the disciplinary process had fallen outside</w:t>
      </w:r>
      <w:r w:rsidR="00CA0FC3">
        <w:rPr>
          <w:color w:val="auto"/>
        </w:rPr>
        <w:t xml:space="preserve"> the provisions of</w:t>
      </w:r>
      <w:r>
        <w:rPr>
          <w:color w:val="auto"/>
        </w:rPr>
        <w:t xml:space="preserve"> </w:t>
      </w:r>
      <w:r w:rsidRPr="00CA0FC3">
        <w:rPr>
          <w:b/>
          <w:color w:val="auto"/>
        </w:rPr>
        <w:t>Statutory Instrument 15 of 2006</w:t>
      </w:r>
      <w:r>
        <w:rPr>
          <w:color w:val="auto"/>
        </w:rPr>
        <w:t xml:space="preserve"> when the Respondent claim had been the disciplinary process fell outside 30 days in terms of </w:t>
      </w:r>
      <w:r w:rsidR="00364C58">
        <w:rPr>
          <w:b/>
          <w:color w:val="auto"/>
        </w:rPr>
        <w:t>S</w:t>
      </w:r>
      <w:r w:rsidRPr="00364C58">
        <w:rPr>
          <w:b/>
          <w:color w:val="auto"/>
        </w:rPr>
        <w:t>ection 101 (6) of the Labour Act [</w:t>
      </w:r>
      <w:r w:rsidRPr="00835364">
        <w:rPr>
          <w:b/>
          <w:i/>
          <w:color w:val="auto"/>
        </w:rPr>
        <w:t>Cap 28:01</w:t>
      </w:r>
      <w:r w:rsidRPr="00364C58">
        <w:rPr>
          <w:b/>
          <w:color w:val="auto"/>
        </w:rPr>
        <w:t>]</w:t>
      </w:r>
      <w:r w:rsidR="00364C58">
        <w:rPr>
          <w:b/>
          <w:color w:val="auto"/>
        </w:rPr>
        <w:t>.</w:t>
      </w:r>
      <w:r w:rsidRPr="00364C58">
        <w:rPr>
          <w:b/>
          <w:color w:val="auto"/>
        </w:rPr>
        <w:t xml:space="preserve"> </w:t>
      </w:r>
      <w:r w:rsidR="00364C58">
        <w:rPr>
          <w:color w:val="auto"/>
        </w:rPr>
        <w:t xml:space="preserve">In other words the Arbitrator was required to interpret the provision in </w:t>
      </w:r>
      <w:r w:rsidR="00364C58">
        <w:rPr>
          <w:b/>
          <w:color w:val="auto"/>
        </w:rPr>
        <w:t>Section 101 (6)</w:t>
      </w:r>
      <w:r w:rsidR="00364C58">
        <w:rPr>
          <w:color w:val="auto"/>
        </w:rPr>
        <w:t xml:space="preserve"> of the</w:t>
      </w:r>
      <w:r w:rsidR="00364C58">
        <w:rPr>
          <w:b/>
          <w:color w:val="auto"/>
        </w:rPr>
        <w:t xml:space="preserve"> Labour Act [</w:t>
      </w:r>
      <w:r w:rsidR="00364C58" w:rsidRPr="00835364">
        <w:rPr>
          <w:b/>
          <w:i/>
          <w:color w:val="auto"/>
        </w:rPr>
        <w:t>Cap 28:01</w:t>
      </w:r>
      <w:r w:rsidR="00364C58">
        <w:rPr>
          <w:b/>
          <w:color w:val="auto"/>
        </w:rPr>
        <w:t xml:space="preserve">] </w:t>
      </w:r>
      <w:r w:rsidR="00364C58">
        <w:rPr>
          <w:color w:val="auto"/>
        </w:rPr>
        <w:t xml:space="preserve">instead of </w:t>
      </w:r>
      <w:r w:rsidR="00364C58" w:rsidRPr="00364C58">
        <w:rPr>
          <w:b/>
          <w:color w:val="auto"/>
        </w:rPr>
        <w:t>Statutory Instrument 15 of 2006</w:t>
      </w:r>
      <w:r w:rsidR="00364C58">
        <w:rPr>
          <w:b/>
          <w:color w:val="auto"/>
        </w:rPr>
        <w:t>.</w:t>
      </w:r>
    </w:p>
    <w:p w:rsidR="00986371" w:rsidRDefault="00DC3527" w:rsidP="00A15C5F">
      <w:pPr>
        <w:ind w:firstLine="720"/>
        <w:rPr>
          <w:b/>
          <w:color w:val="auto"/>
        </w:rPr>
      </w:pPr>
      <w:proofErr w:type="gramStart"/>
      <w:r>
        <w:rPr>
          <w:color w:val="auto"/>
        </w:rPr>
        <w:t>To address the first point.</w:t>
      </w:r>
      <w:proofErr w:type="gramEnd"/>
      <w:r w:rsidR="00752FD6">
        <w:rPr>
          <w:color w:val="auto"/>
        </w:rPr>
        <w:t xml:space="preserve"> </w:t>
      </w:r>
      <w:r>
        <w:rPr>
          <w:color w:val="auto"/>
        </w:rPr>
        <w:t>The</w:t>
      </w:r>
      <w:r w:rsidR="00752FD6">
        <w:rPr>
          <w:color w:val="auto"/>
        </w:rPr>
        <w:t xml:space="preserve"> record</w:t>
      </w:r>
      <w:r w:rsidR="00065581">
        <w:rPr>
          <w:color w:val="auto"/>
        </w:rPr>
        <w:t xml:space="preserve"> </w:t>
      </w:r>
      <w:r w:rsidR="00752FD6">
        <w:rPr>
          <w:color w:val="auto"/>
        </w:rPr>
        <w:t>shows that the matter that was referred to the A</w:t>
      </w:r>
      <w:r w:rsidR="00065581">
        <w:rPr>
          <w:color w:val="auto"/>
        </w:rPr>
        <w:t>rbitrator was whether or not the</w:t>
      </w:r>
      <w:r w:rsidR="00752FD6">
        <w:rPr>
          <w:color w:val="auto"/>
        </w:rPr>
        <w:t xml:space="preserve"> disciplinary proceedings by the </w:t>
      </w:r>
      <w:r w:rsidR="00DD2905">
        <w:rPr>
          <w:color w:val="auto"/>
        </w:rPr>
        <w:t xml:space="preserve">applicant </w:t>
      </w:r>
      <w:r w:rsidR="00752FD6">
        <w:rPr>
          <w:color w:val="auto"/>
        </w:rPr>
        <w:t xml:space="preserve">against the </w:t>
      </w:r>
      <w:r w:rsidR="00DD2905">
        <w:rPr>
          <w:color w:val="auto"/>
        </w:rPr>
        <w:t xml:space="preserve">Respondent </w:t>
      </w:r>
      <w:r w:rsidR="00752FD6">
        <w:rPr>
          <w:color w:val="auto"/>
        </w:rPr>
        <w:t xml:space="preserve">were completed within time period prescribed by the law. It is common cause that the disciplinary proceedings were conducted under the provisions of </w:t>
      </w:r>
      <w:r w:rsidR="00752FD6" w:rsidRPr="00752FD6">
        <w:rPr>
          <w:b/>
          <w:color w:val="auto"/>
        </w:rPr>
        <w:t>Statutory Instrument 15 of 2006</w:t>
      </w:r>
      <w:r w:rsidR="00752FD6">
        <w:rPr>
          <w:b/>
          <w:color w:val="auto"/>
        </w:rPr>
        <w:t xml:space="preserve"> </w:t>
      </w:r>
      <w:r w:rsidR="00752FD6">
        <w:rPr>
          <w:color w:val="auto"/>
        </w:rPr>
        <w:t xml:space="preserve">(the Model Code). The Appellant in these proceedings through its heads attempted to introduce a new factor by stating the proceedings were subject to the </w:t>
      </w:r>
      <w:r w:rsidR="00752FD6">
        <w:rPr>
          <w:b/>
          <w:color w:val="auto"/>
        </w:rPr>
        <w:t>University Charter (Statutory Instrument 29 of 1992)</w:t>
      </w:r>
      <w:r w:rsidR="00752FD6">
        <w:rPr>
          <w:color w:val="auto"/>
        </w:rPr>
        <w:t>.</w:t>
      </w:r>
      <w:r w:rsidR="00364C58">
        <w:rPr>
          <w:b/>
          <w:color w:val="auto"/>
        </w:rPr>
        <w:t xml:space="preserve"> </w:t>
      </w:r>
      <w:r w:rsidR="00986371">
        <w:rPr>
          <w:color w:val="auto"/>
        </w:rPr>
        <w:t xml:space="preserve"> </w:t>
      </w:r>
      <w:r w:rsidR="00065581">
        <w:rPr>
          <w:color w:val="auto"/>
        </w:rPr>
        <w:t>As discussed above t</w:t>
      </w:r>
      <w:r w:rsidR="00752FD6">
        <w:rPr>
          <w:color w:val="auto"/>
        </w:rPr>
        <w:t xml:space="preserve">hat issue was not placed before the </w:t>
      </w:r>
      <w:r w:rsidR="00000C75">
        <w:rPr>
          <w:color w:val="auto"/>
        </w:rPr>
        <w:t>Arbitrator</w:t>
      </w:r>
      <w:r>
        <w:rPr>
          <w:color w:val="auto"/>
        </w:rPr>
        <w:t>.</w:t>
      </w:r>
      <w:r w:rsidR="00000C75">
        <w:rPr>
          <w:color w:val="auto"/>
        </w:rPr>
        <w:t xml:space="preserve"> </w:t>
      </w:r>
      <w:r>
        <w:rPr>
          <w:color w:val="auto"/>
        </w:rPr>
        <w:t>The</w:t>
      </w:r>
      <w:r w:rsidR="00000C75">
        <w:rPr>
          <w:color w:val="auto"/>
        </w:rPr>
        <w:t xml:space="preserve"> award </w:t>
      </w:r>
      <w:r>
        <w:rPr>
          <w:color w:val="auto"/>
        </w:rPr>
        <w:t xml:space="preserve">in any event clearly </w:t>
      </w:r>
      <w:r w:rsidR="00000C75">
        <w:rPr>
          <w:color w:val="auto"/>
        </w:rPr>
        <w:t>shows on the 3</w:t>
      </w:r>
      <w:r w:rsidR="00000C75" w:rsidRPr="00000C75">
        <w:rPr>
          <w:color w:val="auto"/>
          <w:vertAlign w:val="superscript"/>
        </w:rPr>
        <w:t>rd</w:t>
      </w:r>
      <w:r w:rsidR="00000C75">
        <w:rPr>
          <w:color w:val="auto"/>
        </w:rPr>
        <w:t xml:space="preserve"> page the Respondent</w:t>
      </w:r>
      <w:r w:rsidR="00065581">
        <w:rPr>
          <w:color w:val="auto"/>
        </w:rPr>
        <w:t xml:space="preserve"> had</w:t>
      </w:r>
      <w:r w:rsidR="00000C75">
        <w:rPr>
          <w:color w:val="auto"/>
        </w:rPr>
        <w:t xml:space="preserve"> submitted </w:t>
      </w:r>
      <w:r>
        <w:rPr>
          <w:color w:val="auto"/>
        </w:rPr>
        <w:t xml:space="preserve">that </w:t>
      </w:r>
      <w:r w:rsidR="00000C75">
        <w:rPr>
          <w:color w:val="auto"/>
        </w:rPr>
        <w:t xml:space="preserve">the proceedings were conducted in terms of </w:t>
      </w:r>
      <w:r w:rsidR="00000C75" w:rsidRPr="00000C75">
        <w:rPr>
          <w:b/>
          <w:color w:val="auto"/>
        </w:rPr>
        <w:t>Statutory Instrument 15 of 2006.</w:t>
      </w:r>
    </w:p>
    <w:p w:rsidR="00DC4654" w:rsidRDefault="00DC4654" w:rsidP="00A15C5F">
      <w:pPr>
        <w:ind w:firstLine="720"/>
        <w:rPr>
          <w:color w:val="auto"/>
        </w:rPr>
      </w:pPr>
    </w:p>
    <w:p w:rsidR="00DC4654" w:rsidRDefault="00DC4654" w:rsidP="00A15C5F">
      <w:pPr>
        <w:ind w:firstLine="720"/>
        <w:rPr>
          <w:color w:val="auto"/>
        </w:rPr>
      </w:pPr>
    </w:p>
    <w:p w:rsidR="00000C75" w:rsidRDefault="00000C75" w:rsidP="00A15C5F">
      <w:pPr>
        <w:ind w:firstLine="720"/>
        <w:rPr>
          <w:color w:val="auto"/>
        </w:rPr>
      </w:pPr>
      <w:r>
        <w:rPr>
          <w:color w:val="auto"/>
        </w:rPr>
        <w:t xml:space="preserve">In regards the issue as to whether the proceedings fell outside the time limit. </w:t>
      </w:r>
      <w:r w:rsidRPr="00000C75">
        <w:rPr>
          <w:b/>
          <w:color w:val="auto"/>
        </w:rPr>
        <w:t>Statutory Instrument 15 of 2006</w:t>
      </w:r>
      <w:r>
        <w:rPr>
          <w:b/>
          <w:color w:val="auto"/>
        </w:rPr>
        <w:t xml:space="preserve"> </w:t>
      </w:r>
      <w:r>
        <w:rPr>
          <w:color w:val="auto"/>
        </w:rPr>
        <w:t xml:space="preserve">provides in </w:t>
      </w:r>
      <w:r>
        <w:rPr>
          <w:b/>
          <w:color w:val="auto"/>
        </w:rPr>
        <w:t>Section 6</w:t>
      </w:r>
      <w:r w:rsidR="00DC3527">
        <w:rPr>
          <w:b/>
          <w:color w:val="auto"/>
        </w:rPr>
        <w:t>(2</w:t>
      </w:r>
      <w:proofErr w:type="gramStart"/>
      <w:r w:rsidR="00DC3527">
        <w:rPr>
          <w:b/>
          <w:color w:val="auto"/>
        </w:rPr>
        <w:t xml:space="preserve">) </w:t>
      </w:r>
      <w:r>
        <w:rPr>
          <w:b/>
          <w:color w:val="auto"/>
        </w:rPr>
        <w:t xml:space="preserve"> </w:t>
      </w:r>
      <w:r>
        <w:rPr>
          <w:color w:val="auto"/>
        </w:rPr>
        <w:t>for</w:t>
      </w:r>
      <w:proofErr w:type="gramEnd"/>
      <w:r>
        <w:rPr>
          <w:color w:val="auto"/>
        </w:rPr>
        <w:t xml:space="preserve"> </w:t>
      </w:r>
      <w:r w:rsidR="00DC3527">
        <w:rPr>
          <w:color w:val="auto"/>
        </w:rPr>
        <w:t>a</w:t>
      </w:r>
      <w:r>
        <w:rPr>
          <w:color w:val="auto"/>
        </w:rPr>
        <w:t xml:space="preserve"> 14 day period to complete the entire disciplinary process. </w:t>
      </w:r>
      <w:r w:rsidRPr="00000C75">
        <w:rPr>
          <w:b/>
          <w:color w:val="auto"/>
        </w:rPr>
        <w:t>Section 6</w:t>
      </w:r>
      <w:r>
        <w:rPr>
          <w:b/>
          <w:color w:val="auto"/>
        </w:rPr>
        <w:t xml:space="preserve"> </w:t>
      </w:r>
      <w:r w:rsidR="00DC3527">
        <w:rPr>
          <w:b/>
          <w:color w:val="auto"/>
        </w:rPr>
        <w:t>(</w:t>
      </w:r>
      <w:r w:rsidR="00DC4654">
        <w:rPr>
          <w:b/>
          <w:color w:val="auto"/>
        </w:rPr>
        <w:t>2</w:t>
      </w:r>
      <w:r w:rsidR="00DC3527">
        <w:rPr>
          <w:b/>
          <w:color w:val="auto"/>
        </w:rPr>
        <w:t xml:space="preserve">) </w:t>
      </w:r>
      <w:r>
        <w:rPr>
          <w:color w:val="auto"/>
        </w:rPr>
        <w:t>reads as follows;</w:t>
      </w:r>
    </w:p>
    <w:p w:rsidR="00000C75" w:rsidRDefault="00DC4654" w:rsidP="00DC4654">
      <w:pPr>
        <w:spacing w:line="240" w:lineRule="auto"/>
        <w:ind w:left="1440" w:hanging="720"/>
        <w:rPr>
          <w:color w:val="auto"/>
          <w:sz w:val="22"/>
        </w:rPr>
      </w:pPr>
      <w:r w:rsidRPr="00DC4654">
        <w:rPr>
          <w:color w:val="auto"/>
          <w:sz w:val="22"/>
        </w:rPr>
        <w:t xml:space="preserve">“6.2. </w:t>
      </w:r>
      <w:r w:rsidRPr="00DC4654">
        <w:rPr>
          <w:color w:val="auto"/>
          <w:sz w:val="22"/>
        </w:rPr>
        <w:tab/>
        <w:t xml:space="preserve">Upon serving the employee with the suspension letter in terms of subsection (1), the employer shall, within 14 working days investigate the matter and conduct a hearing into the alleged misconduct of the employee and, may, according to the circumstances of the case </w:t>
      </w:r>
      <w:r>
        <w:rPr>
          <w:color w:val="auto"/>
          <w:sz w:val="22"/>
        </w:rPr>
        <w:t>–</w:t>
      </w:r>
      <w:r w:rsidRPr="00DC4654">
        <w:rPr>
          <w:color w:val="auto"/>
          <w:sz w:val="22"/>
        </w:rPr>
        <w:t xml:space="preserve"> </w:t>
      </w:r>
    </w:p>
    <w:p w:rsidR="00DC4654" w:rsidRDefault="00DC4654" w:rsidP="00DC4654">
      <w:pPr>
        <w:pStyle w:val="ListParagraph"/>
        <w:numPr>
          <w:ilvl w:val="0"/>
          <w:numId w:val="8"/>
        </w:numPr>
        <w:spacing w:line="240" w:lineRule="auto"/>
        <w:rPr>
          <w:color w:val="auto"/>
          <w:sz w:val="22"/>
        </w:rPr>
      </w:pPr>
      <w:r>
        <w:rPr>
          <w:color w:val="auto"/>
          <w:sz w:val="22"/>
        </w:rPr>
        <w:t>serve a notice, in writing on the employee concerned terminating his or her contract or employment, if the grounds for his or her suspension are proved to his or her satisfaction; or</w:t>
      </w:r>
    </w:p>
    <w:p w:rsidR="00DC4654" w:rsidRPr="00DC4654" w:rsidRDefault="00DC4654" w:rsidP="00DC4654">
      <w:pPr>
        <w:pStyle w:val="ListParagraph"/>
        <w:numPr>
          <w:ilvl w:val="0"/>
          <w:numId w:val="8"/>
        </w:numPr>
        <w:spacing w:line="240" w:lineRule="auto"/>
        <w:rPr>
          <w:color w:val="auto"/>
          <w:sz w:val="22"/>
        </w:rPr>
      </w:pPr>
      <w:proofErr w:type="gramStart"/>
      <w:r>
        <w:rPr>
          <w:color w:val="auto"/>
          <w:sz w:val="22"/>
        </w:rPr>
        <w:t>serve</w:t>
      </w:r>
      <w:proofErr w:type="gramEnd"/>
      <w:r>
        <w:rPr>
          <w:color w:val="auto"/>
          <w:sz w:val="22"/>
        </w:rPr>
        <w:t xml:space="preserve"> a notice, in writing on the employee concerned removing the suspension and reinstating such employee if the grounds for suspension are not proved.”</w:t>
      </w:r>
    </w:p>
    <w:p w:rsidR="003316FB" w:rsidRDefault="00000C75" w:rsidP="00A15C5F">
      <w:pPr>
        <w:ind w:firstLine="720"/>
        <w:rPr>
          <w:color w:val="auto"/>
        </w:rPr>
      </w:pPr>
      <w:r>
        <w:rPr>
          <w:color w:val="auto"/>
        </w:rPr>
        <w:t xml:space="preserve">The submission was made </w:t>
      </w:r>
      <w:r w:rsidR="00DC3527">
        <w:rPr>
          <w:color w:val="auto"/>
        </w:rPr>
        <w:t xml:space="preserve">by the appellant </w:t>
      </w:r>
      <w:r>
        <w:rPr>
          <w:color w:val="auto"/>
        </w:rPr>
        <w:t xml:space="preserve">before the Arbitrator that the provision had to be read in conjunction with </w:t>
      </w:r>
      <w:r>
        <w:rPr>
          <w:b/>
          <w:color w:val="auto"/>
        </w:rPr>
        <w:t xml:space="preserve">Section 101 (6) </w:t>
      </w:r>
      <w:r>
        <w:rPr>
          <w:color w:val="auto"/>
        </w:rPr>
        <w:t xml:space="preserve">of the </w:t>
      </w:r>
      <w:r>
        <w:rPr>
          <w:b/>
          <w:color w:val="auto"/>
        </w:rPr>
        <w:t>Labour Act [</w:t>
      </w:r>
      <w:r w:rsidRPr="00D17C04">
        <w:rPr>
          <w:b/>
          <w:i/>
          <w:color w:val="auto"/>
        </w:rPr>
        <w:t>Cap 28:01</w:t>
      </w:r>
      <w:r>
        <w:rPr>
          <w:b/>
          <w:color w:val="auto"/>
        </w:rPr>
        <w:t xml:space="preserve">] </w:t>
      </w:r>
      <w:r>
        <w:rPr>
          <w:color w:val="auto"/>
        </w:rPr>
        <w:t xml:space="preserve">so that a party could only refer a matter to a Labour Officer on the expiry of 30 days from the date of rectification. That submission was clearly wrong. It </w:t>
      </w:r>
      <w:r w:rsidR="0046543B">
        <w:rPr>
          <w:color w:val="auto"/>
        </w:rPr>
        <w:t xml:space="preserve">also </w:t>
      </w:r>
      <w:r>
        <w:rPr>
          <w:color w:val="auto"/>
        </w:rPr>
        <w:t xml:space="preserve">resulted in the Arbitrator going off on a tangent. I proceed to show why. It is the position at law that where there is a registered code of conduct it is unlawful to terminate on the basis of the </w:t>
      </w:r>
      <w:r w:rsidR="00DC3527">
        <w:rPr>
          <w:color w:val="auto"/>
        </w:rPr>
        <w:t>M</w:t>
      </w:r>
      <w:r>
        <w:rPr>
          <w:color w:val="auto"/>
        </w:rPr>
        <w:t xml:space="preserve">odel </w:t>
      </w:r>
      <w:r w:rsidR="00DC3527">
        <w:rPr>
          <w:color w:val="auto"/>
        </w:rPr>
        <w:t>C</w:t>
      </w:r>
      <w:r>
        <w:rPr>
          <w:color w:val="auto"/>
        </w:rPr>
        <w:t xml:space="preserve">ode. See </w:t>
      </w:r>
      <w:proofErr w:type="spellStart"/>
      <w:r>
        <w:rPr>
          <w:b/>
          <w:color w:val="auto"/>
        </w:rPr>
        <w:t>Chikomba</w:t>
      </w:r>
      <w:proofErr w:type="spellEnd"/>
      <w:r>
        <w:rPr>
          <w:b/>
          <w:color w:val="auto"/>
        </w:rPr>
        <w:t xml:space="preserve"> Rural District Council </w:t>
      </w:r>
      <w:r w:rsidRPr="00D17C04">
        <w:rPr>
          <w:color w:val="auto"/>
        </w:rPr>
        <w:t xml:space="preserve">vs </w:t>
      </w:r>
      <w:proofErr w:type="spellStart"/>
      <w:r>
        <w:rPr>
          <w:b/>
          <w:color w:val="auto"/>
        </w:rPr>
        <w:t>Pasipanodya</w:t>
      </w:r>
      <w:proofErr w:type="spellEnd"/>
      <w:r>
        <w:rPr>
          <w:b/>
          <w:color w:val="auto"/>
        </w:rPr>
        <w:t xml:space="preserve"> </w:t>
      </w:r>
      <w:r w:rsidRPr="00D17C04">
        <w:rPr>
          <w:color w:val="auto"/>
        </w:rPr>
        <w:t>2012 (1) ZLR 577 (S).</w:t>
      </w:r>
      <w:r>
        <w:rPr>
          <w:b/>
          <w:color w:val="auto"/>
        </w:rPr>
        <w:t xml:space="preserve"> </w:t>
      </w:r>
      <w:r>
        <w:rPr>
          <w:color w:val="auto"/>
        </w:rPr>
        <w:t xml:space="preserve">In </w:t>
      </w:r>
      <w:r w:rsidRPr="003316FB">
        <w:rPr>
          <w:i/>
          <w:color w:val="auto"/>
        </w:rPr>
        <w:t>casu</w:t>
      </w:r>
      <w:r>
        <w:rPr>
          <w:color w:val="auto"/>
        </w:rPr>
        <w:t xml:space="preserve"> the Appellant invoked the Model Code</w:t>
      </w:r>
      <w:r w:rsidR="0046543B">
        <w:rPr>
          <w:color w:val="auto"/>
        </w:rPr>
        <w:t xml:space="preserve"> in commencing disciplinary procedures</w:t>
      </w:r>
      <w:r>
        <w:rPr>
          <w:color w:val="auto"/>
        </w:rPr>
        <w:t xml:space="preserve">. </w:t>
      </w:r>
      <w:r w:rsidR="003316FB">
        <w:rPr>
          <w:color w:val="auto"/>
        </w:rPr>
        <w:t>A</w:t>
      </w:r>
      <w:r>
        <w:rPr>
          <w:color w:val="auto"/>
        </w:rPr>
        <w:t>lthough</w:t>
      </w:r>
      <w:r w:rsidR="0046543B">
        <w:rPr>
          <w:color w:val="auto"/>
        </w:rPr>
        <w:t xml:space="preserve"> the issue was</w:t>
      </w:r>
      <w:r w:rsidR="003316FB">
        <w:rPr>
          <w:color w:val="auto"/>
        </w:rPr>
        <w:t xml:space="preserve"> not specifi</w:t>
      </w:r>
      <w:r w:rsidR="0046543B">
        <w:rPr>
          <w:color w:val="auto"/>
        </w:rPr>
        <w:t>cally argued before</w:t>
      </w:r>
      <w:r w:rsidR="0043117B">
        <w:rPr>
          <w:color w:val="auto"/>
        </w:rPr>
        <w:t xml:space="preserve"> me</w:t>
      </w:r>
      <w:r w:rsidR="0046543B">
        <w:rPr>
          <w:color w:val="auto"/>
        </w:rPr>
        <w:t xml:space="preserve"> the presumption</w:t>
      </w:r>
      <w:r w:rsidR="003316FB">
        <w:rPr>
          <w:color w:val="auto"/>
        </w:rPr>
        <w:t xml:space="preserve"> </w:t>
      </w:r>
      <w:r w:rsidR="00DC3527">
        <w:rPr>
          <w:color w:val="auto"/>
        </w:rPr>
        <w:t xml:space="preserve">is </w:t>
      </w:r>
      <w:r w:rsidR="003316FB">
        <w:rPr>
          <w:color w:val="auto"/>
        </w:rPr>
        <w:t xml:space="preserve">there was no registered Code of Conduct. </w:t>
      </w:r>
      <w:r w:rsidR="00DC3527">
        <w:rPr>
          <w:color w:val="auto"/>
        </w:rPr>
        <w:t>I</w:t>
      </w:r>
      <w:r w:rsidR="003316FB">
        <w:rPr>
          <w:color w:val="auto"/>
        </w:rPr>
        <w:t xml:space="preserve">f </w:t>
      </w:r>
      <w:r w:rsidR="00DC3527">
        <w:rPr>
          <w:color w:val="auto"/>
        </w:rPr>
        <w:t xml:space="preserve">indeed </w:t>
      </w:r>
      <w:r w:rsidR="003316FB">
        <w:rPr>
          <w:color w:val="auto"/>
        </w:rPr>
        <w:t>there was a registered code</w:t>
      </w:r>
      <w:r w:rsidR="0043117B">
        <w:rPr>
          <w:color w:val="auto"/>
        </w:rPr>
        <w:t xml:space="preserve"> in the form of </w:t>
      </w:r>
      <w:r w:rsidR="0043117B" w:rsidRPr="0043117B">
        <w:rPr>
          <w:b/>
          <w:color w:val="auto"/>
        </w:rPr>
        <w:t xml:space="preserve">University Charter </w:t>
      </w:r>
      <w:r w:rsidR="0043117B">
        <w:rPr>
          <w:b/>
          <w:color w:val="auto"/>
        </w:rPr>
        <w:t>(</w:t>
      </w:r>
      <w:r w:rsidR="0043117B" w:rsidRPr="0043117B">
        <w:rPr>
          <w:b/>
          <w:color w:val="auto"/>
        </w:rPr>
        <w:t>Statutory Instrument 29 of 1992)</w:t>
      </w:r>
      <w:r w:rsidR="0043117B">
        <w:rPr>
          <w:color w:val="auto"/>
        </w:rPr>
        <w:t xml:space="preserve"> referred to in the proceedings</w:t>
      </w:r>
      <w:r w:rsidR="0046543B">
        <w:rPr>
          <w:color w:val="auto"/>
        </w:rPr>
        <w:t xml:space="preserve"> however</w:t>
      </w:r>
      <w:r w:rsidR="003316FB">
        <w:rPr>
          <w:color w:val="auto"/>
        </w:rPr>
        <w:t xml:space="preserve"> it would mean that the </w:t>
      </w:r>
      <w:r w:rsidR="0046543B">
        <w:rPr>
          <w:color w:val="auto"/>
        </w:rPr>
        <w:t xml:space="preserve">disciplinary </w:t>
      </w:r>
      <w:r w:rsidR="003316FB">
        <w:rPr>
          <w:color w:val="auto"/>
        </w:rPr>
        <w:t xml:space="preserve">proceedings were a nullity </w:t>
      </w:r>
      <w:r w:rsidR="0046543B">
        <w:rPr>
          <w:color w:val="auto"/>
        </w:rPr>
        <w:t xml:space="preserve">anyway </w:t>
      </w:r>
      <w:r w:rsidR="003316FB">
        <w:rPr>
          <w:color w:val="auto"/>
        </w:rPr>
        <w:t xml:space="preserve">on the authority of </w:t>
      </w:r>
      <w:proofErr w:type="spellStart"/>
      <w:r w:rsidR="003316FB" w:rsidRPr="003316FB">
        <w:rPr>
          <w:b/>
          <w:color w:val="auto"/>
        </w:rPr>
        <w:t>Chikomba</w:t>
      </w:r>
      <w:proofErr w:type="spellEnd"/>
      <w:r w:rsidR="003316FB" w:rsidRPr="003316FB">
        <w:rPr>
          <w:b/>
          <w:color w:val="auto"/>
        </w:rPr>
        <w:t xml:space="preserve"> Rural District Council</w:t>
      </w:r>
      <w:r w:rsidR="003316FB">
        <w:rPr>
          <w:b/>
          <w:color w:val="auto"/>
        </w:rPr>
        <w:t xml:space="preserve"> </w:t>
      </w:r>
      <w:r w:rsidR="0031349F" w:rsidRPr="00D17C04">
        <w:rPr>
          <w:color w:val="auto"/>
        </w:rPr>
        <w:t>vs.</w:t>
      </w:r>
      <w:r w:rsidR="0046543B">
        <w:rPr>
          <w:b/>
          <w:color w:val="auto"/>
        </w:rPr>
        <w:t xml:space="preserve"> </w:t>
      </w:r>
      <w:proofErr w:type="spellStart"/>
      <w:r w:rsidR="0046543B">
        <w:rPr>
          <w:b/>
          <w:color w:val="auto"/>
        </w:rPr>
        <w:t>Pasiponodya</w:t>
      </w:r>
      <w:proofErr w:type="spellEnd"/>
      <w:r w:rsidR="0046543B">
        <w:rPr>
          <w:b/>
          <w:color w:val="auto"/>
        </w:rPr>
        <w:t xml:space="preserve"> </w:t>
      </w:r>
      <w:r w:rsidR="00DC3527" w:rsidRPr="00DC3527">
        <w:rPr>
          <w:color w:val="auto"/>
        </w:rPr>
        <w:t xml:space="preserve">referred to </w:t>
      </w:r>
      <w:r w:rsidR="00DC3527" w:rsidRPr="00DC3527">
        <w:rPr>
          <w:i/>
          <w:color w:val="auto"/>
        </w:rPr>
        <w:t>supra</w:t>
      </w:r>
      <w:r w:rsidR="003316FB">
        <w:rPr>
          <w:color w:val="auto"/>
        </w:rPr>
        <w:t>.</w:t>
      </w:r>
    </w:p>
    <w:p w:rsidR="00DC4654" w:rsidRDefault="00DC3527" w:rsidP="00A15C5F">
      <w:pPr>
        <w:ind w:firstLine="720"/>
        <w:rPr>
          <w:color w:val="auto"/>
        </w:rPr>
      </w:pPr>
      <w:r>
        <w:rPr>
          <w:color w:val="auto"/>
        </w:rPr>
        <w:t xml:space="preserve">It is clear </w:t>
      </w:r>
      <w:r w:rsidR="00982AA9">
        <w:rPr>
          <w:color w:val="auto"/>
        </w:rPr>
        <w:t xml:space="preserve">the Appellant having </w:t>
      </w:r>
      <w:r>
        <w:rPr>
          <w:color w:val="auto"/>
        </w:rPr>
        <w:t>however</w:t>
      </w:r>
      <w:r w:rsidR="00982AA9">
        <w:rPr>
          <w:color w:val="auto"/>
        </w:rPr>
        <w:t xml:space="preserve"> invoked the</w:t>
      </w:r>
      <w:r w:rsidR="003316FB">
        <w:rPr>
          <w:color w:val="auto"/>
        </w:rPr>
        <w:t xml:space="preserve"> Model Code the Appellant was required to conduct disciplinary proceedings in terms of that code. This means the disciplinary proceedings had to be completed within 14 days. </w:t>
      </w:r>
      <w:r w:rsidR="003316FB">
        <w:rPr>
          <w:b/>
          <w:color w:val="auto"/>
        </w:rPr>
        <w:t xml:space="preserve">Section 101 (6) </w:t>
      </w:r>
      <w:r w:rsidR="003316FB">
        <w:rPr>
          <w:color w:val="auto"/>
        </w:rPr>
        <w:t xml:space="preserve">of the </w:t>
      </w:r>
      <w:r w:rsidR="003316FB">
        <w:rPr>
          <w:b/>
          <w:color w:val="auto"/>
        </w:rPr>
        <w:t>Labour Act [</w:t>
      </w:r>
      <w:r w:rsidR="003316FB" w:rsidRPr="00D17C04">
        <w:rPr>
          <w:b/>
          <w:i/>
          <w:color w:val="auto"/>
        </w:rPr>
        <w:t>Cap 28:01</w:t>
      </w:r>
      <w:r w:rsidR="003316FB">
        <w:rPr>
          <w:b/>
          <w:color w:val="auto"/>
        </w:rPr>
        <w:t>]</w:t>
      </w:r>
      <w:r w:rsidR="003316FB">
        <w:rPr>
          <w:color w:val="auto"/>
        </w:rPr>
        <w:t xml:space="preserve"> the Appellant referred to and which the Arbitrator eventually based his award is clearly not applicable to </w:t>
      </w:r>
    </w:p>
    <w:p w:rsidR="00DC4654" w:rsidRDefault="00DC4654" w:rsidP="00DC4654">
      <w:pPr>
        <w:rPr>
          <w:color w:val="auto"/>
        </w:rPr>
      </w:pPr>
    </w:p>
    <w:p w:rsidR="00000C75" w:rsidRDefault="003316FB" w:rsidP="00DC4654">
      <w:pPr>
        <w:rPr>
          <w:color w:val="auto"/>
        </w:rPr>
      </w:pPr>
      <w:proofErr w:type="gramStart"/>
      <w:r>
        <w:rPr>
          <w:color w:val="auto"/>
        </w:rPr>
        <w:t>proceedings</w:t>
      </w:r>
      <w:proofErr w:type="gramEnd"/>
      <w:r>
        <w:rPr>
          <w:color w:val="auto"/>
        </w:rPr>
        <w:t xml:space="preserve"> under the Model Code. </w:t>
      </w:r>
      <w:r w:rsidR="00DC3527">
        <w:rPr>
          <w:color w:val="auto"/>
        </w:rPr>
        <w:t xml:space="preserve">The reason can be traced back to </w:t>
      </w:r>
      <w:r w:rsidR="00DC3527" w:rsidRPr="00DC3527">
        <w:rPr>
          <w:b/>
          <w:color w:val="auto"/>
        </w:rPr>
        <w:t>Section 101(5)</w:t>
      </w:r>
      <w:r w:rsidR="00DC3527">
        <w:rPr>
          <w:color w:val="auto"/>
        </w:rPr>
        <w:t xml:space="preserve"> of the </w:t>
      </w:r>
      <w:r w:rsidR="00DC3527" w:rsidRPr="00DC3527">
        <w:rPr>
          <w:b/>
          <w:color w:val="auto"/>
        </w:rPr>
        <w:t>Act</w:t>
      </w:r>
      <w:r w:rsidR="00DC3527">
        <w:rPr>
          <w:color w:val="auto"/>
        </w:rPr>
        <w:t xml:space="preserve">. </w:t>
      </w:r>
      <w:r>
        <w:rPr>
          <w:b/>
          <w:color w:val="auto"/>
        </w:rPr>
        <w:t xml:space="preserve">Section 101 (5) </w:t>
      </w:r>
      <w:r>
        <w:rPr>
          <w:color w:val="auto"/>
        </w:rPr>
        <w:t xml:space="preserve">provides that a Labour Officer shall not intervene in any dispute or matter which is liable to be the subject of proceedings under a registered code. The Act specifically refers to a registered code which means a code registered in terms of the </w:t>
      </w:r>
      <w:r w:rsidRPr="00DC3527">
        <w:rPr>
          <w:b/>
          <w:color w:val="auto"/>
        </w:rPr>
        <w:t>Labour Act</w:t>
      </w:r>
      <w:r w:rsidR="00DC3527">
        <w:rPr>
          <w:color w:val="auto"/>
        </w:rPr>
        <w:t xml:space="preserve"> </w:t>
      </w:r>
      <w:r w:rsidR="00DC3527">
        <w:rPr>
          <w:b/>
          <w:color w:val="auto"/>
        </w:rPr>
        <w:t>[</w:t>
      </w:r>
      <w:r w:rsidR="00DC3527" w:rsidRPr="00D17C04">
        <w:rPr>
          <w:b/>
          <w:i/>
          <w:color w:val="auto"/>
        </w:rPr>
        <w:t>Cap 28:01</w:t>
      </w:r>
      <w:r w:rsidR="00DC3527">
        <w:rPr>
          <w:b/>
          <w:color w:val="auto"/>
        </w:rPr>
        <w:t>]</w:t>
      </w:r>
      <w:r>
        <w:rPr>
          <w:color w:val="auto"/>
        </w:rPr>
        <w:t>. The Model Code is not a registered code. It is e</w:t>
      </w:r>
      <w:r w:rsidR="00982AA9">
        <w:rPr>
          <w:color w:val="auto"/>
        </w:rPr>
        <w:t>stablished in terms of subsid</w:t>
      </w:r>
      <w:r w:rsidR="00DD2905">
        <w:rPr>
          <w:color w:val="auto"/>
        </w:rPr>
        <w:t>iar</w:t>
      </w:r>
      <w:r w:rsidR="00982AA9">
        <w:rPr>
          <w:color w:val="auto"/>
        </w:rPr>
        <w:t xml:space="preserve">y </w:t>
      </w:r>
      <w:r>
        <w:rPr>
          <w:color w:val="auto"/>
        </w:rPr>
        <w:t xml:space="preserve">legislation. </w:t>
      </w:r>
      <w:r>
        <w:rPr>
          <w:b/>
          <w:color w:val="auto"/>
        </w:rPr>
        <w:t xml:space="preserve">Section 101 (6) </w:t>
      </w:r>
      <w:r w:rsidR="00DC3527" w:rsidRPr="00DC3527">
        <w:rPr>
          <w:color w:val="auto"/>
        </w:rPr>
        <w:t>however</w:t>
      </w:r>
      <w:r w:rsidR="00DC3527">
        <w:rPr>
          <w:b/>
          <w:color w:val="auto"/>
        </w:rPr>
        <w:t xml:space="preserve"> </w:t>
      </w:r>
      <w:r>
        <w:rPr>
          <w:color w:val="auto"/>
        </w:rPr>
        <w:t xml:space="preserve">provides </w:t>
      </w:r>
      <w:r w:rsidR="00982AA9">
        <w:rPr>
          <w:color w:val="auto"/>
        </w:rPr>
        <w:t xml:space="preserve">an </w:t>
      </w:r>
      <w:r>
        <w:rPr>
          <w:color w:val="auto"/>
        </w:rPr>
        <w:t>exception to the</w:t>
      </w:r>
      <w:r w:rsidR="00982AA9">
        <w:rPr>
          <w:color w:val="auto"/>
        </w:rPr>
        <w:t xml:space="preserve"> </w:t>
      </w:r>
      <w:r w:rsidR="00DC3527">
        <w:rPr>
          <w:color w:val="auto"/>
        </w:rPr>
        <w:t xml:space="preserve">subsidiary </w:t>
      </w:r>
      <w:r w:rsidR="00982AA9">
        <w:rPr>
          <w:color w:val="auto"/>
        </w:rPr>
        <w:t>general</w:t>
      </w:r>
      <w:r>
        <w:rPr>
          <w:color w:val="auto"/>
        </w:rPr>
        <w:t xml:space="preserve"> rule</w:t>
      </w:r>
      <w:r w:rsidR="00DC3527">
        <w:rPr>
          <w:color w:val="auto"/>
        </w:rPr>
        <w:t xml:space="preserve"> laid in </w:t>
      </w:r>
      <w:r w:rsidR="00DC3527" w:rsidRPr="00DC3527">
        <w:rPr>
          <w:b/>
          <w:color w:val="auto"/>
        </w:rPr>
        <w:t>Section 101(5)</w:t>
      </w:r>
      <w:r w:rsidRPr="00DC3527">
        <w:rPr>
          <w:b/>
          <w:color w:val="auto"/>
        </w:rPr>
        <w:t>.</w:t>
      </w:r>
      <w:r>
        <w:rPr>
          <w:color w:val="auto"/>
        </w:rPr>
        <w:t xml:space="preserve"> It entitles an employee/employer </w:t>
      </w:r>
      <w:r w:rsidR="00982AA9">
        <w:rPr>
          <w:color w:val="auto"/>
        </w:rPr>
        <w:t xml:space="preserve">to </w:t>
      </w:r>
      <w:r w:rsidR="009E1924">
        <w:rPr>
          <w:color w:val="auto"/>
        </w:rPr>
        <w:t xml:space="preserve">refer the matter to the Labour Officer where the matter has not been determined within 30 days. </w:t>
      </w:r>
      <w:r w:rsidR="00DC3527">
        <w:rPr>
          <w:color w:val="auto"/>
        </w:rPr>
        <w:t xml:space="preserve">The reference is that </w:t>
      </w:r>
      <w:r w:rsidR="00DD2905">
        <w:rPr>
          <w:color w:val="auto"/>
        </w:rPr>
        <w:t>of</w:t>
      </w:r>
      <w:r w:rsidR="00DC3527">
        <w:rPr>
          <w:color w:val="auto"/>
        </w:rPr>
        <w:t xml:space="preserve"> proceeding</w:t>
      </w:r>
      <w:r w:rsidR="00DD2905">
        <w:rPr>
          <w:color w:val="auto"/>
        </w:rPr>
        <w:t>s</w:t>
      </w:r>
      <w:r w:rsidR="00DC3527">
        <w:rPr>
          <w:color w:val="auto"/>
        </w:rPr>
        <w:t xml:space="preserve"> under a registered </w:t>
      </w:r>
      <w:r w:rsidR="00DD2905">
        <w:rPr>
          <w:color w:val="auto"/>
        </w:rPr>
        <w:t>c</w:t>
      </w:r>
      <w:r w:rsidR="00DC3527">
        <w:rPr>
          <w:color w:val="auto"/>
        </w:rPr>
        <w:t xml:space="preserve">ode. </w:t>
      </w:r>
      <w:r w:rsidR="009E1924">
        <w:rPr>
          <w:color w:val="auto"/>
        </w:rPr>
        <w:t>It is</w:t>
      </w:r>
      <w:r>
        <w:rPr>
          <w:color w:val="auto"/>
        </w:rPr>
        <w:t xml:space="preserve"> </w:t>
      </w:r>
      <w:r w:rsidR="00982AA9">
        <w:rPr>
          <w:color w:val="auto"/>
        </w:rPr>
        <w:t>therefore</w:t>
      </w:r>
      <w:r w:rsidR="009E1924">
        <w:rPr>
          <w:color w:val="auto"/>
        </w:rPr>
        <w:t xml:space="preserve"> clear that the matter in </w:t>
      </w:r>
      <w:r w:rsidR="009E1924">
        <w:rPr>
          <w:i/>
          <w:color w:val="auto"/>
        </w:rPr>
        <w:t xml:space="preserve">casu </w:t>
      </w:r>
      <w:r w:rsidR="00982AA9">
        <w:rPr>
          <w:color w:val="auto"/>
        </w:rPr>
        <w:t xml:space="preserve">which </w:t>
      </w:r>
      <w:r w:rsidR="00DC3527">
        <w:rPr>
          <w:color w:val="auto"/>
        </w:rPr>
        <w:t xml:space="preserve">was </w:t>
      </w:r>
      <w:r w:rsidR="00982AA9">
        <w:rPr>
          <w:color w:val="auto"/>
        </w:rPr>
        <w:t>based on Statutory Instrument 15/2006 was</w:t>
      </w:r>
      <w:r w:rsidR="009E1924">
        <w:rPr>
          <w:color w:val="auto"/>
        </w:rPr>
        <w:t xml:space="preserve"> wrongly referred to the Labour Officer on that basis.</w:t>
      </w:r>
    </w:p>
    <w:p w:rsidR="00DC4654" w:rsidRDefault="00982AA9" w:rsidP="00A15C5F">
      <w:pPr>
        <w:ind w:firstLine="720"/>
        <w:rPr>
          <w:color w:val="auto"/>
        </w:rPr>
      </w:pPr>
      <w:r>
        <w:rPr>
          <w:color w:val="auto"/>
        </w:rPr>
        <w:t>It is also clear that the Appellant breached the provision</w:t>
      </w:r>
      <w:r w:rsidR="00DC3527">
        <w:rPr>
          <w:color w:val="auto"/>
        </w:rPr>
        <w:t>s</w:t>
      </w:r>
      <w:r>
        <w:rPr>
          <w:color w:val="auto"/>
        </w:rPr>
        <w:t xml:space="preserve"> of </w:t>
      </w:r>
      <w:r w:rsidR="00DC3527" w:rsidRPr="00BF490D">
        <w:rPr>
          <w:b/>
          <w:color w:val="auto"/>
        </w:rPr>
        <w:t>Section 6(2)</w:t>
      </w:r>
      <w:r w:rsidR="00DC3527">
        <w:rPr>
          <w:color w:val="auto"/>
        </w:rPr>
        <w:t xml:space="preserve"> of the </w:t>
      </w:r>
      <w:r w:rsidRPr="00BF490D">
        <w:rPr>
          <w:b/>
          <w:color w:val="auto"/>
        </w:rPr>
        <w:t>Statutory Instrument 15 of 2006</w:t>
      </w:r>
      <w:r>
        <w:rPr>
          <w:color w:val="auto"/>
        </w:rPr>
        <w:t xml:space="preserve">. </w:t>
      </w:r>
      <w:r w:rsidR="0075349A">
        <w:rPr>
          <w:color w:val="auto"/>
        </w:rPr>
        <w:t>The record shows that disciplinary process was commenced through a suspension notice served on the 21</w:t>
      </w:r>
      <w:r w:rsidR="0075349A" w:rsidRPr="0075349A">
        <w:rPr>
          <w:color w:val="auto"/>
          <w:vertAlign w:val="superscript"/>
        </w:rPr>
        <w:t>st</w:t>
      </w:r>
      <w:r w:rsidR="0075349A">
        <w:rPr>
          <w:color w:val="auto"/>
        </w:rPr>
        <w:t xml:space="preserve"> June 2011. The Disciplinary Committee </w:t>
      </w:r>
      <w:r>
        <w:rPr>
          <w:color w:val="auto"/>
        </w:rPr>
        <w:t xml:space="preserve">determination </w:t>
      </w:r>
      <w:r w:rsidR="00DC3527">
        <w:rPr>
          <w:color w:val="auto"/>
        </w:rPr>
        <w:t>to</w:t>
      </w:r>
      <w:r>
        <w:rPr>
          <w:color w:val="auto"/>
        </w:rPr>
        <w:t xml:space="preserve"> dismiss Respondent from employment</w:t>
      </w:r>
      <w:r w:rsidR="0075349A">
        <w:rPr>
          <w:color w:val="auto"/>
        </w:rPr>
        <w:t xml:space="preserve"> </w:t>
      </w:r>
      <w:r w:rsidR="00DC3527">
        <w:rPr>
          <w:color w:val="auto"/>
        </w:rPr>
        <w:t>was</w:t>
      </w:r>
      <w:r w:rsidR="0075349A">
        <w:rPr>
          <w:color w:val="auto"/>
        </w:rPr>
        <w:t xml:space="preserve"> delivered on Respondent on 11</w:t>
      </w:r>
      <w:r w:rsidR="0075349A" w:rsidRPr="0075349A">
        <w:rPr>
          <w:color w:val="auto"/>
          <w:vertAlign w:val="superscript"/>
        </w:rPr>
        <w:t>th</w:t>
      </w:r>
      <w:r w:rsidR="0075349A">
        <w:rPr>
          <w:color w:val="auto"/>
        </w:rPr>
        <w:t xml:space="preserve"> of August 2011. It is clear that the disciplinary </w:t>
      </w:r>
      <w:bookmarkStart w:id="0" w:name="_GoBack"/>
      <w:bookmarkEnd w:id="0"/>
      <w:r w:rsidR="0075349A">
        <w:rPr>
          <w:color w:val="auto"/>
        </w:rPr>
        <w:t>proceedings exceeded the time limit as set out</w:t>
      </w:r>
      <w:r>
        <w:rPr>
          <w:color w:val="auto"/>
        </w:rPr>
        <w:t xml:space="preserve"> in Section 6 (2) </w:t>
      </w:r>
      <w:r w:rsidR="00D17C04">
        <w:rPr>
          <w:color w:val="auto"/>
        </w:rPr>
        <w:t>i.e.</w:t>
      </w:r>
      <w:r>
        <w:rPr>
          <w:color w:val="auto"/>
        </w:rPr>
        <w:t xml:space="preserve"> 14 days</w:t>
      </w:r>
      <w:r w:rsidR="0075349A">
        <w:rPr>
          <w:color w:val="auto"/>
        </w:rPr>
        <w:t xml:space="preserve"> under that code. What was the remedy available</w:t>
      </w:r>
      <w:r w:rsidR="00DC3527">
        <w:rPr>
          <w:color w:val="auto"/>
        </w:rPr>
        <w:t xml:space="preserve"> to respondent at the </w:t>
      </w:r>
      <w:proofErr w:type="gramStart"/>
      <w:r w:rsidR="00DC3527">
        <w:rPr>
          <w:color w:val="auto"/>
        </w:rPr>
        <w:t>time</w:t>
      </w:r>
      <w:r w:rsidR="0075349A">
        <w:rPr>
          <w:color w:val="auto"/>
        </w:rPr>
        <w:t>.</w:t>
      </w:r>
      <w:proofErr w:type="gramEnd"/>
      <w:r w:rsidR="0075349A">
        <w:rPr>
          <w:color w:val="auto"/>
        </w:rPr>
        <w:t xml:space="preserve"> The Model Code does not expressly provide a remedy. In </w:t>
      </w:r>
      <w:r w:rsidR="0075349A">
        <w:rPr>
          <w:b/>
          <w:color w:val="auto"/>
        </w:rPr>
        <w:t>Stella</w:t>
      </w:r>
      <w:r w:rsidR="00091CFA">
        <w:rPr>
          <w:b/>
          <w:color w:val="auto"/>
        </w:rPr>
        <w:t xml:space="preserve"> </w:t>
      </w:r>
      <w:proofErr w:type="spellStart"/>
      <w:r w:rsidR="00091CFA">
        <w:rPr>
          <w:b/>
          <w:color w:val="auto"/>
        </w:rPr>
        <w:t>Nhari</w:t>
      </w:r>
      <w:proofErr w:type="spellEnd"/>
      <w:r w:rsidR="00091CFA">
        <w:rPr>
          <w:b/>
          <w:color w:val="auto"/>
        </w:rPr>
        <w:t xml:space="preserve"> </w:t>
      </w:r>
      <w:r w:rsidR="00091CFA" w:rsidRPr="00D17C04">
        <w:rPr>
          <w:color w:val="auto"/>
        </w:rPr>
        <w:t>vs</w:t>
      </w:r>
      <w:r w:rsidR="00091CFA">
        <w:rPr>
          <w:b/>
          <w:color w:val="auto"/>
        </w:rPr>
        <w:t xml:space="preserve"> Zimbabwe Allied Banking Group </w:t>
      </w:r>
      <w:r w:rsidR="00091CFA" w:rsidRPr="00D17C04">
        <w:rPr>
          <w:color w:val="auto"/>
        </w:rPr>
        <w:t>SC</w:t>
      </w:r>
      <w:r w:rsidR="00091CFA">
        <w:rPr>
          <w:b/>
          <w:color w:val="auto"/>
        </w:rPr>
        <w:t xml:space="preserve"> </w:t>
      </w:r>
      <w:r w:rsidR="00091CFA" w:rsidRPr="00D17C04">
        <w:rPr>
          <w:color w:val="auto"/>
        </w:rPr>
        <w:t>51/2013</w:t>
      </w:r>
      <w:r w:rsidR="00091CFA">
        <w:rPr>
          <w:b/>
          <w:color w:val="auto"/>
        </w:rPr>
        <w:t xml:space="preserve"> </w:t>
      </w:r>
      <w:r>
        <w:rPr>
          <w:color w:val="auto"/>
        </w:rPr>
        <w:t>however t</w:t>
      </w:r>
      <w:r w:rsidR="00091CFA">
        <w:rPr>
          <w:color w:val="auto"/>
        </w:rPr>
        <w:t>he Supreme Court found that where the employer fails to meet the time frame it gives the employee the right t</w:t>
      </w:r>
      <w:r>
        <w:rPr>
          <w:color w:val="auto"/>
        </w:rPr>
        <w:t>o</w:t>
      </w:r>
      <w:r w:rsidR="00091CFA">
        <w:rPr>
          <w:color w:val="auto"/>
        </w:rPr>
        <w:t xml:space="preserve"> apply for a mandamus to compel the employer to comply with time limits</w:t>
      </w:r>
      <w:r>
        <w:rPr>
          <w:color w:val="auto"/>
        </w:rPr>
        <w:t xml:space="preserve">. </w:t>
      </w:r>
      <w:r w:rsidR="0096702C" w:rsidRPr="0096702C">
        <w:rPr>
          <w:i/>
          <w:color w:val="auto"/>
        </w:rPr>
        <w:t>In casu</w:t>
      </w:r>
      <w:r w:rsidR="0096702C">
        <w:rPr>
          <w:color w:val="auto"/>
        </w:rPr>
        <w:t xml:space="preserve"> </w:t>
      </w:r>
      <w:r w:rsidR="004C4B8F">
        <w:rPr>
          <w:color w:val="auto"/>
        </w:rPr>
        <w:t xml:space="preserve">Respondent </w:t>
      </w:r>
      <w:r w:rsidR="0096702C">
        <w:rPr>
          <w:color w:val="auto"/>
        </w:rPr>
        <w:t xml:space="preserve">clearly </w:t>
      </w:r>
      <w:r w:rsidR="004C4B8F">
        <w:rPr>
          <w:color w:val="auto"/>
        </w:rPr>
        <w:t>utilised the wrong procedure</w:t>
      </w:r>
      <w:r>
        <w:rPr>
          <w:color w:val="auto"/>
        </w:rPr>
        <w:t xml:space="preserve"> by referring a complaint to a Labour Officer</w:t>
      </w:r>
      <w:r w:rsidR="004C4B8F">
        <w:rPr>
          <w:color w:val="auto"/>
        </w:rPr>
        <w:t>. What is the effect of Appellant failure to complete disciplinary pr</w:t>
      </w:r>
      <w:r>
        <w:rPr>
          <w:color w:val="auto"/>
        </w:rPr>
        <w:t>oceedings within the time limit?</w:t>
      </w:r>
      <w:r w:rsidR="004C4B8F">
        <w:rPr>
          <w:color w:val="auto"/>
        </w:rPr>
        <w:t xml:space="preserve"> My view is such failure to compete the disciplinary process</w:t>
      </w:r>
      <w:r w:rsidR="000C59BA">
        <w:rPr>
          <w:color w:val="auto"/>
        </w:rPr>
        <w:t xml:space="preserve"> within </w:t>
      </w:r>
      <w:r w:rsidR="0096702C">
        <w:rPr>
          <w:color w:val="auto"/>
        </w:rPr>
        <w:t xml:space="preserve">the </w:t>
      </w:r>
      <w:r w:rsidR="000C59BA">
        <w:rPr>
          <w:color w:val="auto"/>
        </w:rPr>
        <w:t>stipulated time renders the disciplinary process a nullity</w:t>
      </w:r>
      <w:r w:rsidR="003E4B4F">
        <w:rPr>
          <w:color w:val="auto"/>
        </w:rPr>
        <w:t xml:space="preserve">. I found support for this view in </w:t>
      </w:r>
      <w:proofErr w:type="spellStart"/>
      <w:r w:rsidR="003E4B4F">
        <w:rPr>
          <w:b/>
          <w:color w:val="auto"/>
        </w:rPr>
        <w:t>Lovemore</w:t>
      </w:r>
      <w:proofErr w:type="spellEnd"/>
      <w:r w:rsidR="003E4B4F">
        <w:rPr>
          <w:b/>
          <w:color w:val="auto"/>
        </w:rPr>
        <w:t xml:space="preserve"> </w:t>
      </w:r>
      <w:proofErr w:type="spellStart"/>
      <w:r w:rsidR="003E4B4F">
        <w:rPr>
          <w:b/>
          <w:color w:val="auto"/>
        </w:rPr>
        <w:t>Madhuku</w:t>
      </w:r>
      <w:proofErr w:type="spellEnd"/>
      <w:r w:rsidR="003E4B4F">
        <w:rPr>
          <w:b/>
          <w:color w:val="auto"/>
        </w:rPr>
        <w:t xml:space="preserve"> </w:t>
      </w:r>
      <w:r w:rsidR="003E4B4F">
        <w:rPr>
          <w:color w:val="auto"/>
        </w:rPr>
        <w:t xml:space="preserve">in </w:t>
      </w:r>
      <w:r w:rsidR="003E4B4F">
        <w:rPr>
          <w:b/>
          <w:color w:val="auto"/>
        </w:rPr>
        <w:t xml:space="preserve">Labour Court in Zimbabwe 2015 Edition </w:t>
      </w:r>
      <w:r w:rsidR="003E4B4F">
        <w:rPr>
          <w:color w:val="auto"/>
        </w:rPr>
        <w:t xml:space="preserve">at page 133. That </w:t>
      </w:r>
      <w:r>
        <w:rPr>
          <w:color w:val="auto"/>
        </w:rPr>
        <w:t xml:space="preserve">really </w:t>
      </w:r>
      <w:r w:rsidR="003E4B4F">
        <w:rPr>
          <w:color w:val="auto"/>
        </w:rPr>
        <w:t>should be the end of the matter</w:t>
      </w:r>
      <w:r w:rsidR="002F5222">
        <w:rPr>
          <w:color w:val="auto"/>
        </w:rPr>
        <w:t>.</w:t>
      </w:r>
      <w:r w:rsidR="0096702C">
        <w:rPr>
          <w:color w:val="auto"/>
        </w:rPr>
        <w:t xml:space="preserve"> The Court having reached the </w:t>
      </w:r>
    </w:p>
    <w:p w:rsidR="00DC4654" w:rsidRDefault="00DC4654" w:rsidP="00DC4654">
      <w:pPr>
        <w:rPr>
          <w:color w:val="auto"/>
        </w:rPr>
      </w:pPr>
    </w:p>
    <w:p w:rsidR="009E1924" w:rsidRDefault="0096702C" w:rsidP="00DC4654">
      <w:pPr>
        <w:rPr>
          <w:color w:val="auto"/>
        </w:rPr>
      </w:pPr>
      <w:proofErr w:type="gramStart"/>
      <w:r>
        <w:rPr>
          <w:color w:val="auto"/>
        </w:rPr>
        <w:t>same</w:t>
      </w:r>
      <w:proofErr w:type="gramEnd"/>
      <w:r>
        <w:rPr>
          <w:color w:val="auto"/>
        </w:rPr>
        <w:t xml:space="preserve"> position as the Arbitrator the award would however have to be altered and substituted. </w:t>
      </w:r>
    </w:p>
    <w:p w:rsidR="002F5222" w:rsidRDefault="002F5222" w:rsidP="00A15C5F">
      <w:pPr>
        <w:ind w:firstLine="720"/>
        <w:rPr>
          <w:color w:val="auto"/>
        </w:rPr>
      </w:pPr>
      <w:r>
        <w:rPr>
          <w:color w:val="auto"/>
        </w:rPr>
        <w:t>It is accordingly ordered as follows;</w:t>
      </w:r>
    </w:p>
    <w:p w:rsidR="002F5222" w:rsidRDefault="002F5222" w:rsidP="002F5222">
      <w:pPr>
        <w:pStyle w:val="ListParagraph"/>
        <w:numPr>
          <w:ilvl w:val="0"/>
          <w:numId w:val="6"/>
        </w:numPr>
        <w:rPr>
          <w:color w:val="auto"/>
        </w:rPr>
      </w:pPr>
      <w:r>
        <w:rPr>
          <w:color w:val="auto"/>
        </w:rPr>
        <w:t>The appeal</w:t>
      </w:r>
      <w:r w:rsidR="00982AA9">
        <w:rPr>
          <w:color w:val="auto"/>
        </w:rPr>
        <w:t xml:space="preserve"> be and</w:t>
      </w:r>
      <w:r>
        <w:rPr>
          <w:color w:val="auto"/>
        </w:rPr>
        <w:t xml:space="preserve"> is</w:t>
      </w:r>
      <w:r w:rsidR="00982AA9">
        <w:rPr>
          <w:color w:val="auto"/>
        </w:rPr>
        <w:t xml:space="preserve"> hereby</w:t>
      </w:r>
      <w:r>
        <w:rPr>
          <w:color w:val="auto"/>
        </w:rPr>
        <w:t xml:space="preserve"> dismissed.</w:t>
      </w:r>
    </w:p>
    <w:p w:rsidR="002F5222" w:rsidRDefault="002F5222" w:rsidP="002F5222">
      <w:pPr>
        <w:pStyle w:val="ListParagraph"/>
        <w:numPr>
          <w:ilvl w:val="0"/>
          <w:numId w:val="6"/>
        </w:numPr>
        <w:rPr>
          <w:color w:val="auto"/>
        </w:rPr>
      </w:pPr>
      <w:r>
        <w:rPr>
          <w:color w:val="auto"/>
        </w:rPr>
        <w:t>The arbitral award hand</w:t>
      </w:r>
      <w:r w:rsidR="00982AA9">
        <w:rPr>
          <w:color w:val="auto"/>
        </w:rPr>
        <w:t xml:space="preserve">ed down by Arbitrator is </w:t>
      </w:r>
      <w:r>
        <w:rPr>
          <w:color w:val="auto"/>
        </w:rPr>
        <w:t xml:space="preserve">set aside and substituted with an award that reads </w:t>
      </w:r>
    </w:p>
    <w:p w:rsidR="002F5222" w:rsidRDefault="002F5222" w:rsidP="00982AA9">
      <w:pPr>
        <w:ind w:firstLine="720"/>
        <w:rPr>
          <w:color w:val="auto"/>
        </w:rPr>
      </w:pPr>
      <w:r>
        <w:rPr>
          <w:color w:val="auto"/>
        </w:rPr>
        <w:t>“1. The claim is hereby allowed</w:t>
      </w:r>
      <w:r w:rsidR="00D17C04">
        <w:rPr>
          <w:color w:val="auto"/>
        </w:rPr>
        <w:t>.</w:t>
      </w:r>
    </w:p>
    <w:p w:rsidR="002F5222" w:rsidRPr="00D17C04" w:rsidRDefault="002F5222" w:rsidP="00D17C04">
      <w:pPr>
        <w:pStyle w:val="ListParagraph"/>
        <w:numPr>
          <w:ilvl w:val="0"/>
          <w:numId w:val="7"/>
        </w:numPr>
        <w:rPr>
          <w:color w:val="auto"/>
        </w:rPr>
      </w:pPr>
      <w:r w:rsidRPr="00D17C04">
        <w:rPr>
          <w:color w:val="auto"/>
        </w:rPr>
        <w:t xml:space="preserve">The Respondent having failed to complete disciplinary proceedings within the </w:t>
      </w:r>
      <w:r w:rsidR="00982AA9" w:rsidRPr="00D17C04">
        <w:rPr>
          <w:color w:val="auto"/>
        </w:rPr>
        <w:t xml:space="preserve">stipulated </w:t>
      </w:r>
      <w:r w:rsidRPr="00D17C04">
        <w:rPr>
          <w:color w:val="auto"/>
        </w:rPr>
        <w:t>time-frame</w:t>
      </w:r>
      <w:r w:rsidR="00982AA9" w:rsidRPr="00D17C04">
        <w:rPr>
          <w:color w:val="auto"/>
        </w:rPr>
        <w:t xml:space="preserve">s under the </w:t>
      </w:r>
      <w:r w:rsidR="0096702C">
        <w:rPr>
          <w:color w:val="auto"/>
        </w:rPr>
        <w:t>Model C</w:t>
      </w:r>
      <w:r w:rsidR="00982AA9" w:rsidRPr="00D17C04">
        <w:rPr>
          <w:color w:val="auto"/>
        </w:rPr>
        <w:t>ode</w:t>
      </w:r>
      <w:r w:rsidRPr="00D17C04">
        <w:rPr>
          <w:color w:val="auto"/>
        </w:rPr>
        <w:t xml:space="preserve"> the proceedings are hereby nullified.</w:t>
      </w:r>
    </w:p>
    <w:p w:rsidR="00D17C04" w:rsidRPr="00D17C04" w:rsidRDefault="00B601A0" w:rsidP="00D17C04">
      <w:pPr>
        <w:pStyle w:val="ListParagraph"/>
        <w:numPr>
          <w:ilvl w:val="0"/>
          <w:numId w:val="7"/>
        </w:numPr>
        <w:rPr>
          <w:color w:val="auto"/>
        </w:rPr>
      </w:pPr>
      <w:r w:rsidRPr="00D17C04">
        <w:rPr>
          <w:color w:val="auto"/>
        </w:rPr>
        <w:t xml:space="preserve">The Respondent shall reinstate the claimant to his original position without </w:t>
      </w:r>
      <w:r w:rsidR="00D17C04" w:rsidRPr="00D17C04">
        <w:rPr>
          <w:color w:val="auto"/>
        </w:rPr>
        <w:t xml:space="preserve"> </w:t>
      </w:r>
    </w:p>
    <w:p w:rsidR="00B601A0" w:rsidRPr="00D17C04" w:rsidRDefault="00B601A0" w:rsidP="00D17C04">
      <w:pPr>
        <w:pStyle w:val="ListParagraph"/>
        <w:ind w:left="1080"/>
        <w:rPr>
          <w:color w:val="auto"/>
        </w:rPr>
      </w:pPr>
      <w:proofErr w:type="gramStart"/>
      <w:r w:rsidRPr="00D17C04">
        <w:rPr>
          <w:color w:val="auto"/>
        </w:rPr>
        <w:t>loss</w:t>
      </w:r>
      <w:proofErr w:type="gramEnd"/>
      <w:r w:rsidRPr="00D17C04">
        <w:rPr>
          <w:color w:val="auto"/>
        </w:rPr>
        <w:t xml:space="preserve"> of salary and benefits.</w:t>
      </w:r>
    </w:p>
    <w:p w:rsidR="00D17C04" w:rsidRPr="00D17C04" w:rsidRDefault="00B601A0" w:rsidP="00D17C04">
      <w:pPr>
        <w:pStyle w:val="ListParagraph"/>
        <w:numPr>
          <w:ilvl w:val="0"/>
          <w:numId w:val="7"/>
        </w:numPr>
        <w:rPr>
          <w:color w:val="auto"/>
        </w:rPr>
      </w:pPr>
      <w:r w:rsidRPr="00D17C04">
        <w:rPr>
          <w:color w:val="auto"/>
        </w:rPr>
        <w:t xml:space="preserve">In the event that reinstatement is no longer tenable the Respondent shall </w:t>
      </w:r>
    </w:p>
    <w:p w:rsidR="002F5222" w:rsidRPr="00D17C04" w:rsidRDefault="00B601A0" w:rsidP="00D17C04">
      <w:pPr>
        <w:pStyle w:val="ListParagraph"/>
        <w:ind w:left="1080"/>
        <w:rPr>
          <w:color w:val="auto"/>
        </w:rPr>
      </w:pPr>
      <w:proofErr w:type="gramStart"/>
      <w:r w:rsidRPr="00D17C04">
        <w:rPr>
          <w:color w:val="auto"/>
        </w:rPr>
        <w:t>pay</w:t>
      </w:r>
      <w:proofErr w:type="gramEnd"/>
      <w:r w:rsidRPr="00D17C04">
        <w:rPr>
          <w:color w:val="auto"/>
        </w:rPr>
        <w:t xml:space="preserve"> damages in </w:t>
      </w:r>
      <w:r w:rsidRPr="00D17C04">
        <w:rPr>
          <w:i/>
          <w:color w:val="auto"/>
        </w:rPr>
        <w:t xml:space="preserve">lieu </w:t>
      </w:r>
      <w:r w:rsidRPr="00D17C04">
        <w:rPr>
          <w:color w:val="auto"/>
        </w:rPr>
        <w:t xml:space="preserve">of reinstatement to be agreed upon by the parties failing which either party can approach the Tribunal for quantification.”  </w:t>
      </w:r>
    </w:p>
    <w:p w:rsidR="00986371" w:rsidRDefault="00986371" w:rsidP="00D17C04">
      <w:pPr>
        <w:rPr>
          <w:color w:val="auto"/>
        </w:rPr>
      </w:pPr>
    </w:p>
    <w:p w:rsidR="00D17C04" w:rsidRDefault="00D17C04" w:rsidP="00D17C04">
      <w:pPr>
        <w:rPr>
          <w:color w:val="auto"/>
        </w:rPr>
      </w:pPr>
    </w:p>
    <w:p w:rsidR="00D17C04" w:rsidRPr="00D17C04" w:rsidRDefault="00D17C04" w:rsidP="00D17C04">
      <w:pPr>
        <w:rPr>
          <w:b/>
          <w:i/>
          <w:color w:val="auto"/>
        </w:rPr>
      </w:pPr>
      <w:r w:rsidRPr="00D17C04">
        <w:rPr>
          <w:b/>
          <w:i/>
          <w:color w:val="auto"/>
        </w:rPr>
        <w:t xml:space="preserve">M.C. </w:t>
      </w:r>
      <w:proofErr w:type="spellStart"/>
      <w:r w:rsidRPr="00D17C04">
        <w:rPr>
          <w:b/>
          <w:i/>
          <w:color w:val="auto"/>
        </w:rPr>
        <w:t>Mukome</w:t>
      </w:r>
      <w:proofErr w:type="spellEnd"/>
      <w:r w:rsidRPr="00D17C04">
        <w:rPr>
          <w:b/>
          <w:i/>
          <w:color w:val="auto"/>
        </w:rPr>
        <w:t xml:space="preserve"> – respondent’s legal practitioners </w:t>
      </w:r>
    </w:p>
    <w:sectPr w:rsidR="00D17C04" w:rsidRPr="00D17C04" w:rsidSect="00835364">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B23" w:rsidRDefault="00AF0B23" w:rsidP="00A741A7">
      <w:pPr>
        <w:spacing w:before="0" w:after="0" w:line="240" w:lineRule="auto"/>
      </w:pPr>
      <w:r>
        <w:separator/>
      </w:r>
    </w:p>
  </w:endnote>
  <w:endnote w:type="continuationSeparator" w:id="0">
    <w:p w:rsidR="00AF0B23" w:rsidRDefault="00AF0B23" w:rsidP="00A741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902760"/>
      <w:docPartObj>
        <w:docPartGallery w:val="Page Numbers (Bottom of Page)"/>
        <w:docPartUnique/>
      </w:docPartObj>
    </w:sdtPr>
    <w:sdtEndPr/>
    <w:sdtContent>
      <w:p w:rsidR="00000C75" w:rsidRDefault="005757E5">
        <w:pPr>
          <w:pStyle w:val="Footer"/>
          <w:jc w:val="center"/>
        </w:pPr>
        <w:r>
          <w:fldChar w:fldCharType="begin"/>
        </w:r>
        <w:r>
          <w:instrText xml:space="preserve"> PAGE   \* MERGEFORMAT </w:instrText>
        </w:r>
        <w:r>
          <w:fldChar w:fldCharType="separate"/>
        </w:r>
        <w:r w:rsidR="00BF490D">
          <w:rPr>
            <w:noProof/>
          </w:rPr>
          <w:t>7</w:t>
        </w:r>
        <w:r>
          <w:rPr>
            <w:noProof/>
          </w:rPr>
          <w:fldChar w:fldCharType="end"/>
        </w:r>
      </w:p>
    </w:sdtContent>
  </w:sdt>
  <w:p w:rsidR="00000C75" w:rsidRDefault="00000C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B23" w:rsidRDefault="00AF0B23" w:rsidP="00A741A7">
      <w:pPr>
        <w:spacing w:before="0" w:after="0" w:line="240" w:lineRule="auto"/>
      </w:pPr>
      <w:r>
        <w:separator/>
      </w:r>
    </w:p>
  </w:footnote>
  <w:footnote w:type="continuationSeparator" w:id="0">
    <w:p w:rsidR="00AF0B23" w:rsidRDefault="00AF0B23" w:rsidP="00A741A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64" w:rsidRDefault="00835364">
    <w:pPr>
      <w:pStyle w:val="Header"/>
    </w:pPr>
  </w:p>
  <w:p w:rsidR="00835364" w:rsidRDefault="00835364">
    <w:pPr>
      <w:pStyle w:val="Header"/>
    </w:pPr>
    <w:r>
      <w:rPr>
        <w:b/>
      </w:rPr>
      <w:tab/>
    </w:r>
    <w:r>
      <w:rPr>
        <w:b/>
      </w:rPr>
      <w:tab/>
    </w:r>
    <w:r w:rsidRPr="00835364">
      <w:rPr>
        <w:b/>
      </w:rPr>
      <w:t>JUDGEMENT NO LC/MC/</w:t>
    </w:r>
    <w:r w:rsidR="00650929">
      <w:rPr>
        <w:b/>
      </w:rPr>
      <w:t>05</w:t>
    </w:r>
    <w:r w:rsidRPr="00835364">
      <w:rPr>
        <w:b/>
      </w:rPr>
      <w:t xml:space="preserve">/16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64" w:rsidRDefault="00835364">
    <w:pPr>
      <w:pStyle w:val="Header"/>
    </w:pPr>
  </w:p>
  <w:p w:rsidR="00000C75" w:rsidRPr="009D188E" w:rsidRDefault="00835364">
    <w:pPr>
      <w:pStyle w:val="Header"/>
      <w:rPr>
        <w:color w:val="auto"/>
      </w:rPr>
    </w:pPr>
    <w:r>
      <w:rPr>
        <w:b/>
        <w:color w:val="auto"/>
      </w:rPr>
      <w:tab/>
    </w:r>
    <w:r>
      <w:rPr>
        <w:b/>
        <w:color w:val="auto"/>
      </w:rPr>
      <w:tab/>
    </w:r>
    <w:r w:rsidRPr="00835364">
      <w:rPr>
        <w:b/>
        <w:color w:val="auto"/>
      </w:rPr>
      <w:t xml:space="preserve">JUDGEMENT NO LC/MC/---/16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D35C4"/>
    <w:multiLevelType w:val="hybridMultilevel"/>
    <w:tmpl w:val="40F8E922"/>
    <w:lvl w:ilvl="0" w:tplc="1918EFC0">
      <w:start w:val="1"/>
      <w:numFmt w:val="decimal"/>
      <w:lvlText w:val="%1)"/>
      <w:lvlJc w:val="left"/>
      <w:pPr>
        <w:ind w:left="720" w:hanging="360"/>
      </w:pPr>
      <w:rPr>
        <w:rFonts w:cs="Tahoma"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6BC5FA3"/>
    <w:multiLevelType w:val="hybridMultilevel"/>
    <w:tmpl w:val="50400E38"/>
    <w:lvl w:ilvl="0" w:tplc="AA1A4EA4">
      <w:numFmt w:val="bullet"/>
      <w:lvlText w:val="-"/>
      <w:lvlJc w:val="left"/>
      <w:pPr>
        <w:ind w:left="6120" w:hanging="360"/>
      </w:pPr>
      <w:rPr>
        <w:rFonts w:ascii="Tahoma" w:eastAsiaTheme="minorHAnsi" w:hAnsi="Tahoma" w:cs="Tahoma" w:hint="default"/>
      </w:rPr>
    </w:lvl>
    <w:lvl w:ilvl="1" w:tplc="30090003" w:tentative="1">
      <w:start w:val="1"/>
      <w:numFmt w:val="bullet"/>
      <w:lvlText w:val="o"/>
      <w:lvlJc w:val="left"/>
      <w:pPr>
        <w:ind w:left="6840" w:hanging="360"/>
      </w:pPr>
      <w:rPr>
        <w:rFonts w:ascii="Courier New" w:hAnsi="Courier New" w:cs="Courier New" w:hint="default"/>
      </w:rPr>
    </w:lvl>
    <w:lvl w:ilvl="2" w:tplc="30090005" w:tentative="1">
      <w:start w:val="1"/>
      <w:numFmt w:val="bullet"/>
      <w:lvlText w:val=""/>
      <w:lvlJc w:val="left"/>
      <w:pPr>
        <w:ind w:left="7560" w:hanging="360"/>
      </w:pPr>
      <w:rPr>
        <w:rFonts w:ascii="Wingdings" w:hAnsi="Wingdings" w:hint="default"/>
      </w:rPr>
    </w:lvl>
    <w:lvl w:ilvl="3" w:tplc="30090001" w:tentative="1">
      <w:start w:val="1"/>
      <w:numFmt w:val="bullet"/>
      <w:lvlText w:val=""/>
      <w:lvlJc w:val="left"/>
      <w:pPr>
        <w:ind w:left="8280" w:hanging="360"/>
      </w:pPr>
      <w:rPr>
        <w:rFonts w:ascii="Symbol" w:hAnsi="Symbol" w:hint="default"/>
      </w:rPr>
    </w:lvl>
    <w:lvl w:ilvl="4" w:tplc="30090003" w:tentative="1">
      <w:start w:val="1"/>
      <w:numFmt w:val="bullet"/>
      <w:lvlText w:val="o"/>
      <w:lvlJc w:val="left"/>
      <w:pPr>
        <w:ind w:left="9000" w:hanging="360"/>
      </w:pPr>
      <w:rPr>
        <w:rFonts w:ascii="Courier New" w:hAnsi="Courier New" w:cs="Courier New" w:hint="default"/>
      </w:rPr>
    </w:lvl>
    <w:lvl w:ilvl="5" w:tplc="30090005" w:tentative="1">
      <w:start w:val="1"/>
      <w:numFmt w:val="bullet"/>
      <w:lvlText w:val=""/>
      <w:lvlJc w:val="left"/>
      <w:pPr>
        <w:ind w:left="9720" w:hanging="360"/>
      </w:pPr>
      <w:rPr>
        <w:rFonts w:ascii="Wingdings" w:hAnsi="Wingdings" w:hint="default"/>
      </w:rPr>
    </w:lvl>
    <w:lvl w:ilvl="6" w:tplc="30090001" w:tentative="1">
      <w:start w:val="1"/>
      <w:numFmt w:val="bullet"/>
      <w:lvlText w:val=""/>
      <w:lvlJc w:val="left"/>
      <w:pPr>
        <w:ind w:left="10440" w:hanging="360"/>
      </w:pPr>
      <w:rPr>
        <w:rFonts w:ascii="Symbol" w:hAnsi="Symbol" w:hint="default"/>
      </w:rPr>
    </w:lvl>
    <w:lvl w:ilvl="7" w:tplc="30090003" w:tentative="1">
      <w:start w:val="1"/>
      <w:numFmt w:val="bullet"/>
      <w:lvlText w:val="o"/>
      <w:lvlJc w:val="left"/>
      <w:pPr>
        <w:ind w:left="11160" w:hanging="360"/>
      </w:pPr>
      <w:rPr>
        <w:rFonts w:ascii="Courier New" w:hAnsi="Courier New" w:cs="Courier New" w:hint="default"/>
      </w:rPr>
    </w:lvl>
    <w:lvl w:ilvl="8" w:tplc="30090005" w:tentative="1">
      <w:start w:val="1"/>
      <w:numFmt w:val="bullet"/>
      <w:lvlText w:val=""/>
      <w:lvlJc w:val="left"/>
      <w:pPr>
        <w:ind w:left="11880" w:hanging="360"/>
      </w:pPr>
      <w:rPr>
        <w:rFonts w:ascii="Wingdings" w:hAnsi="Wingdings" w:hint="default"/>
      </w:rPr>
    </w:lvl>
  </w:abstractNum>
  <w:abstractNum w:abstractNumId="2">
    <w:nsid w:val="237E41F6"/>
    <w:multiLevelType w:val="hybridMultilevel"/>
    <w:tmpl w:val="5602E9D2"/>
    <w:lvl w:ilvl="0" w:tplc="AAF61B7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2873757B"/>
    <w:multiLevelType w:val="hybridMultilevel"/>
    <w:tmpl w:val="9C2A8C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9AE3525"/>
    <w:multiLevelType w:val="hybridMultilevel"/>
    <w:tmpl w:val="D7FA111A"/>
    <w:lvl w:ilvl="0" w:tplc="A6A812C0">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ECE3578"/>
    <w:multiLevelType w:val="hybridMultilevel"/>
    <w:tmpl w:val="7F1E135C"/>
    <w:lvl w:ilvl="0" w:tplc="A20C502E">
      <w:start w:val="1"/>
      <w:numFmt w:val="decimal"/>
      <w:lvlText w:val="%1."/>
      <w:lvlJc w:val="left"/>
      <w:pPr>
        <w:ind w:left="360" w:hanging="360"/>
      </w:pPr>
      <w:rPr>
        <w:rFonts w:cs="Tahoma"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6">
    <w:nsid w:val="4EA6086F"/>
    <w:multiLevelType w:val="hybridMultilevel"/>
    <w:tmpl w:val="793A3260"/>
    <w:lvl w:ilvl="0" w:tplc="9A80BADE">
      <w:start w:val="1"/>
      <w:numFmt w:val="decimal"/>
      <w:lvlText w:val="%1."/>
      <w:lvlJc w:val="left"/>
      <w:pPr>
        <w:ind w:left="360" w:hanging="360"/>
      </w:pPr>
      <w:rPr>
        <w:rFonts w:cs="Tahoma"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7">
    <w:nsid w:val="5D8B75D1"/>
    <w:multiLevelType w:val="hybridMultilevel"/>
    <w:tmpl w:val="68866320"/>
    <w:lvl w:ilvl="0" w:tplc="D818A37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6"/>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12"/>
    <w:rsid w:val="00000C75"/>
    <w:rsid w:val="00013FF2"/>
    <w:rsid w:val="00020EF3"/>
    <w:rsid w:val="00065581"/>
    <w:rsid w:val="00083106"/>
    <w:rsid w:val="00091CFA"/>
    <w:rsid w:val="00093F2E"/>
    <w:rsid w:val="000C59BA"/>
    <w:rsid w:val="000F1B6E"/>
    <w:rsid w:val="00101CE5"/>
    <w:rsid w:val="00111FFA"/>
    <w:rsid w:val="00131EFB"/>
    <w:rsid w:val="001767DE"/>
    <w:rsid w:val="001928A1"/>
    <w:rsid w:val="00212CC8"/>
    <w:rsid w:val="00233207"/>
    <w:rsid w:val="00260D99"/>
    <w:rsid w:val="002F5222"/>
    <w:rsid w:val="0031349F"/>
    <w:rsid w:val="00325728"/>
    <w:rsid w:val="003316FB"/>
    <w:rsid w:val="0034367F"/>
    <w:rsid w:val="003460F2"/>
    <w:rsid w:val="00364C58"/>
    <w:rsid w:val="003B36C9"/>
    <w:rsid w:val="003D14D2"/>
    <w:rsid w:val="003E4B4F"/>
    <w:rsid w:val="00415657"/>
    <w:rsid w:val="0042577E"/>
    <w:rsid w:val="00426898"/>
    <w:rsid w:val="0043117B"/>
    <w:rsid w:val="0046543B"/>
    <w:rsid w:val="00467CAA"/>
    <w:rsid w:val="0047468C"/>
    <w:rsid w:val="00496B8A"/>
    <w:rsid w:val="004B159C"/>
    <w:rsid w:val="004C4B8F"/>
    <w:rsid w:val="00504DFB"/>
    <w:rsid w:val="00523AFA"/>
    <w:rsid w:val="00523BA6"/>
    <w:rsid w:val="00527612"/>
    <w:rsid w:val="005336BA"/>
    <w:rsid w:val="00547360"/>
    <w:rsid w:val="005630DC"/>
    <w:rsid w:val="005636D2"/>
    <w:rsid w:val="005757E5"/>
    <w:rsid w:val="00597946"/>
    <w:rsid w:val="005C5303"/>
    <w:rsid w:val="005C58EB"/>
    <w:rsid w:val="005F70AD"/>
    <w:rsid w:val="00601171"/>
    <w:rsid w:val="00610032"/>
    <w:rsid w:val="00650929"/>
    <w:rsid w:val="00652E6E"/>
    <w:rsid w:val="006571A2"/>
    <w:rsid w:val="00675FEA"/>
    <w:rsid w:val="006970EB"/>
    <w:rsid w:val="006C1486"/>
    <w:rsid w:val="006C1FF4"/>
    <w:rsid w:val="006D391B"/>
    <w:rsid w:val="006F1A31"/>
    <w:rsid w:val="00710C8A"/>
    <w:rsid w:val="00726CD4"/>
    <w:rsid w:val="00735F9F"/>
    <w:rsid w:val="0074490F"/>
    <w:rsid w:val="007523CE"/>
    <w:rsid w:val="00752FD6"/>
    <w:rsid w:val="0075349A"/>
    <w:rsid w:val="00766326"/>
    <w:rsid w:val="00773E64"/>
    <w:rsid w:val="007B5C1F"/>
    <w:rsid w:val="007E5085"/>
    <w:rsid w:val="00814AAD"/>
    <w:rsid w:val="0083053A"/>
    <w:rsid w:val="00835364"/>
    <w:rsid w:val="00846196"/>
    <w:rsid w:val="00847844"/>
    <w:rsid w:val="00873C2C"/>
    <w:rsid w:val="00885B13"/>
    <w:rsid w:val="008871B5"/>
    <w:rsid w:val="00897845"/>
    <w:rsid w:val="008B203E"/>
    <w:rsid w:val="0090084B"/>
    <w:rsid w:val="009070D5"/>
    <w:rsid w:val="009171C9"/>
    <w:rsid w:val="00940C15"/>
    <w:rsid w:val="009536AF"/>
    <w:rsid w:val="0096702C"/>
    <w:rsid w:val="00976FB5"/>
    <w:rsid w:val="00977A88"/>
    <w:rsid w:val="00982AA9"/>
    <w:rsid w:val="00986371"/>
    <w:rsid w:val="009A1425"/>
    <w:rsid w:val="009D188E"/>
    <w:rsid w:val="009E1924"/>
    <w:rsid w:val="009E2056"/>
    <w:rsid w:val="009F7DD5"/>
    <w:rsid w:val="00A02271"/>
    <w:rsid w:val="00A15C5F"/>
    <w:rsid w:val="00A267DE"/>
    <w:rsid w:val="00A67EFE"/>
    <w:rsid w:val="00A741A7"/>
    <w:rsid w:val="00A87B2C"/>
    <w:rsid w:val="00AB3597"/>
    <w:rsid w:val="00AD0529"/>
    <w:rsid w:val="00AE1E4D"/>
    <w:rsid w:val="00AE70E5"/>
    <w:rsid w:val="00AF0B23"/>
    <w:rsid w:val="00AF1243"/>
    <w:rsid w:val="00B00F6D"/>
    <w:rsid w:val="00B34B00"/>
    <w:rsid w:val="00B601A0"/>
    <w:rsid w:val="00B8659B"/>
    <w:rsid w:val="00B9653C"/>
    <w:rsid w:val="00BE6E11"/>
    <w:rsid w:val="00BF490D"/>
    <w:rsid w:val="00BF7674"/>
    <w:rsid w:val="00C10051"/>
    <w:rsid w:val="00C108A5"/>
    <w:rsid w:val="00C10B03"/>
    <w:rsid w:val="00C352A3"/>
    <w:rsid w:val="00C563E7"/>
    <w:rsid w:val="00C63EFE"/>
    <w:rsid w:val="00C7542A"/>
    <w:rsid w:val="00C838A1"/>
    <w:rsid w:val="00C91FDC"/>
    <w:rsid w:val="00CA0FC3"/>
    <w:rsid w:val="00CB1901"/>
    <w:rsid w:val="00CC2341"/>
    <w:rsid w:val="00CC390D"/>
    <w:rsid w:val="00CC4B59"/>
    <w:rsid w:val="00CF1090"/>
    <w:rsid w:val="00CF6EC2"/>
    <w:rsid w:val="00D0286F"/>
    <w:rsid w:val="00D04B43"/>
    <w:rsid w:val="00D17C04"/>
    <w:rsid w:val="00D44B38"/>
    <w:rsid w:val="00D50394"/>
    <w:rsid w:val="00D6584D"/>
    <w:rsid w:val="00D667C6"/>
    <w:rsid w:val="00D82E99"/>
    <w:rsid w:val="00D830CC"/>
    <w:rsid w:val="00DB3048"/>
    <w:rsid w:val="00DB6390"/>
    <w:rsid w:val="00DC0B6B"/>
    <w:rsid w:val="00DC3527"/>
    <w:rsid w:val="00DC4654"/>
    <w:rsid w:val="00DD2905"/>
    <w:rsid w:val="00DE1587"/>
    <w:rsid w:val="00E1584A"/>
    <w:rsid w:val="00E22C1A"/>
    <w:rsid w:val="00E409F6"/>
    <w:rsid w:val="00E50B40"/>
    <w:rsid w:val="00E51D89"/>
    <w:rsid w:val="00E65E70"/>
    <w:rsid w:val="00E66E9D"/>
    <w:rsid w:val="00E71F8D"/>
    <w:rsid w:val="00EA2BDD"/>
    <w:rsid w:val="00EB2C00"/>
    <w:rsid w:val="00EC682E"/>
    <w:rsid w:val="00EF218B"/>
    <w:rsid w:val="00F106C2"/>
    <w:rsid w:val="00F81D22"/>
    <w:rsid w:val="00FC2C50"/>
    <w:rsid w:val="00FD0CE7"/>
    <w:rsid w:val="00FE4F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F3"/>
    <w:pPr>
      <w:spacing w:before="120" w:after="240" w:line="360" w:lineRule="auto"/>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CC4B59"/>
    <w:pPr>
      <w:spacing w:before="120" w:after="320" w:line="240" w:lineRule="auto"/>
    </w:pPr>
    <w:rPr>
      <w:rFonts w:ascii="Tahoma" w:eastAsiaTheme="minorEastAsia" w:hAnsi="Tahoma"/>
      <w:lang w:val="en-US"/>
    </w:rPr>
  </w:style>
  <w:style w:type="character" w:customStyle="1" w:styleId="NoSpacingChar">
    <w:name w:val="No Spacing Char"/>
    <w:basedOn w:val="DefaultParagraphFont"/>
    <w:link w:val="NoSpacing"/>
    <w:uiPriority w:val="1"/>
    <w:rsid w:val="00CC4B59"/>
    <w:rPr>
      <w:rFonts w:ascii="Tahoma" w:eastAsiaTheme="minorEastAsia" w:hAnsi="Tahom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F3"/>
    <w:pPr>
      <w:spacing w:before="120" w:after="240" w:line="360" w:lineRule="auto"/>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CC4B59"/>
    <w:pPr>
      <w:spacing w:before="120" w:after="320" w:line="240" w:lineRule="auto"/>
    </w:pPr>
    <w:rPr>
      <w:rFonts w:ascii="Tahoma" w:eastAsiaTheme="minorEastAsia" w:hAnsi="Tahoma"/>
      <w:lang w:val="en-US"/>
    </w:rPr>
  </w:style>
  <w:style w:type="character" w:customStyle="1" w:styleId="NoSpacingChar">
    <w:name w:val="No Spacing Char"/>
    <w:basedOn w:val="DefaultParagraphFont"/>
    <w:link w:val="NoSpacing"/>
    <w:uiPriority w:val="1"/>
    <w:rsid w:val="00CC4B59"/>
    <w:rPr>
      <w:rFonts w:ascii="Tahoma" w:eastAsiaTheme="minorEastAsia" w:hAnsi="Tahom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4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1914</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HP</cp:lastModifiedBy>
  <cp:revision>3</cp:revision>
  <cp:lastPrinted>2016-03-14T22:18:00Z</cp:lastPrinted>
  <dcterms:created xsi:type="dcterms:W3CDTF">2016-03-14T21:55:00Z</dcterms:created>
  <dcterms:modified xsi:type="dcterms:W3CDTF">2016-03-14T22:19:00Z</dcterms:modified>
</cp:coreProperties>
</file>