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859" w:rsidRPr="00F77EBB" w:rsidRDefault="00EF0859" w:rsidP="00EF0859">
      <w:pPr>
        <w:spacing w:line="480" w:lineRule="auto"/>
        <w:rPr>
          <w:rStyle w:val="SubtleEmphasis"/>
          <w:rFonts w:ascii="Times New Roman" w:hAnsi="Times New Roman" w:cs="Times New Roman"/>
          <w:b/>
          <w:i w:val="0"/>
          <w:iCs w:val="0"/>
          <w:sz w:val="24"/>
          <w:szCs w:val="24"/>
        </w:rPr>
      </w:pPr>
      <w:bookmarkStart w:id="0" w:name="_GoBack"/>
      <w:bookmarkEnd w:id="0"/>
      <w:r w:rsidRPr="001E2942">
        <w:rPr>
          <w:rFonts w:ascii="Times New Roman" w:hAnsi="Times New Roman" w:cs="Times New Roman"/>
          <w:b/>
          <w:sz w:val="24"/>
          <w:szCs w:val="24"/>
          <w:u w:val="single"/>
        </w:rPr>
        <w:t xml:space="preserve">REPORTABLE </w:t>
      </w:r>
      <w:r>
        <w:rPr>
          <w:rFonts w:ascii="Times New Roman" w:hAnsi="Times New Roman" w:cs="Times New Roman"/>
          <w:b/>
          <w:sz w:val="24"/>
          <w:szCs w:val="24"/>
        </w:rPr>
        <w:tab/>
        <w:t>(73)</w:t>
      </w:r>
      <w:r w:rsidRPr="001E2942">
        <w:rPr>
          <w:rFonts w:ascii="Times New Roman" w:hAnsi="Times New Roman" w:cs="Times New Roman"/>
          <w:b/>
          <w:sz w:val="24"/>
          <w:szCs w:val="24"/>
        </w:rPr>
        <w:t xml:space="preserve">  </w:t>
      </w:r>
    </w:p>
    <w:p w:rsidR="002F1789" w:rsidRDefault="002F1789" w:rsidP="0026456D">
      <w:pPr>
        <w:spacing w:after="0" w:line="240" w:lineRule="auto"/>
        <w:jc w:val="center"/>
        <w:rPr>
          <w:rFonts w:ascii="Times New Roman" w:hAnsi="Times New Roman" w:cs="Times New Roman"/>
          <w:b/>
          <w:sz w:val="24"/>
          <w:szCs w:val="24"/>
        </w:rPr>
      </w:pPr>
    </w:p>
    <w:p w:rsidR="000F6153" w:rsidRPr="00936E59" w:rsidRDefault="0026456D" w:rsidP="0026456D">
      <w:pPr>
        <w:spacing w:after="0" w:line="240" w:lineRule="auto"/>
        <w:jc w:val="center"/>
        <w:rPr>
          <w:rFonts w:ascii="Times New Roman" w:hAnsi="Times New Roman" w:cs="Times New Roman"/>
          <w:b/>
          <w:sz w:val="24"/>
          <w:szCs w:val="24"/>
        </w:rPr>
      </w:pPr>
      <w:r w:rsidRPr="00936E59">
        <w:rPr>
          <w:rFonts w:ascii="Times New Roman" w:hAnsi="Times New Roman" w:cs="Times New Roman"/>
          <w:b/>
          <w:sz w:val="24"/>
          <w:szCs w:val="24"/>
        </w:rPr>
        <w:t xml:space="preserve">AFRASIA     </w:t>
      </w:r>
      <w:r w:rsidR="003143FF" w:rsidRPr="00936E59">
        <w:rPr>
          <w:rFonts w:ascii="Times New Roman" w:hAnsi="Times New Roman" w:cs="Times New Roman"/>
          <w:b/>
          <w:sz w:val="24"/>
          <w:szCs w:val="24"/>
        </w:rPr>
        <w:t xml:space="preserve">BANK </w:t>
      </w:r>
      <w:r w:rsidRPr="00936E59">
        <w:rPr>
          <w:rFonts w:ascii="Times New Roman" w:hAnsi="Times New Roman" w:cs="Times New Roman"/>
          <w:b/>
          <w:sz w:val="24"/>
          <w:szCs w:val="24"/>
        </w:rPr>
        <w:t xml:space="preserve">    </w:t>
      </w:r>
      <w:r w:rsidR="003143FF" w:rsidRPr="00936E59">
        <w:rPr>
          <w:rFonts w:ascii="Times New Roman" w:hAnsi="Times New Roman" w:cs="Times New Roman"/>
          <w:b/>
          <w:sz w:val="24"/>
          <w:szCs w:val="24"/>
        </w:rPr>
        <w:t xml:space="preserve">ZIMBABWE </w:t>
      </w:r>
      <w:r w:rsidRPr="00936E59">
        <w:rPr>
          <w:rFonts w:ascii="Times New Roman" w:hAnsi="Times New Roman" w:cs="Times New Roman"/>
          <w:b/>
          <w:sz w:val="24"/>
          <w:szCs w:val="24"/>
        </w:rPr>
        <w:t xml:space="preserve">    </w:t>
      </w:r>
      <w:r w:rsidR="003143FF" w:rsidRPr="00936E59">
        <w:rPr>
          <w:rFonts w:ascii="Times New Roman" w:hAnsi="Times New Roman" w:cs="Times New Roman"/>
          <w:b/>
          <w:sz w:val="24"/>
          <w:szCs w:val="24"/>
        </w:rPr>
        <w:t xml:space="preserve">LIMITED </w:t>
      </w:r>
      <w:r w:rsidRPr="00936E59">
        <w:rPr>
          <w:rFonts w:ascii="Times New Roman" w:hAnsi="Times New Roman" w:cs="Times New Roman"/>
          <w:b/>
          <w:sz w:val="24"/>
          <w:szCs w:val="24"/>
        </w:rPr>
        <w:t xml:space="preserve">    </w:t>
      </w:r>
      <w:r w:rsidR="003143FF" w:rsidRPr="00936E59">
        <w:rPr>
          <w:rFonts w:ascii="Times New Roman" w:hAnsi="Times New Roman" w:cs="Times New Roman"/>
          <w:b/>
          <w:sz w:val="24"/>
          <w:szCs w:val="24"/>
        </w:rPr>
        <w:t xml:space="preserve">(UNDER </w:t>
      </w:r>
      <w:r w:rsidRPr="00936E59">
        <w:rPr>
          <w:rFonts w:ascii="Times New Roman" w:hAnsi="Times New Roman" w:cs="Times New Roman"/>
          <w:b/>
          <w:sz w:val="24"/>
          <w:szCs w:val="24"/>
        </w:rPr>
        <w:t xml:space="preserve">   </w:t>
      </w:r>
      <w:r w:rsidR="003143FF" w:rsidRPr="00936E59">
        <w:rPr>
          <w:rFonts w:ascii="Times New Roman" w:hAnsi="Times New Roman" w:cs="Times New Roman"/>
          <w:b/>
          <w:sz w:val="24"/>
          <w:szCs w:val="24"/>
        </w:rPr>
        <w:t>LIQUIDATION)</w:t>
      </w:r>
    </w:p>
    <w:p w:rsidR="000F6153" w:rsidRPr="00936E59" w:rsidRDefault="009452CB" w:rsidP="0026456D">
      <w:pPr>
        <w:spacing w:after="0" w:line="240" w:lineRule="auto"/>
        <w:jc w:val="center"/>
        <w:rPr>
          <w:rFonts w:ascii="Times New Roman" w:hAnsi="Times New Roman" w:cs="Times New Roman"/>
          <w:b/>
          <w:sz w:val="24"/>
          <w:szCs w:val="24"/>
        </w:rPr>
      </w:pPr>
      <w:r w:rsidRPr="00936E59">
        <w:rPr>
          <w:rFonts w:ascii="Times New Roman" w:hAnsi="Times New Roman" w:cs="Times New Roman"/>
          <w:b/>
          <w:sz w:val="24"/>
          <w:szCs w:val="24"/>
        </w:rPr>
        <w:t>v</w:t>
      </w:r>
    </w:p>
    <w:p w:rsidR="0071786D" w:rsidRPr="00936E59" w:rsidRDefault="003143FF" w:rsidP="0026456D">
      <w:pPr>
        <w:spacing w:after="0" w:line="240" w:lineRule="auto"/>
        <w:jc w:val="center"/>
        <w:rPr>
          <w:rFonts w:ascii="Times New Roman" w:hAnsi="Times New Roman" w:cs="Times New Roman"/>
          <w:b/>
          <w:sz w:val="24"/>
          <w:szCs w:val="24"/>
        </w:rPr>
      </w:pPr>
      <w:r w:rsidRPr="00936E59">
        <w:rPr>
          <w:rFonts w:ascii="Times New Roman" w:hAnsi="Times New Roman" w:cs="Times New Roman"/>
          <w:b/>
          <w:sz w:val="24"/>
          <w:szCs w:val="24"/>
        </w:rPr>
        <w:t xml:space="preserve">RIOZIM </w:t>
      </w:r>
      <w:r w:rsidR="0026456D" w:rsidRPr="00936E59">
        <w:rPr>
          <w:rFonts w:ascii="Times New Roman" w:hAnsi="Times New Roman" w:cs="Times New Roman"/>
          <w:b/>
          <w:sz w:val="24"/>
          <w:szCs w:val="24"/>
        </w:rPr>
        <w:t xml:space="preserve">    </w:t>
      </w:r>
      <w:r w:rsidRPr="00936E59">
        <w:rPr>
          <w:rFonts w:ascii="Times New Roman" w:hAnsi="Times New Roman" w:cs="Times New Roman"/>
          <w:b/>
          <w:sz w:val="24"/>
          <w:szCs w:val="24"/>
        </w:rPr>
        <w:t>LIMITED</w:t>
      </w:r>
    </w:p>
    <w:p w:rsidR="009452CB" w:rsidRPr="00936E59" w:rsidRDefault="009452CB" w:rsidP="009452CB">
      <w:pPr>
        <w:spacing w:after="0" w:line="480" w:lineRule="auto"/>
        <w:jc w:val="center"/>
        <w:rPr>
          <w:rFonts w:ascii="Times New Roman" w:hAnsi="Times New Roman" w:cs="Times New Roman"/>
          <w:b/>
          <w:sz w:val="24"/>
          <w:szCs w:val="24"/>
        </w:rPr>
      </w:pPr>
    </w:p>
    <w:p w:rsidR="009463A6" w:rsidRPr="00936E59" w:rsidRDefault="009463A6" w:rsidP="009463A6">
      <w:pPr>
        <w:spacing w:after="0" w:line="240" w:lineRule="auto"/>
        <w:jc w:val="both"/>
        <w:rPr>
          <w:rFonts w:ascii="Times New Roman" w:hAnsi="Times New Roman" w:cs="Times New Roman"/>
          <w:b/>
          <w:sz w:val="24"/>
          <w:szCs w:val="24"/>
        </w:rPr>
      </w:pPr>
    </w:p>
    <w:p w:rsidR="00D65481" w:rsidRPr="00936E59" w:rsidRDefault="00D65481" w:rsidP="009463A6">
      <w:pPr>
        <w:spacing w:after="0" w:line="240" w:lineRule="auto"/>
        <w:jc w:val="both"/>
        <w:rPr>
          <w:rFonts w:ascii="Times New Roman" w:hAnsi="Times New Roman" w:cs="Times New Roman"/>
          <w:b/>
          <w:sz w:val="24"/>
          <w:szCs w:val="24"/>
        </w:rPr>
      </w:pPr>
      <w:r w:rsidRPr="00936E59">
        <w:rPr>
          <w:rFonts w:ascii="Times New Roman" w:hAnsi="Times New Roman" w:cs="Times New Roman"/>
          <w:b/>
          <w:sz w:val="24"/>
          <w:szCs w:val="24"/>
        </w:rPr>
        <w:t>SUPREME COURT OF ZIMBABWE</w:t>
      </w:r>
    </w:p>
    <w:p w:rsidR="00D65481" w:rsidRPr="00936E59" w:rsidRDefault="00D65481" w:rsidP="009463A6">
      <w:pPr>
        <w:spacing w:after="0" w:line="240" w:lineRule="auto"/>
        <w:jc w:val="both"/>
        <w:rPr>
          <w:rFonts w:ascii="Times New Roman" w:hAnsi="Times New Roman" w:cs="Times New Roman"/>
          <w:b/>
          <w:sz w:val="24"/>
          <w:szCs w:val="24"/>
        </w:rPr>
      </w:pPr>
      <w:r w:rsidRPr="00936E59">
        <w:rPr>
          <w:rFonts w:ascii="Times New Roman" w:hAnsi="Times New Roman" w:cs="Times New Roman"/>
          <w:b/>
          <w:sz w:val="24"/>
          <w:szCs w:val="24"/>
        </w:rPr>
        <w:t>GWAUNZA DCJ, PATEL JA &amp; BERE JA</w:t>
      </w:r>
    </w:p>
    <w:p w:rsidR="00D65481" w:rsidRPr="00936E59" w:rsidRDefault="00D65481" w:rsidP="009463A6">
      <w:pPr>
        <w:spacing w:after="0" w:line="240" w:lineRule="auto"/>
        <w:jc w:val="both"/>
        <w:rPr>
          <w:rFonts w:ascii="Times New Roman" w:hAnsi="Times New Roman" w:cs="Times New Roman"/>
          <w:b/>
          <w:sz w:val="24"/>
          <w:szCs w:val="24"/>
        </w:rPr>
      </w:pPr>
      <w:r w:rsidRPr="00936E59">
        <w:rPr>
          <w:rFonts w:ascii="Times New Roman" w:hAnsi="Times New Roman" w:cs="Times New Roman"/>
          <w:b/>
          <w:sz w:val="24"/>
          <w:szCs w:val="24"/>
        </w:rPr>
        <w:t>HARARE, JUNE 5, 2018 &amp;</w:t>
      </w:r>
      <w:r w:rsidR="00F3743C" w:rsidRPr="00936E59">
        <w:rPr>
          <w:rFonts w:ascii="Times New Roman" w:hAnsi="Times New Roman" w:cs="Times New Roman"/>
          <w:b/>
          <w:sz w:val="24"/>
          <w:szCs w:val="24"/>
        </w:rPr>
        <w:t xml:space="preserve"> </w:t>
      </w:r>
      <w:r w:rsidR="00C14FED" w:rsidRPr="00936E59">
        <w:rPr>
          <w:rFonts w:ascii="Times New Roman" w:hAnsi="Times New Roman" w:cs="Times New Roman"/>
          <w:b/>
          <w:sz w:val="24"/>
          <w:szCs w:val="24"/>
        </w:rPr>
        <w:t>OCTOBER</w:t>
      </w:r>
      <w:r w:rsidR="009452CB" w:rsidRPr="00936E59">
        <w:rPr>
          <w:rFonts w:ascii="Times New Roman" w:hAnsi="Times New Roman" w:cs="Times New Roman"/>
          <w:b/>
          <w:sz w:val="24"/>
          <w:szCs w:val="24"/>
        </w:rPr>
        <w:t xml:space="preserve"> </w:t>
      </w:r>
      <w:r w:rsidR="00C14FED" w:rsidRPr="00936E59">
        <w:rPr>
          <w:rFonts w:ascii="Times New Roman" w:hAnsi="Times New Roman" w:cs="Times New Roman"/>
          <w:b/>
          <w:sz w:val="24"/>
          <w:szCs w:val="24"/>
        </w:rPr>
        <w:t>4</w:t>
      </w:r>
      <w:r w:rsidR="009452CB" w:rsidRPr="00936E59">
        <w:rPr>
          <w:rFonts w:ascii="Times New Roman" w:hAnsi="Times New Roman" w:cs="Times New Roman"/>
          <w:b/>
          <w:sz w:val="24"/>
          <w:szCs w:val="24"/>
        </w:rPr>
        <w:t xml:space="preserve">, </w:t>
      </w:r>
      <w:r w:rsidR="00FE4D46" w:rsidRPr="00936E59">
        <w:rPr>
          <w:rFonts w:ascii="Times New Roman" w:hAnsi="Times New Roman" w:cs="Times New Roman"/>
          <w:b/>
          <w:sz w:val="24"/>
          <w:szCs w:val="24"/>
        </w:rPr>
        <w:t>2019</w:t>
      </w:r>
    </w:p>
    <w:p w:rsidR="009463A6" w:rsidRPr="00936E59" w:rsidRDefault="009463A6" w:rsidP="009452CB">
      <w:pPr>
        <w:spacing w:after="0" w:line="480" w:lineRule="auto"/>
        <w:jc w:val="both"/>
        <w:rPr>
          <w:rFonts w:ascii="Times New Roman" w:hAnsi="Times New Roman" w:cs="Times New Roman"/>
          <w:sz w:val="24"/>
          <w:szCs w:val="24"/>
        </w:rPr>
      </w:pPr>
    </w:p>
    <w:p w:rsidR="00321F3C" w:rsidRPr="00936E59" w:rsidRDefault="00321F3C" w:rsidP="00321F3C">
      <w:pPr>
        <w:spacing w:after="0" w:line="240" w:lineRule="auto"/>
        <w:jc w:val="both"/>
        <w:rPr>
          <w:rFonts w:ascii="Times New Roman" w:hAnsi="Times New Roman" w:cs="Times New Roman"/>
          <w:sz w:val="24"/>
          <w:szCs w:val="24"/>
        </w:rPr>
      </w:pPr>
    </w:p>
    <w:p w:rsidR="003143FF" w:rsidRPr="00936E59" w:rsidRDefault="0071786D" w:rsidP="009452CB">
      <w:pPr>
        <w:spacing w:after="0" w:line="480" w:lineRule="auto"/>
        <w:jc w:val="both"/>
        <w:rPr>
          <w:rFonts w:ascii="Times New Roman" w:hAnsi="Times New Roman" w:cs="Times New Roman"/>
          <w:sz w:val="24"/>
          <w:szCs w:val="24"/>
        </w:rPr>
      </w:pPr>
      <w:r w:rsidRPr="00936E59">
        <w:rPr>
          <w:rFonts w:ascii="Times New Roman" w:hAnsi="Times New Roman" w:cs="Times New Roman"/>
          <w:i/>
          <w:sz w:val="24"/>
          <w:szCs w:val="24"/>
        </w:rPr>
        <w:t>F</w:t>
      </w:r>
      <w:r w:rsidR="009452CB" w:rsidRPr="00936E59">
        <w:rPr>
          <w:rFonts w:ascii="Times New Roman" w:hAnsi="Times New Roman" w:cs="Times New Roman"/>
          <w:i/>
          <w:sz w:val="24"/>
          <w:szCs w:val="24"/>
        </w:rPr>
        <w:t>.</w:t>
      </w:r>
      <w:r w:rsidRPr="00936E59">
        <w:rPr>
          <w:rFonts w:ascii="Times New Roman" w:hAnsi="Times New Roman" w:cs="Times New Roman"/>
          <w:i/>
          <w:sz w:val="24"/>
          <w:szCs w:val="24"/>
        </w:rPr>
        <w:t xml:space="preserve"> Siyakurima</w:t>
      </w:r>
      <w:r w:rsidR="00542857" w:rsidRPr="00936E59">
        <w:rPr>
          <w:rFonts w:ascii="Times New Roman" w:hAnsi="Times New Roman" w:cs="Times New Roman"/>
          <w:sz w:val="24"/>
          <w:szCs w:val="24"/>
        </w:rPr>
        <w:t xml:space="preserve">, </w:t>
      </w:r>
      <w:r w:rsidR="003143FF" w:rsidRPr="00936E59">
        <w:rPr>
          <w:rFonts w:ascii="Times New Roman" w:hAnsi="Times New Roman" w:cs="Times New Roman"/>
          <w:sz w:val="24"/>
          <w:szCs w:val="24"/>
        </w:rPr>
        <w:t>for the appellant</w:t>
      </w:r>
    </w:p>
    <w:p w:rsidR="00AE1B05" w:rsidRPr="00936E59" w:rsidRDefault="009452CB" w:rsidP="009452CB">
      <w:pPr>
        <w:spacing w:after="0" w:line="480" w:lineRule="auto"/>
        <w:jc w:val="both"/>
        <w:rPr>
          <w:rFonts w:ascii="Times New Roman" w:hAnsi="Times New Roman" w:cs="Times New Roman"/>
          <w:sz w:val="24"/>
          <w:szCs w:val="24"/>
        </w:rPr>
      </w:pPr>
      <w:r w:rsidRPr="00936E59">
        <w:rPr>
          <w:rFonts w:ascii="Times New Roman" w:hAnsi="Times New Roman" w:cs="Times New Roman"/>
          <w:i/>
          <w:sz w:val="24"/>
          <w:szCs w:val="24"/>
        </w:rPr>
        <w:t xml:space="preserve">T. </w:t>
      </w:r>
      <w:r w:rsidR="00542857" w:rsidRPr="00936E59">
        <w:rPr>
          <w:rFonts w:ascii="Times New Roman" w:hAnsi="Times New Roman" w:cs="Times New Roman"/>
          <w:i/>
          <w:sz w:val="24"/>
          <w:szCs w:val="24"/>
        </w:rPr>
        <w:t xml:space="preserve">Mpofu, </w:t>
      </w:r>
      <w:r w:rsidR="003143FF" w:rsidRPr="00936E59">
        <w:rPr>
          <w:rFonts w:ascii="Times New Roman" w:hAnsi="Times New Roman" w:cs="Times New Roman"/>
          <w:sz w:val="24"/>
          <w:szCs w:val="24"/>
        </w:rPr>
        <w:t>for the respondent</w:t>
      </w:r>
    </w:p>
    <w:p w:rsidR="00887E0B" w:rsidRPr="00936E59" w:rsidRDefault="00887E0B" w:rsidP="00A6690F">
      <w:pPr>
        <w:spacing w:after="0" w:line="480" w:lineRule="auto"/>
        <w:jc w:val="both"/>
        <w:rPr>
          <w:rFonts w:ascii="Times New Roman" w:hAnsi="Times New Roman" w:cs="Times New Roman"/>
          <w:b/>
          <w:sz w:val="24"/>
          <w:szCs w:val="24"/>
        </w:rPr>
      </w:pPr>
    </w:p>
    <w:p w:rsidR="00FE4D46" w:rsidRPr="00936E59" w:rsidRDefault="003143FF" w:rsidP="009452CB">
      <w:pPr>
        <w:spacing w:line="240" w:lineRule="auto"/>
        <w:ind w:firstLine="720"/>
        <w:jc w:val="both"/>
        <w:rPr>
          <w:rFonts w:ascii="Times New Roman" w:hAnsi="Times New Roman" w:cs="Times New Roman"/>
          <w:b/>
          <w:sz w:val="24"/>
          <w:szCs w:val="24"/>
        </w:rPr>
      </w:pPr>
      <w:r w:rsidRPr="00936E59">
        <w:rPr>
          <w:rFonts w:ascii="Times New Roman" w:hAnsi="Times New Roman" w:cs="Times New Roman"/>
          <w:b/>
          <w:sz w:val="24"/>
          <w:szCs w:val="24"/>
        </w:rPr>
        <w:t>GWAUNZA DCJ</w:t>
      </w:r>
    </w:p>
    <w:p w:rsidR="003143FF" w:rsidRPr="00936E59" w:rsidRDefault="00FE4D46" w:rsidP="00FE4D46">
      <w:pPr>
        <w:spacing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w:t>
      </w:r>
      <w:r w:rsidRPr="00936E59">
        <w:rPr>
          <w:rFonts w:ascii="Times New Roman" w:hAnsi="Times New Roman" w:cs="Times New Roman"/>
          <w:b/>
          <w:sz w:val="24"/>
          <w:szCs w:val="24"/>
        </w:rPr>
        <w:t xml:space="preserve"> </w:t>
      </w:r>
      <w:r w:rsidRPr="00936E59">
        <w:rPr>
          <w:rFonts w:ascii="Times New Roman" w:hAnsi="Times New Roman" w:cs="Times New Roman"/>
          <w:b/>
          <w:sz w:val="24"/>
          <w:szCs w:val="24"/>
        </w:rPr>
        <w:tab/>
      </w:r>
      <w:r w:rsidR="003143FF" w:rsidRPr="00936E59">
        <w:rPr>
          <w:rFonts w:ascii="Times New Roman" w:hAnsi="Times New Roman" w:cs="Times New Roman"/>
          <w:sz w:val="24"/>
          <w:szCs w:val="24"/>
        </w:rPr>
        <w:t xml:space="preserve">This is an appeal against the </w:t>
      </w:r>
      <w:r w:rsidR="0026421E" w:rsidRPr="00936E59">
        <w:rPr>
          <w:rFonts w:ascii="Times New Roman" w:hAnsi="Times New Roman" w:cs="Times New Roman"/>
          <w:sz w:val="24"/>
          <w:szCs w:val="24"/>
        </w:rPr>
        <w:t xml:space="preserve">entire </w:t>
      </w:r>
      <w:r w:rsidR="003143FF" w:rsidRPr="00936E59">
        <w:rPr>
          <w:rFonts w:ascii="Times New Roman" w:hAnsi="Times New Roman" w:cs="Times New Roman"/>
          <w:sz w:val="24"/>
          <w:szCs w:val="24"/>
        </w:rPr>
        <w:t xml:space="preserve">judgment of the High Court </w:t>
      </w:r>
      <w:r w:rsidR="00343755">
        <w:rPr>
          <w:rFonts w:ascii="Times New Roman" w:hAnsi="Times New Roman" w:cs="Times New Roman"/>
          <w:sz w:val="24"/>
          <w:szCs w:val="24"/>
        </w:rPr>
        <w:t>handed down on 3 May </w:t>
      </w:r>
      <w:r w:rsidR="007344BD" w:rsidRPr="00936E59">
        <w:rPr>
          <w:rFonts w:ascii="Times New Roman" w:hAnsi="Times New Roman" w:cs="Times New Roman"/>
          <w:sz w:val="24"/>
          <w:szCs w:val="24"/>
        </w:rPr>
        <w:t xml:space="preserve">2017. In that judgment, the High Court dismissed the </w:t>
      </w:r>
      <w:r w:rsidR="003143FF" w:rsidRPr="00936E59">
        <w:rPr>
          <w:rFonts w:ascii="Times New Roman" w:hAnsi="Times New Roman" w:cs="Times New Roman"/>
          <w:sz w:val="24"/>
          <w:szCs w:val="24"/>
        </w:rPr>
        <w:t>appellant’s chamber app</w:t>
      </w:r>
      <w:r w:rsidR="00AE1B05" w:rsidRPr="00936E59">
        <w:rPr>
          <w:rFonts w:ascii="Times New Roman" w:hAnsi="Times New Roman" w:cs="Times New Roman"/>
          <w:sz w:val="24"/>
          <w:szCs w:val="24"/>
        </w:rPr>
        <w:t xml:space="preserve">lication for a default judgment </w:t>
      </w:r>
      <w:r w:rsidR="0026421E" w:rsidRPr="00936E59">
        <w:rPr>
          <w:rFonts w:ascii="Times New Roman" w:hAnsi="Times New Roman" w:cs="Times New Roman"/>
          <w:sz w:val="24"/>
          <w:szCs w:val="24"/>
        </w:rPr>
        <w:t xml:space="preserve">in terms of </w:t>
      </w:r>
      <w:r w:rsidR="00AE1B05" w:rsidRPr="00936E59">
        <w:rPr>
          <w:rFonts w:ascii="Times New Roman" w:hAnsi="Times New Roman" w:cs="Times New Roman"/>
          <w:sz w:val="24"/>
          <w:szCs w:val="24"/>
        </w:rPr>
        <w:t xml:space="preserve">a </w:t>
      </w:r>
      <w:r w:rsidR="0026421E" w:rsidRPr="00936E59">
        <w:rPr>
          <w:rFonts w:ascii="Times New Roman" w:hAnsi="Times New Roman" w:cs="Times New Roman"/>
          <w:sz w:val="24"/>
          <w:szCs w:val="24"/>
        </w:rPr>
        <w:t>D</w:t>
      </w:r>
      <w:r w:rsidR="00AE1B05" w:rsidRPr="00936E59">
        <w:rPr>
          <w:rFonts w:ascii="Times New Roman" w:hAnsi="Times New Roman" w:cs="Times New Roman"/>
          <w:sz w:val="24"/>
          <w:szCs w:val="24"/>
        </w:rPr>
        <w:t xml:space="preserve">eed of </w:t>
      </w:r>
      <w:r w:rsidR="0026421E" w:rsidRPr="00936E59">
        <w:rPr>
          <w:rFonts w:ascii="Times New Roman" w:hAnsi="Times New Roman" w:cs="Times New Roman"/>
          <w:sz w:val="24"/>
          <w:szCs w:val="24"/>
        </w:rPr>
        <w:t>S</w:t>
      </w:r>
      <w:r w:rsidR="00AE1B05" w:rsidRPr="00936E59">
        <w:rPr>
          <w:rFonts w:ascii="Times New Roman" w:hAnsi="Times New Roman" w:cs="Times New Roman"/>
          <w:sz w:val="24"/>
          <w:szCs w:val="24"/>
        </w:rPr>
        <w:t>ettlement.</w:t>
      </w:r>
    </w:p>
    <w:p w:rsidR="009452CB" w:rsidRPr="00936E59" w:rsidRDefault="009452CB" w:rsidP="001730F8">
      <w:pPr>
        <w:spacing w:after="0" w:line="480" w:lineRule="auto"/>
        <w:ind w:left="720" w:hanging="720"/>
        <w:jc w:val="both"/>
        <w:rPr>
          <w:rFonts w:ascii="Times New Roman" w:hAnsi="Times New Roman" w:cs="Times New Roman"/>
          <w:b/>
          <w:sz w:val="24"/>
          <w:szCs w:val="24"/>
        </w:rPr>
      </w:pPr>
    </w:p>
    <w:p w:rsidR="003143FF" w:rsidRPr="00936E59" w:rsidRDefault="003143FF" w:rsidP="009452CB">
      <w:pPr>
        <w:spacing w:after="0" w:line="480" w:lineRule="auto"/>
        <w:ind w:firstLine="720"/>
        <w:jc w:val="both"/>
        <w:rPr>
          <w:rFonts w:ascii="Times New Roman" w:hAnsi="Times New Roman" w:cs="Times New Roman"/>
          <w:b/>
          <w:sz w:val="24"/>
          <w:szCs w:val="24"/>
        </w:rPr>
      </w:pPr>
      <w:r w:rsidRPr="00936E59">
        <w:rPr>
          <w:rFonts w:ascii="Times New Roman" w:hAnsi="Times New Roman" w:cs="Times New Roman"/>
          <w:b/>
          <w:sz w:val="24"/>
          <w:szCs w:val="24"/>
        </w:rPr>
        <w:t>FACTUAL BACKGROUND</w:t>
      </w:r>
    </w:p>
    <w:p w:rsidR="00C14FED" w:rsidRPr="00936E59" w:rsidRDefault="00FE4D46" w:rsidP="00C14FED">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[2]</w:t>
      </w:r>
      <w:r w:rsidRPr="00936E59">
        <w:rPr>
          <w:rFonts w:ascii="Times New Roman" w:hAnsi="Times New Roman" w:cs="Times New Roman"/>
          <w:sz w:val="24"/>
          <w:szCs w:val="24"/>
        </w:rPr>
        <w:tab/>
        <w:t>In 2011</w:t>
      </w:r>
      <w:r w:rsidR="003143FF" w:rsidRPr="00936E59">
        <w:rPr>
          <w:rFonts w:ascii="Times New Roman" w:hAnsi="Times New Roman" w:cs="Times New Roman"/>
          <w:sz w:val="24"/>
          <w:szCs w:val="24"/>
        </w:rPr>
        <w:t xml:space="preserve"> </w:t>
      </w:r>
      <w:r w:rsidR="00D65481" w:rsidRPr="00936E59">
        <w:rPr>
          <w:rFonts w:ascii="Times New Roman" w:hAnsi="Times New Roman" w:cs="Times New Roman"/>
          <w:sz w:val="24"/>
          <w:szCs w:val="24"/>
        </w:rPr>
        <w:t>the appellant</w:t>
      </w:r>
      <w:r w:rsidR="00AE1B05" w:rsidRPr="00936E59">
        <w:rPr>
          <w:rFonts w:ascii="Times New Roman" w:hAnsi="Times New Roman" w:cs="Times New Roman"/>
          <w:sz w:val="24"/>
          <w:szCs w:val="24"/>
        </w:rPr>
        <w:t>, formerly known as Kingdom Bank Limited</w:t>
      </w:r>
      <w:r w:rsidRPr="00936E59">
        <w:rPr>
          <w:rFonts w:ascii="Times New Roman" w:hAnsi="Times New Roman" w:cs="Times New Roman"/>
          <w:sz w:val="24"/>
          <w:szCs w:val="24"/>
        </w:rPr>
        <w:t>,</w:t>
      </w:r>
      <w:r w:rsidR="00D65481" w:rsidRPr="00936E59">
        <w:rPr>
          <w:rFonts w:ascii="Times New Roman" w:hAnsi="Times New Roman" w:cs="Times New Roman"/>
          <w:sz w:val="24"/>
          <w:szCs w:val="24"/>
        </w:rPr>
        <w:t xml:space="preserve"> </w:t>
      </w:r>
      <w:r w:rsidR="003143FF" w:rsidRPr="00936E59">
        <w:rPr>
          <w:rFonts w:ascii="Times New Roman" w:hAnsi="Times New Roman" w:cs="Times New Roman"/>
          <w:sz w:val="24"/>
          <w:szCs w:val="24"/>
        </w:rPr>
        <w:t xml:space="preserve">extended </w:t>
      </w:r>
      <w:r w:rsidR="0071786D" w:rsidRPr="00936E59">
        <w:rPr>
          <w:rFonts w:ascii="Times New Roman" w:hAnsi="Times New Roman" w:cs="Times New Roman"/>
          <w:sz w:val="24"/>
          <w:szCs w:val="24"/>
        </w:rPr>
        <w:t>to the respondent two</w:t>
      </w:r>
      <w:r w:rsidR="009F7976" w:rsidRPr="00936E59">
        <w:rPr>
          <w:rFonts w:ascii="Times New Roman" w:hAnsi="Times New Roman" w:cs="Times New Roman"/>
          <w:sz w:val="24"/>
          <w:szCs w:val="24"/>
        </w:rPr>
        <w:t xml:space="preserve"> </w:t>
      </w:r>
      <w:r w:rsidR="00064554" w:rsidRPr="00936E59">
        <w:rPr>
          <w:rFonts w:ascii="Times New Roman" w:hAnsi="Times New Roman" w:cs="Times New Roman"/>
          <w:sz w:val="24"/>
          <w:szCs w:val="24"/>
        </w:rPr>
        <w:t xml:space="preserve">separate </w:t>
      </w:r>
      <w:r w:rsidR="009452CB" w:rsidRPr="00936E59">
        <w:rPr>
          <w:rFonts w:ascii="Times New Roman" w:hAnsi="Times New Roman" w:cs="Times New Roman"/>
          <w:sz w:val="24"/>
          <w:szCs w:val="24"/>
        </w:rPr>
        <w:t>pre-</w:t>
      </w:r>
      <w:r w:rsidR="00346515" w:rsidRPr="00936E59">
        <w:rPr>
          <w:rFonts w:ascii="Times New Roman" w:hAnsi="Times New Roman" w:cs="Times New Roman"/>
          <w:sz w:val="24"/>
          <w:szCs w:val="24"/>
        </w:rPr>
        <w:t xml:space="preserve">shipment offshore finance facilities. These were for the purposes of financing working capital requirements </w:t>
      </w:r>
      <w:r w:rsidR="00B73841" w:rsidRPr="00936E59">
        <w:rPr>
          <w:rFonts w:ascii="Times New Roman" w:hAnsi="Times New Roman" w:cs="Times New Roman"/>
          <w:sz w:val="24"/>
          <w:szCs w:val="24"/>
        </w:rPr>
        <w:t xml:space="preserve">of </w:t>
      </w:r>
      <w:r w:rsidR="00346515" w:rsidRPr="00936E59">
        <w:rPr>
          <w:rFonts w:ascii="Times New Roman" w:hAnsi="Times New Roman" w:cs="Times New Roman"/>
          <w:sz w:val="24"/>
          <w:szCs w:val="24"/>
        </w:rPr>
        <w:t>the respondent including import p</w:t>
      </w:r>
      <w:r w:rsidR="00C5419C" w:rsidRPr="00936E59">
        <w:rPr>
          <w:rFonts w:ascii="Times New Roman" w:hAnsi="Times New Roman" w:cs="Times New Roman"/>
          <w:sz w:val="24"/>
          <w:szCs w:val="24"/>
        </w:rPr>
        <w:t>ayments. The first pre -</w:t>
      </w:r>
      <w:r w:rsidRPr="00936E59">
        <w:rPr>
          <w:rFonts w:ascii="Times New Roman" w:hAnsi="Times New Roman" w:cs="Times New Roman"/>
          <w:sz w:val="24"/>
          <w:szCs w:val="24"/>
        </w:rPr>
        <w:t xml:space="preserve">shipment </w:t>
      </w:r>
      <w:r w:rsidR="00346515" w:rsidRPr="00936E59">
        <w:rPr>
          <w:rFonts w:ascii="Times New Roman" w:hAnsi="Times New Roman" w:cs="Times New Roman"/>
          <w:sz w:val="24"/>
          <w:szCs w:val="24"/>
        </w:rPr>
        <w:t>facility</w:t>
      </w:r>
      <w:r w:rsidRPr="00936E59">
        <w:rPr>
          <w:rFonts w:ascii="Times New Roman" w:hAnsi="Times New Roman" w:cs="Times New Roman"/>
          <w:sz w:val="24"/>
          <w:szCs w:val="24"/>
        </w:rPr>
        <w:t xml:space="preserve"> for US$ 2 100 000 w</w:t>
      </w:r>
      <w:r w:rsidR="00346515" w:rsidRPr="00936E59">
        <w:rPr>
          <w:rFonts w:ascii="Times New Roman" w:hAnsi="Times New Roman" w:cs="Times New Roman"/>
          <w:sz w:val="24"/>
          <w:szCs w:val="24"/>
        </w:rPr>
        <w:t>as extended on 2</w:t>
      </w:r>
      <w:r w:rsidR="009452CB" w:rsidRPr="00936E59">
        <w:rPr>
          <w:rFonts w:ascii="Times New Roman" w:hAnsi="Times New Roman" w:cs="Times New Roman"/>
          <w:sz w:val="24"/>
          <w:szCs w:val="24"/>
        </w:rPr>
        <w:t>4 </w:t>
      </w:r>
      <w:r w:rsidR="00304BFB" w:rsidRPr="00936E59">
        <w:rPr>
          <w:rFonts w:ascii="Times New Roman" w:hAnsi="Times New Roman" w:cs="Times New Roman"/>
          <w:sz w:val="24"/>
          <w:szCs w:val="24"/>
        </w:rPr>
        <w:t>March </w:t>
      </w:r>
      <w:r w:rsidRPr="00936E59">
        <w:rPr>
          <w:rFonts w:ascii="Times New Roman" w:hAnsi="Times New Roman" w:cs="Times New Roman"/>
          <w:sz w:val="24"/>
          <w:szCs w:val="24"/>
        </w:rPr>
        <w:t>2011</w:t>
      </w:r>
      <w:r w:rsidR="00C14FED" w:rsidRPr="00936E59">
        <w:rPr>
          <w:rFonts w:ascii="Times New Roman" w:hAnsi="Times New Roman" w:cs="Times New Roman"/>
          <w:sz w:val="24"/>
          <w:szCs w:val="24"/>
        </w:rPr>
        <w:t>,</w:t>
      </w:r>
      <w:r w:rsidRPr="00936E59">
        <w:rPr>
          <w:rFonts w:ascii="Times New Roman" w:hAnsi="Times New Roman" w:cs="Times New Roman"/>
          <w:sz w:val="24"/>
          <w:szCs w:val="24"/>
        </w:rPr>
        <w:t xml:space="preserve"> while</w:t>
      </w:r>
      <w:r w:rsidR="00346515" w:rsidRPr="00936E59">
        <w:rPr>
          <w:rFonts w:ascii="Times New Roman" w:hAnsi="Times New Roman" w:cs="Times New Roman"/>
          <w:sz w:val="24"/>
          <w:szCs w:val="24"/>
        </w:rPr>
        <w:t xml:space="preserve"> the se</w:t>
      </w:r>
      <w:r w:rsidR="00AB1188" w:rsidRPr="00936E59">
        <w:rPr>
          <w:rFonts w:ascii="Times New Roman" w:hAnsi="Times New Roman" w:cs="Times New Roman"/>
          <w:sz w:val="24"/>
          <w:szCs w:val="24"/>
        </w:rPr>
        <w:t>cond facility</w:t>
      </w:r>
      <w:r w:rsidR="00C14FED" w:rsidRPr="00936E59">
        <w:rPr>
          <w:rFonts w:ascii="Times New Roman" w:hAnsi="Times New Roman" w:cs="Times New Roman"/>
          <w:sz w:val="24"/>
          <w:szCs w:val="24"/>
        </w:rPr>
        <w:t xml:space="preserve"> for $ 6 000 000</w:t>
      </w:r>
      <w:r w:rsidRPr="00936E59">
        <w:rPr>
          <w:rFonts w:ascii="Times New Roman" w:hAnsi="Times New Roman" w:cs="Times New Roman"/>
          <w:sz w:val="24"/>
          <w:szCs w:val="24"/>
        </w:rPr>
        <w:t xml:space="preserve"> </w:t>
      </w:r>
      <w:r w:rsidR="00AB1188" w:rsidRPr="00936E59">
        <w:rPr>
          <w:rFonts w:ascii="Times New Roman" w:hAnsi="Times New Roman" w:cs="Times New Roman"/>
          <w:sz w:val="24"/>
          <w:szCs w:val="24"/>
        </w:rPr>
        <w:t>was extended on 2</w:t>
      </w:r>
      <w:r w:rsidR="001E54F2">
        <w:rPr>
          <w:rFonts w:ascii="Times New Roman" w:hAnsi="Times New Roman" w:cs="Times New Roman"/>
          <w:sz w:val="24"/>
          <w:szCs w:val="24"/>
        </w:rPr>
        <w:t>3</w:t>
      </w:r>
      <w:r w:rsidR="001730F8">
        <w:rPr>
          <w:rFonts w:ascii="Times New Roman" w:hAnsi="Times New Roman" w:cs="Times New Roman"/>
          <w:sz w:val="24"/>
          <w:szCs w:val="24"/>
        </w:rPr>
        <w:t> </w:t>
      </w:r>
      <w:r w:rsidR="00343755">
        <w:rPr>
          <w:rFonts w:ascii="Times New Roman" w:hAnsi="Times New Roman" w:cs="Times New Roman"/>
          <w:sz w:val="24"/>
          <w:szCs w:val="24"/>
        </w:rPr>
        <w:t>August </w:t>
      </w:r>
      <w:r w:rsidRPr="00936E59">
        <w:rPr>
          <w:rFonts w:ascii="Times New Roman" w:hAnsi="Times New Roman" w:cs="Times New Roman"/>
          <w:sz w:val="24"/>
          <w:szCs w:val="24"/>
        </w:rPr>
        <w:t xml:space="preserve">2011. </w:t>
      </w:r>
      <w:r w:rsidR="00D65481" w:rsidRPr="00936E59">
        <w:rPr>
          <w:rFonts w:ascii="Times New Roman" w:hAnsi="Times New Roman" w:cs="Times New Roman"/>
          <w:sz w:val="24"/>
          <w:szCs w:val="24"/>
        </w:rPr>
        <w:t xml:space="preserve">It was agreed </w:t>
      </w:r>
      <w:r w:rsidRPr="00936E59">
        <w:rPr>
          <w:rFonts w:ascii="Times New Roman" w:hAnsi="Times New Roman" w:cs="Times New Roman"/>
          <w:sz w:val="24"/>
          <w:szCs w:val="24"/>
        </w:rPr>
        <w:t xml:space="preserve">between the parties </w:t>
      </w:r>
      <w:r w:rsidR="00D65481" w:rsidRPr="00936E59">
        <w:rPr>
          <w:rFonts w:ascii="Times New Roman" w:hAnsi="Times New Roman" w:cs="Times New Roman"/>
          <w:sz w:val="24"/>
          <w:szCs w:val="24"/>
        </w:rPr>
        <w:t>that i</w:t>
      </w:r>
      <w:r w:rsidR="00AB1188" w:rsidRPr="00936E59">
        <w:rPr>
          <w:rFonts w:ascii="Times New Roman" w:hAnsi="Times New Roman" w:cs="Times New Roman"/>
          <w:sz w:val="24"/>
          <w:szCs w:val="24"/>
        </w:rPr>
        <w:t xml:space="preserve">nterest </w:t>
      </w:r>
      <w:r w:rsidR="00D65481" w:rsidRPr="00936E59">
        <w:rPr>
          <w:rFonts w:ascii="Times New Roman" w:hAnsi="Times New Roman" w:cs="Times New Roman"/>
          <w:sz w:val="24"/>
          <w:szCs w:val="24"/>
        </w:rPr>
        <w:t xml:space="preserve">on the capital sum </w:t>
      </w:r>
      <w:r w:rsidR="00FD4A2A" w:rsidRPr="00936E59">
        <w:rPr>
          <w:rFonts w:ascii="Times New Roman" w:hAnsi="Times New Roman" w:cs="Times New Roman"/>
          <w:sz w:val="24"/>
          <w:szCs w:val="24"/>
        </w:rPr>
        <w:t>was to run at the rate of 5 percent</w:t>
      </w:r>
      <w:r w:rsidR="00AB1188" w:rsidRPr="00936E59">
        <w:rPr>
          <w:rFonts w:ascii="Times New Roman" w:hAnsi="Times New Roman" w:cs="Times New Roman"/>
          <w:sz w:val="24"/>
          <w:szCs w:val="24"/>
        </w:rPr>
        <w:t xml:space="preserve"> per </w:t>
      </w:r>
      <w:r w:rsidR="00C14FED" w:rsidRPr="00936E59">
        <w:rPr>
          <w:rFonts w:ascii="Times New Roman" w:hAnsi="Times New Roman" w:cs="Times New Roman"/>
          <w:sz w:val="24"/>
          <w:szCs w:val="24"/>
        </w:rPr>
        <w:t>month above the cost of funds.</w:t>
      </w:r>
    </w:p>
    <w:p w:rsidR="00C5419C" w:rsidRPr="00936E59" w:rsidRDefault="00C5419C" w:rsidP="009452CB">
      <w:pPr>
        <w:spacing w:after="0" w:line="480" w:lineRule="auto"/>
        <w:ind w:left="720" w:hanging="720"/>
        <w:jc w:val="both"/>
        <w:rPr>
          <w:rFonts w:ascii="Times New Roman" w:hAnsi="Times New Roman" w:cs="Times New Roman"/>
          <w:sz w:val="24"/>
          <w:szCs w:val="24"/>
        </w:rPr>
      </w:pPr>
    </w:p>
    <w:p w:rsidR="00346515" w:rsidRPr="00936E59" w:rsidRDefault="007C4B5B" w:rsidP="00C5419C">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lastRenderedPageBreak/>
        <w:t>[3]</w:t>
      </w:r>
      <w:r w:rsidRPr="00936E59">
        <w:rPr>
          <w:rFonts w:ascii="Times New Roman" w:hAnsi="Times New Roman" w:cs="Times New Roman"/>
          <w:sz w:val="24"/>
          <w:szCs w:val="24"/>
        </w:rPr>
        <w:tab/>
      </w:r>
      <w:r w:rsidR="00542857" w:rsidRPr="00936E59">
        <w:rPr>
          <w:rFonts w:ascii="Times New Roman" w:hAnsi="Times New Roman" w:cs="Times New Roman"/>
          <w:sz w:val="24"/>
          <w:szCs w:val="24"/>
        </w:rPr>
        <w:t xml:space="preserve">The facilities were secured by </w:t>
      </w:r>
      <w:r w:rsidR="00346515" w:rsidRPr="00936E59">
        <w:rPr>
          <w:rFonts w:ascii="Times New Roman" w:hAnsi="Times New Roman" w:cs="Times New Roman"/>
          <w:sz w:val="24"/>
          <w:szCs w:val="24"/>
        </w:rPr>
        <w:t xml:space="preserve">deeds </w:t>
      </w:r>
      <w:r w:rsidRPr="00936E59">
        <w:rPr>
          <w:rFonts w:ascii="Times New Roman" w:hAnsi="Times New Roman" w:cs="Times New Roman"/>
          <w:sz w:val="24"/>
          <w:szCs w:val="24"/>
        </w:rPr>
        <w:t>of cession, pledge and</w:t>
      </w:r>
      <w:r w:rsidR="00AE1B05" w:rsidRPr="00936E59">
        <w:rPr>
          <w:rFonts w:ascii="Times New Roman" w:hAnsi="Times New Roman" w:cs="Times New Roman"/>
          <w:sz w:val="24"/>
          <w:szCs w:val="24"/>
        </w:rPr>
        <w:t xml:space="preserve"> a</w:t>
      </w:r>
      <w:r w:rsidRPr="00936E59">
        <w:rPr>
          <w:rFonts w:ascii="Times New Roman" w:hAnsi="Times New Roman" w:cs="Times New Roman"/>
          <w:sz w:val="24"/>
          <w:szCs w:val="24"/>
        </w:rPr>
        <w:t>ssignment</w:t>
      </w:r>
      <w:r w:rsidR="00346515" w:rsidRPr="00936E59">
        <w:rPr>
          <w:rFonts w:ascii="Times New Roman" w:hAnsi="Times New Roman" w:cs="Times New Roman"/>
          <w:sz w:val="24"/>
          <w:szCs w:val="24"/>
        </w:rPr>
        <w:t xml:space="preserve"> </w:t>
      </w:r>
      <w:r w:rsidRPr="00936E59">
        <w:rPr>
          <w:rFonts w:ascii="Times New Roman" w:hAnsi="Times New Roman" w:cs="Times New Roman"/>
          <w:sz w:val="24"/>
          <w:szCs w:val="24"/>
        </w:rPr>
        <w:t>in favour of the appellant and</w:t>
      </w:r>
      <w:r w:rsidR="00AB1188" w:rsidRPr="00936E59">
        <w:rPr>
          <w:rFonts w:ascii="Times New Roman" w:hAnsi="Times New Roman" w:cs="Times New Roman"/>
          <w:sz w:val="24"/>
          <w:szCs w:val="24"/>
        </w:rPr>
        <w:t xml:space="preserve"> became due and payable on 10 June 2011 and</w:t>
      </w:r>
      <w:r w:rsidR="007344BD" w:rsidRPr="00936E59">
        <w:rPr>
          <w:rFonts w:ascii="Times New Roman" w:hAnsi="Times New Roman" w:cs="Times New Roman"/>
          <w:sz w:val="24"/>
          <w:szCs w:val="24"/>
        </w:rPr>
        <w:t xml:space="preserve"> 8 September 2011 respectively. </w:t>
      </w:r>
      <w:r w:rsidRPr="00936E59">
        <w:rPr>
          <w:rFonts w:ascii="Times New Roman" w:hAnsi="Times New Roman" w:cs="Times New Roman"/>
          <w:sz w:val="24"/>
          <w:szCs w:val="24"/>
        </w:rPr>
        <w:t>The p</w:t>
      </w:r>
      <w:r w:rsidR="007344BD" w:rsidRPr="00936E59">
        <w:rPr>
          <w:rFonts w:ascii="Times New Roman" w:hAnsi="Times New Roman" w:cs="Times New Roman"/>
          <w:sz w:val="24"/>
          <w:szCs w:val="24"/>
        </w:rPr>
        <w:t>arties agreed that any a</w:t>
      </w:r>
      <w:r w:rsidRPr="00936E59">
        <w:rPr>
          <w:rFonts w:ascii="Times New Roman" w:hAnsi="Times New Roman" w:cs="Times New Roman"/>
          <w:sz w:val="24"/>
          <w:szCs w:val="24"/>
        </w:rPr>
        <w:t>mounts withdrawn and</w:t>
      </w:r>
      <w:r w:rsidR="007344BD" w:rsidRPr="00936E59">
        <w:rPr>
          <w:rFonts w:ascii="Times New Roman" w:hAnsi="Times New Roman" w:cs="Times New Roman"/>
          <w:sz w:val="24"/>
          <w:szCs w:val="24"/>
        </w:rPr>
        <w:t xml:space="preserve"> </w:t>
      </w:r>
      <w:r w:rsidR="00C5419C" w:rsidRPr="00936E59">
        <w:rPr>
          <w:rFonts w:ascii="Times New Roman" w:hAnsi="Times New Roman" w:cs="Times New Roman"/>
          <w:sz w:val="24"/>
          <w:szCs w:val="24"/>
        </w:rPr>
        <w:t>outstanding</w:t>
      </w:r>
      <w:r w:rsidRPr="00936E59">
        <w:rPr>
          <w:rFonts w:ascii="Times New Roman" w:hAnsi="Times New Roman" w:cs="Times New Roman"/>
          <w:sz w:val="24"/>
          <w:szCs w:val="24"/>
        </w:rPr>
        <w:t xml:space="preserve">, </w:t>
      </w:r>
      <w:r w:rsidR="007344BD" w:rsidRPr="00936E59">
        <w:rPr>
          <w:rFonts w:ascii="Times New Roman" w:hAnsi="Times New Roman" w:cs="Times New Roman"/>
          <w:sz w:val="24"/>
          <w:szCs w:val="24"/>
        </w:rPr>
        <w:t>together with any other sums payable in respect of the facility</w:t>
      </w:r>
      <w:r w:rsidR="00F27648" w:rsidRPr="00936E59">
        <w:rPr>
          <w:rFonts w:ascii="Times New Roman" w:hAnsi="Times New Roman" w:cs="Times New Roman"/>
          <w:sz w:val="24"/>
          <w:szCs w:val="24"/>
        </w:rPr>
        <w:t>,</w:t>
      </w:r>
      <w:r w:rsidR="007344BD" w:rsidRPr="00936E59">
        <w:rPr>
          <w:rFonts w:ascii="Times New Roman" w:hAnsi="Times New Roman" w:cs="Times New Roman"/>
          <w:sz w:val="24"/>
          <w:szCs w:val="24"/>
        </w:rPr>
        <w:t xml:space="preserve"> would be due and payable on </w:t>
      </w:r>
      <w:r w:rsidRPr="00936E59">
        <w:rPr>
          <w:rFonts w:ascii="Times New Roman" w:hAnsi="Times New Roman" w:cs="Times New Roman"/>
          <w:sz w:val="24"/>
          <w:szCs w:val="24"/>
        </w:rPr>
        <w:t xml:space="preserve">and </w:t>
      </w:r>
      <w:r w:rsidR="007344BD" w:rsidRPr="00936E59">
        <w:rPr>
          <w:rFonts w:ascii="Times New Roman" w:hAnsi="Times New Roman" w:cs="Times New Roman"/>
          <w:sz w:val="24"/>
          <w:szCs w:val="24"/>
        </w:rPr>
        <w:t>upon demand by the appellant.</w:t>
      </w:r>
    </w:p>
    <w:p w:rsidR="00C5419C" w:rsidRPr="00936E59" w:rsidRDefault="00C5419C" w:rsidP="00C5419C">
      <w:pPr>
        <w:spacing w:after="0" w:line="480" w:lineRule="auto"/>
        <w:ind w:left="720" w:hanging="720"/>
        <w:jc w:val="both"/>
        <w:rPr>
          <w:rFonts w:ascii="Times New Roman" w:hAnsi="Times New Roman" w:cs="Times New Roman"/>
          <w:sz w:val="24"/>
          <w:szCs w:val="24"/>
        </w:rPr>
      </w:pPr>
    </w:p>
    <w:p w:rsidR="00C5419C" w:rsidRPr="00936E59" w:rsidRDefault="007C4B5B" w:rsidP="00C5419C">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[4]</w:t>
      </w:r>
      <w:r w:rsidRPr="00936E59">
        <w:rPr>
          <w:rFonts w:ascii="Times New Roman" w:hAnsi="Times New Roman" w:cs="Times New Roman"/>
          <w:sz w:val="24"/>
          <w:szCs w:val="24"/>
        </w:rPr>
        <w:tab/>
      </w:r>
      <w:r w:rsidR="00AB1188" w:rsidRPr="00936E59">
        <w:rPr>
          <w:rFonts w:ascii="Times New Roman" w:hAnsi="Times New Roman" w:cs="Times New Roman"/>
          <w:sz w:val="24"/>
          <w:szCs w:val="24"/>
        </w:rPr>
        <w:t>On 1 February 2012, the appellant i</w:t>
      </w:r>
      <w:r w:rsidR="00B73841" w:rsidRPr="00936E59">
        <w:rPr>
          <w:rFonts w:ascii="Times New Roman" w:hAnsi="Times New Roman" w:cs="Times New Roman"/>
          <w:sz w:val="24"/>
          <w:szCs w:val="24"/>
        </w:rPr>
        <w:t>ssued</w:t>
      </w:r>
      <w:r w:rsidR="00AB1188" w:rsidRPr="00936E59">
        <w:rPr>
          <w:rFonts w:ascii="Times New Roman" w:hAnsi="Times New Roman" w:cs="Times New Roman"/>
          <w:sz w:val="24"/>
          <w:szCs w:val="24"/>
        </w:rPr>
        <w:t xml:space="preserve"> summons </w:t>
      </w:r>
      <w:r w:rsidR="003445F2" w:rsidRPr="00936E59">
        <w:rPr>
          <w:rFonts w:ascii="Times New Roman" w:hAnsi="Times New Roman" w:cs="Times New Roman"/>
          <w:sz w:val="24"/>
          <w:szCs w:val="24"/>
        </w:rPr>
        <w:t xml:space="preserve">in the </w:t>
      </w:r>
      <w:r w:rsidR="00542857" w:rsidRPr="00936E59">
        <w:rPr>
          <w:rFonts w:ascii="Times New Roman" w:hAnsi="Times New Roman" w:cs="Times New Roman"/>
          <w:sz w:val="24"/>
          <w:szCs w:val="24"/>
        </w:rPr>
        <w:t xml:space="preserve">court </w:t>
      </w:r>
      <w:r w:rsidR="00542857" w:rsidRPr="00936E59">
        <w:rPr>
          <w:rFonts w:ascii="Times New Roman" w:hAnsi="Times New Roman" w:cs="Times New Roman"/>
          <w:i/>
          <w:sz w:val="24"/>
          <w:szCs w:val="24"/>
        </w:rPr>
        <w:t>a quo</w:t>
      </w:r>
      <w:r w:rsidR="00B110AF" w:rsidRPr="00936E59">
        <w:rPr>
          <w:rFonts w:ascii="Times New Roman" w:hAnsi="Times New Roman" w:cs="Times New Roman"/>
          <w:sz w:val="24"/>
          <w:szCs w:val="24"/>
        </w:rPr>
        <w:t xml:space="preserve"> claiming</w:t>
      </w:r>
      <w:r w:rsidR="006E2244" w:rsidRPr="00936E59">
        <w:rPr>
          <w:rFonts w:ascii="Times New Roman" w:hAnsi="Times New Roman" w:cs="Times New Roman"/>
          <w:sz w:val="24"/>
          <w:szCs w:val="24"/>
        </w:rPr>
        <w:t xml:space="preserve"> </w:t>
      </w:r>
      <w:r w:rsidR="00B110AF" w:rsidRPr="00936E59">
        <w:rPr>
          <w:rFonts w:ascii="Times New Roman" w:hAnsi="Times New Roman" w:cs="Times New Roman"/>
          <w:sz w:val="24"/>
          <w:szCs w:val="24"/>
        </w:rPr>
        <w:t>US$</w:t>
      </w:r>
      <w:r w:rsidRPr="00936E59">
        <w:rPr>
          <w:rFonts w:ascii="Times New Roman" w:hAnsi="Times New Roman" w:cs="Times New Roman"/>
          <w:sz w:val="24"/>
          <w:szCs w:val="24"/>
        </w:rPr>
        <w:t xml:space="preserve"> 2 210 229.76 which comprised </w:t>
      </w:r>
      <w:r w:rsidR="00B110AF" w:rsidRPr="00936E59">
        <w:rPr>
          <w:rFonts w:ascii="Times New Roman" w:hAnsi="Times New Roman" w:cs="Times New Roman"/>
          <w:sz w:val="24"/>
          <w:szCs w:val="24"/>
        </w:rPr>
        <w:t>the capital</w:t>
      </w:r>
      <w:r w:rsidR="006E2244" w:rsidRPr="00936E59">
        <w:rPr>
          <w:rFonts w:ascii="Times New Roman" w:hAnsi="Times New Roman" w:cs="Times New Roman"/>
          <w:sz w:val="24"/>
          <w:szCs w:val="24"/>
        </w:rPr>
        <w:t xml:space="preserve"> sum, </w:t>
      </w:r>
      <w:r w:rsidR="00542857" w:rsidRPr="00936E59">
        <w:rPr>
          <w:rFonts w:ascii="Times New Roman" w:hAnsi="Times New Roman" w:cs="Times New Roman"/>
          <w:sz w:val="24"/>
          <w:szCs w:val="24"/>
        </w:rPr>
        <w:t xml:space="preserve">accrued </w:t>
      </w:r>
      <w:r w:rsidR="006E2244" w:rsidRPr="00936E59">
        <w:rPr>
          <w:rFonts w:ascii="Times New Roman" w:hAnsi="Times New Roman" w:cs="Times New Roman"/>
          <w:sz w:val="24"/>
          <w:szCs w:val="24"/>
        </w:rPr>
        <w:t>interest and bank charges</w:t>
      </w:r>
      <w:r w:rsidR="00F27648" w:rsidRPr="00936E59">
        <w:rPr>
          <w:rFonts w:ascii="Times New Roman" w:hAnsi="Times New Roman" w:cs="Times New Roman"/>
          <w:sz w:val="24"/>
          <w:szCs w:val="24"/>
        </w:rPr>
        <w:t>,</w:t>
      </w:r>
      <w:r w:rsidR="00D65481" w:rsidRPr="00936E59">
        <w:rPr>
          <w:rFonts w:ascii="Times New Roman" w:hAnsi="Times New Roman" w:cs="Times New Roman"/>
          <w:sz w:val="24"/>
          <w:szCs w:val="24"/>
        </w:rPr>
        <w:t xml:space="preserve"> </w:t>
      </w:r>
      <w:r w:rsidR="002420BC" w:rsidRPr="00936E59">
        <w:rPr>
          <w:rFonts w:ascii="Times New Roman" w:hAnsi="Times New Roman" w:cs="Times New Roman"/>
          <w:sz w:val="24"/>
          <w:szCs w:val="24"/>
        </w:rPr>
        <w:t xml:space="preserve">together with interest on the </w:t>
      </w:r>
      <w:r w:rsidR="006E2244" w:rsidRPr="00936E59">
        <w:rPr>
          <w:rFonts w:ascii="Times New Roman" w:hAnsi="Times New Roman" w:cs="Times New Roman"/>
          <w:sz w:val="24"/>
          <w:szCs w:val="24"/>
        </w:rPr>
        <w:t xml:space="preserve">capital </w:t>
      </w:r>
      <w:r w:rsidR="003445F2" w:rsidRPr="00936E59">
        <w:rPr>
          <w:rFonts w:ascii="Times New Roman" w:hAnsi="Times New Roman" w:cs="Times New Roman"/>
          <w:sz w:val="24"/>
          <w:szCs w:val="24"/>
        </w:rPr>
        <w:t>sum of US$ 1 959 148.58 at the rate of 5</w:t>
      </w:r>
      <w:r w:rsidR="008624E2" w:rsidRPr="00936E59">
        <w:rPr>
          <w:rFonts w:ascii="Times New Roman" w:hAnsi="Times New Roman" w:cs="Times New Roman"/>
          <w:sz w:val="24"/>
          <w:szCs w:val="24"/>
        </w:rPr>
        <w:t xml:space="preserve"> percent</w:t>
      </w:r>
      <w:r w:rsidR="003445F2" w:rsidRPr="00936E59">
        <w:rPr>
          <w:rFonts w:ascii="Times New Roman" w:hAnsi="Times New Roman" w:cs="Times New Roman"/>
          <w:sz w:val="24"/>
          <w:szCs w:val="24"/>
        </w:rPr>
        <w:t xml:space="preserve"> per month</w:t>
      </w:r>
      <w:r w:rsidR="00F27648" w:rsidRPr="00936E59">
        <w:rPr>
          <w:rFonts w:ascii="Times New Roman" w:hAnsi="Times New Roman" w:cs="Times New Roman"/>
          <w:sz w:val="24"/>
          <w:szCs w:val="24"/>
        </w:rPr>
        <w:t xml:space="preserve"> above the cost of funds</w:t>
      </w:r>
      <w:r w:rsidR="002420BC" w:rsidRPr="00936E59">
        <w:rPr>
          <w:rFonts w:ascii="Times New Roman" w:hAnsi="Times New Roman" w:cs="Times New Roman"/>
          <w:sz w:val="24"/>
          <w:szCs w:val="24"/>
        </w:rPr>
        <w:t xml:space="preserve">. </w:t>
      </w:r>
      <w:r w:rsidR="00AE1B05" w:rsidRPr="00936E59">
        <w:rPr>
          <w:rFonts w:ascii="Times New Roman" w:hAnsi="Times New Roman" w:cs="Times New Roman"/>
          <w:sz w:val="24"/>
          <w:szCs w:val="24"/>
        </w:rPr>
        <w:t>The second claim which arose from the second facility was</w:t>
      </w:r>
      <w:r w:rsidR="006E2244" w:rsidRPr="00936E59">
        <w:rPr>
          <w:rFonts w:ascii="Times New Roman" w:hAnsi="Times New Roman" w:cs="Times New Roman"/>
          <w:sz w:val="24"/>
          <w:szCs w:val="24"/>
        </w:rPr>
        <w:t xml:space="preserve"> for</w:t>
      </w:r>
      <w:r w:rsidR="00B110AF" w:rsidRPr="00936E59">
        <w:rPr>
          <w:rFonts w:ascii="Times New Roman" w:hAnsi="Times New Roman" w:cs="Times New Roman"/>
          <w:sz w:val="24"/>
          <w:szCs w:val="24"/>
        </w:rPr>
        <w:t xml:space="preserve"> US$</w:t>
      </w:r>
      <w:r w:rsidRPr="00936E59">
        <w:rPr>
          <w:rFonts w:ascii="Times New Roman" w:hAnsi="Times New Roman" w:cs="Times New Roman"/>
          <w:sz w:val="24"/>
          <w:szCs w:val="24"/>
        </w:rPr>
        <w:t xml:space="preserve"> 6 301 726.73 which comprised </w:t>
      </w:r>
      <w:r w:rsidR="006E2244" w:rsidRPr="00936E59">
        <w:rPr>
          <w:rFonts w:ascii="Times New Roman" w:hAnsi="Times New Roman" w:cs="Times New Roman"/>
          <w:sz w:val="24"/>
          <w:szCs w:val="24"/>
        </w:rPr>
        <w:t xml:space="preserve">the capital sum, </w:t>
      </w:r>
      <w:r w:rsidR="00542857" w:rsidRPr="00936E59">
        <w:rPr>
          <w:rFonts w:ascii="Times New Roman" w:hAnsi="Times New Roman" w:cs="Times New Roman"/>
          <w:sz w:val="24"/>
          <w:szCs w:val="24"/>
        </w:rPr>
        <w:t xml:space="preserve">accrued </w:t>
      </w:r>
      <w:r w:rsidR="006E2244" w:rsidRPr="00936E59">
        <w:rPr>
          <w:rFonts w:ascii="Times New Roman" w:hAnsi="Times New Roman" w:cs="Times New Roman"/>
          <w:sz w:val="24"/>
          <w:szCs w:val="24"/>
        </w:rPr>
        <w:t>interest and bank charges</w:t>
      </w:r>
      <w:r w:rsidR="00F27648" w:rsidRPr="00936E59">
        <w:rPr>
          <w:rFonts w:ascii="Times New Roman" w:hAnsi="Times New Roman" w:cs="Times New Roman"/>
          <w:sz w:val="24"/>
          <w:szCs w:val="24"/>
        </w:rPr>
        <w:t>,</w:t>
      </w:r>
      <w:r w:rsidR="006E2244" w:rsidRPr="00936E59">
        <w:rPr>
          <w:rFonts w:ascii="Times New Roman" w:hAnsi="Times New Roman" w:cs="Times New Roman"/>
          <w:sz w:val="24"/>
          <w:szCs w:val="24"/>
        </w:rPr>
        <w:t xml:space="preserve"> </w:t>
      </w:r>
      <w:r w:rsidR="00AE1B05" w:rsidRPr="00936E59">
        <w:rPr>
          <w:rFonts w:ascii="Times New Roman" w:hAnsi="Times New Roman" w:cs="Times New Roman"/>
          <w:sz w:val="24"/>
          <w:szCs w:val="24"/>
        </w:rPr>
        <w:t xml:space="preserve">together with </w:t>
      </w:r>
      <w:r w:rsidR="006E2244" w:rsidRPr="00936E59">
        <w:rPr>
          <w:rFonts w:ascii="Times New Roman" w:hAnsi="Times New Roman" w:cs="Times New Roman"/>
          <w:sz w:val="24"/>
          <w:szCs w:val="24"/>
        </w:rPr>
        <w:t>i</w:t>
      </w:r>
      <w:r w:rsidR="003445F2" w:rsidRPr="00936E59">
        <w:rPr>
          <w:rFonts w:ascii="Times New Roman" w:hAnsi="Times New Roman" w:cs="Times New Roman"/>
          <w:sz w:val="24"/>
          <w:szCs w:val="24"/>
        </w:rPr>
        <w:t>nteres</w:t>
      </w:r>
      <w:r w:rsidR="00064554" w:rsidRPr="00936E59">
        <w:rPr>
          <w:rFonts w:ascii="Times New Roman" w:hAnsi="Times New Roman" w:cs="Times New Roman"/>
          <w:sz w:val="24"/>
          <w:szCs w:val="24"/>
        </w:rPr>
        <w:t xml:space="preserve">t on the sum </w:t>
      </w:r>
      <w:r w:rsidR="003445F2" w:rsidRPr="00936E59">
        <w:rPr>
          <w:rFonts w:ascii="Times New Roman" w:hAnsi="Times New Roman" w:cs="Times New Roman"/>
          <w:sz w:val="24"/>
          <w:szCs w:val="24"/>
        </w:rPr>
        <w:t>at the rate of 5</w:t>
      </w:r>
      <w:r w:rsidR="004021CC" w:rsidRPr="00936E59">
        <w:rPr>
          <w:rFonts w:ascii="Times New Roman" w:hAnsi="Times New Roman" w:cs="Times New Roman"/>
          <w:sz w:val="24"/>
          <w:szCs w:val="24"/>
        </w:rPr>
        <w:t> percent</w:t>
      </w:r>
      <w:r w:rsidR="003445F2" w:rsidRPr="00936E59">
        <w:rPr>
          <w:rFonts w:ascii="Times New Roman" w:hAnsi="Times New Roman" w:cs="Times New Roman"/>
          <w:sz w:val="24"/>
          <w:szCs w:val="24"/>
        </w:rPr>
        <w:t xml:space="preserve"> per month above the cost of funds</w:t>
      </w:r>
      <w:r w:rsidRPr="00936E59">
        <w:rPr>
          <w:rFonts w:ascii="Times New Roman" w:hAnsi="Times New Roman" w:cs="Times New Roman"/>
          <w:sz w:val="24"/>
          <w:szCs w:val="24"/>
        </w:rPr>
        <w:t>,</w:t>
      </w:r>
      <w:r w:rsidR="003445F2" w:rsidRPr="00936E59">
        <w:rPr>
          <w:rFonts w:ascii="Times New Roman" w:hAnsi="Times New Roman" w:cs="Times New Roman"/>
          <w:sz w:val="24"/>
          <w:szCs w:val="24"/>
        </w:rPr>
        <w:t xml:space="preserve"> with effect from 1</w:t>
      </w:r>
      <w:r w:rsidR="00C5419C" w:rsidRPr="00936E59">
        <w:rPr>
          <w:rFonts w:ascii="Times New Roman" w:hAnsi="Times New Roman" w:cs="Times New Roman"/>
          <w:sz w:val="24"/>
          <w:szCs w:val="24"/>
        </w:rPr>
        <w:t> </w:t>
      </w:r>
      <w:r w:rsidR="003445F2" w:rsidRPr="00936E59">
        <w:rPr>
          <w:rFonts w:ascii="Times New Roman" w:hAnsi="Times New Roman" w:cs="Times New Roman"/>
          <w:sz w:val="24"/>
          <w:szCs w:val="24"/>
        </w:rPr>
        <w:t>January 2012 to date of full payment.</w:t>
      </w:r>
      <w:r w:rsidRPr="00936E59">
        <w:rPr>
          <w:rFonts w:ascii="Times New Roman" w:hAnsi="Times New Roman" w:cs="Times New Roman"/>
          <w:sz w:val="24"/>
          <w:szCs w:val="24"/>
        </w:rPr>
        <w:t xml:space="preserve"> </w:t>
      </w:r>
      <w:r w:rsidR="00064554" w:rsidRPr="00936E59">
        <w:rPr>
          <w:rFonts w:ascii="Times New Roman" w:hAnsi="Times New Roman" w:cs="Times New Roman"/>
          <w:sz w:val="24"/>
          <w:szCs w:val="24"/>
        </w:rPr>
        <w:t xml:space="preserve">The basis of the </w:t>
      </w:r>
      <w:r w:rsidR="006E2244" w:rsidRPr="00936E59">
        <w:rPr>
          <w:rFonts w:ascii="Times New Roman" w:hAnsi="Times New Roman" w:cs="Times New Roman"/>
          <w:sz w:val="24"/>
          <w:szCs w:val="24"/>
        </w:rPr>
        <w:t xml:space="preserve">appellant’s </w:t>
      </w:r>
      <w:r w:rsidR="00064554" w:rsidRPr="00936E59">
        <w:rPr>
          <w:rFonts w:ascii="Times New Roman" w:hAnsi="Times New Roman" w:cs="Times New Roman"/>
          <w:sz w:val="24"/>
          <w:szCs w:val="24"/>
        </w:rPr>
        <w:t>claims was that the respondent had defaulted</w:t>
      </w:r>
      <w:r w:rsidRPr="00936E59">
        <w:rPr>
          <w:rFonts w:ascii="Times New Roman" w:hAnsi="Times New Roman" w:cs="Times New Roman"/>
          <w:sz w:val="24"/>
          <w:szCs w:val="24"/>
        </w:rPr>
        <w:t xml:space="preserve"> in</w:t>
      </w:r>
      <w:r w:rsidR="00064554" w:rsidRPr="00936E59">
        <w:rPr>
          <w:rFonts w:ascii="Times New Roman" w:hAnsi="Times New Roman" w:cs="Times New Roman"/>
          <w:sz w:val="24"/>
          <w:szCs w:val="24"/>
        </w:rPr>
        <w:t xml:space="preserve"> making due and punctual payme</w:t>
      </w:r>
      <w:r w:rsidRPr="00936E59">
        <w:rPr>
          <w:rFonts w:ascii="Times New Roman" w:hAnsi="Times New Roman" w:cs="Times New Roman"/>
          <w:sz w:val="24"/>
          <w:szCs w:val="24"/>
        </w:rPr>
        <w:t>nts of the debts in question.</w:t>
      </w:r>
    </w:p>
    <w:p w:rsidR="00542857" w:rsidRPr="00936E59" w:rsidRDefault="006E2244" w:rsidP="00C5419C">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 xml:space="preserve"> </w:t>
      </w:r>
    </w:p>
    <w:p w:rsidR="00C5419C" w:rsidRDefault="00C5419C" w:rsidP="006B234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[5]</w:t>
      </w:r>
      <w:r w:rsidR="007C4B5B" w:rsidRPr="00936E59">
        <w:rPr>
          <w:rFonts w:ascii="Times New Roman" w:hAnsi="Times New Roman" w:cs="Times New Roman"/>
          <w:sz w:val="24"/>
          <w:szCs w:val="24"/>
        </w:rPr>
        <w:tab/>
      </w:r>
      <w:r w:rsidR="006E2244" w:rsidRPr="00936E59">
        <w:rPr>
          <w:rFonts w:ascii="Times New Roman" w:hAnsi="Times New Roman" w:cs="Times New Roman"/>
          <w:sz w:val="24"/>
          <w:szCs w:val="24"/>
        </w:rPr>
        <w:t>The respondent duly entered an appearance to defend</w:t>
      </w:r>
      <w:r w:rsidR="007C4B5B" w:rsidRPr="00936E59">
        <w:rPr>
          <w:rFonts w:ascii="Times New Roman" w:hAnsi="Times New Roman" w:cs="Times New Roman"/>
          <w:sz w:val="24"/>
          <w:szCs w:val="24"/>
        </w:rPr>
        <w:t xml:space="preserve"> the action</w:t>
      </w:r>
      <w:r w:rsidR="006E2244" w:rsidRPr="00936E59">
        <w:rPr>
          <w:rFonts w:ascii="Times New Roman" w:hAnsi="Times New Roman" w:cs="Times New Roman"/>
          <w:sz w:val="24"/>
          <w:szCs w:val="24"/>
        </w:rPr>
        <w:t>.</w:t>
      </w:r>
      <w:r w:rsidR="001E0552" w:rsidRPr="00936E59">
        <w:rPr>
          <w:rFonts w:ascii="Times New Roman" w:hAnsi="Times New Roman" w:cs="Times New Roman"/>
          <w:sz w:val="24"/>
          <w:szCs w:val="24"/>
        </w:rPr>
        <w:t xml:space="preserve"> Subsequently,</w:t>
      </w:r>
      <w:r w:rsidR="00CA43FB" w:rsidRPr="00936E59">
        <w:rPr>
          <w:rFonts w:ascii="Times New Roman" w:hAnsi="Times New Roman" w:cs="Times New Roman"/>
          <w:sz w:val="24"/>
          <w:szCs w:val="24"/>
        </w:rPr>
        <w:t xml:space="preserve"> </w:t>
      </w:r>
      <w:r w:rsidR="007C4B5B" w:rsidRPr="00936E59">
        <w:rPr>
          <w:rFonts w:ascii="Times New Roman" w:hAnsi="Times New Roman" w:cs="Times New Roman"/>
          <w:sz w:val="24"/>
          <w:szCs w:val="24"/>
        </w:rPr>
        <w:t xml:space="preserve">the </w:t>
      </w:r>
      <w:r w:rsidR="00CA43FB" w:rsidRPr="00936E59">
        <w:rPr>
          <w:rFonts w:ascii="Times New Roman" w:hAnsi="Times New Roman" w:cs="Times New Roman"/>
          <w:sz w:val="24"/>
          <w:szCs w:val="24"/>
        </w:rPr>
        <w:t xml:space="preserve">parties settled the matter and concluded a Deed of Settlement </w:t>
      </w:r>
      <w:r w:rsidR="00AE1B05" w:rsidRPr="00936E59">
        <w:rPr>
          <w:rFonts w:ascii="Times New Roman" w:hAnsi="Times New Roman" w:cs="Times New Roman"/>
          <w:sz w:val="24"/>
          <w:szCs w:val="24"/>
        </w:rPr>
        <w:t xml:space="preserve">(herein after referred to as </w:t>
      </w:r>
      <w:r w:rsidR="001E0552" w:rsidRPr="00936E59">
        <w:rPr>
          <w:rFonts w:ascii="Times New Roman" w:hAnsi="Times New Roman" w:cs="Times New Roman"/>
          <w:sz w:val="24"/>
          <w:szCs w:val="24"/>
        </w:rPr>
        <w:t xml:space="preserve">‘the </w:t>
      </w:r>
      <w:r w:rsidR="004A15A9" w:rsidRPr="00936E59">
        <w:rPr>
          <w:rFonts w:ascii="Times New Roman" w:hAnsi="Times New Roman" w:cs="Times New Roman"/>
          <w:sz w:val="24"/>
          <w:szCs w:val="24"/>
        </w:rPr>
        <w:t>D</w:t>
      </w:r>
      <w:r w:rsidR="001E0552" w:rsidRPr="00936E59">
        <w:rPr>
          <w:rFonts w:ascii="Times New Roman" w:hAnsi="Times New Roman" w:cs="Times New Roman"/>
          <w:sz w:val="24"/>
          <w:szCs w:val="24"/>
        </w:rPr>
        <w:t>eed’</w:t>
      </w:r>
      <w:r w:rsidR="00AE1B05" w:rsidRPr="00936E59">
        <w:rPr>
          <w:rFonts w:ascii="Times New Roman" w:hAnsi="Times New Roman" w:cs="Times New Roman"/>
          <w:sz w:val="24"/>
          <w:szCs w:val="24"/>
        </w:rPr>
        <w:t>)</w:t>
      </w:r>
      <w:r w:rsidR="001E0552" w:rsidRPr="00936E59">
        <w:rPr>
          <w:rFonts w:ascii="Times New Roman" w:hAnsi="Times New Roman" w:cs="Times New Roman"/>
          <w:sz w:val="24"/>
          <w:szCs w:val="24"/>
        </w:rPr>
        <w:t xml:space="preserve"> </w:t>
      </w:r>
      <w:r w:rsidR="002420BC" w:rsidRPr="00936E59">
        <w:rPr>
          <w:rFonts w:ascii="Times New Roman" w:hAnsi="Times New Roman" w:cs="Times New Roman"/>
          <w:sz w:val="24"/>
          <w:szCs w:val="24"/>
        </w:rPr>
        <w:t xml:space="preserve">which </w:t>
      </w:r>
      <w:r w:rsidR="00AE1B05" w:rsidRPr="00936E59">
        <w:rPr>
          <w:rFonts w:ascii="Times New Roman" w:hAnsi="Times New Roman" w:cs="Times New Roman"/>
          <w:sz w:val="24"/>
          <w:szCs w:val="24"/>
        </w:rPr>
        <w:t>was</w:t>
      </w:r>
      <w:r w:rsidR="00CA43FB" w:rsidRPr="00936E59">
        <w:rPr>
          <w:rFonts w:ascii="Times New Roman" w:hAnsi="Times New Roman" w:cs="Times New Roman"/>
          <w:sz w:val="24"/>
          <w:szCs w:val="24"/>
        </w:rPr>
        <w:t xml:space="preserve"> filed </w:t>
      </w:r>
      <w:r w:rsidR="00542857" w:rsidRPr="00936E59">
        <w:rPr>
          <w:rFonts w:ascii="Times New Roman" w:hAnsi="Times New Roman" w:cs="Times New Roman"/>
          <w:sz w:val="24"/>
          <w:szCs w:val="24"/>
        </w:rPr>
        <w:t xml:space="preserve">in the court </w:t>
      </w:r>
      <w:r w:rsidR="00542857" w:rsidRPr="00936E59">
        <w:rPr>
          <w:rFonts w:ascii="Times New Roman" w:hAnsi="Times New Roman" w:cs="Times New Roman"/>
          <w:i/>
          <w:sz w:val="24"/>
          <w:szCs w:val="24"/>
        </w:rPr>
        <w:t xml:space="preserve">a quo </w:t>
      </w:r>
      <w:r w:rsidRPr="00936E59">
        <w:rPr>
          <w:rFonts w:ascii="Times New Roman" w:hAnsi="Times New Roman" w:cs="Times New Roman"/>
          <w:sz w:val="24"/>
          <w:szCs w:val="24"/>
        </w:rPr>
        <w:t>on 2 </w:t>
      </w:r>
      <w:r w:rsidR="00CA43FB" w:rsidRPr="00936E59">
        <w:rPr>
          <w:rFonts w:ascii="Times New Roman" w:hAnsi="Times New Roman" w:cs="Times New Roman"/>
          <w:sz w:val="24"/>
          <w:szCs w:val="24"/>
        </w:rPr>
        <w:t xml:space="preserve">August 2013. In terms of the </w:t>
      </w:r>
      <w:r w:rsidR="004A15A9" w:rsidRPr="00936E59">
        <w:rPr>
          <w:rFonts w:ascii="Times New Roman" w:hAnsi="Times New Roman" w:cs="Times New Roman"/>
          <w:sz w:val="24"/>
          <w:szCs w:val="24"/>
        </w:rPr>
        <w:t>D</w:t>
      </w:r>
      <w:r w:rsidR="00CA43FB" w:rsidRPr="00936E59">
        <w:rPr>
          <w:rFonts w:ascii="Times New Roman" w:hAnsi="Times New Roman" w:cs="Times New Roman"/>
          <w:sz w:val="24"/>
          <w:szCs w:val="24"/>
        </w:rPr>
        <w:t>eed, the respondent agreed to pay the appellant US$ 4 556 777.78 in full and final settlement of the appellant’s claim in the summons. This was to be paid throug</w:t>
      </w:r>
      <w:r w:rsidRPr="00936E59">
        <w:rPr>
          <w:rFonts w:ascii="Times New Roman" w:hAnsi="Times New Roman" w:cs="Times New Roman"/>
          <w:sz w:val="24"/>
          <w:szCs w:val="24"/>
        </w:rPr>
        <w:t xml:space="preserve">h an initial payment of US$350 </w:t>
      </w:r>
      <w:r w:rsidR="00CA43FB" w:rsidRPr="00936E59">
        <w:rPr>
          <w:rFonts w:ascii="Times New Roman" w:hAnsi="Times New Roman" w:cs="Times New Roman"/>
          <w:sz w:val="24"/>
          <w:szCs w:val="24"/>
        </w:rPr>
        <w:t>000 and consecutive quarte</w:t>
      </w:r>
      <w:r w:rsidR="00542857" w:rsidRPr="00936E59">
        <w:rPr>
          <w:rFonts w:ascii="Times New Roman" w:hAnsi="Times New Roman" w:cs="Times New Roman"/>
          <w:sz w:val="24"/>
          <w:szCs w:val="24"/>
        </w:rPr>
        <w:t>rly payments of US$ 483 000 on or before</w:t>
      </w:r>
      <w:r w:rsidR="00CA43FB" w:rsidRPr="00936E59">
        <w:rPr>
          <w:rFonts w:ascii="Times New Roman" w:hAnsi="Times New Roman" w:cs="Times New Roman"/>
          <w:sz w:val="24"/>
          <w:szCs w:val="24"/>
        </w:rPr>
        <w:t xml:space="preserve"> 30 September 2013. In </w:t>
      </w:r>
      <w:r w:rsidR="00A54AD2" w:rsidRPr="00936E59">
        <w:rPr>
          <w:rFonts w:ascii="Times New Roman" w:hAnsi="Times New Roman" w:cs="Times New Roman"/>
          <w:sz w:val="24"/>
          <w:szCs w:val="24"/>
        </w:rPr>
        <w:t>terms of clause 1 (c</w:t>
      </w:r>
      <w:r w:rsidR="001E0552" w:rsidRPr="00936E59">
        <w:rPr>
          <w:rFonts w:ascii="Times New Roman" w:hAnsi="Times New Roman" w:cs="Times New Roman"/>
          <w:sz w:val="24"/>
          <w:szCs w:val="24"/>
        </w:rPr>
        <w:t>)</w:t>
      </w:r>
      <w:r w:rsidR="00F27648" w:rsidRPr="00936E59">
        <w:rPr>
          <w:rFonts w:ascii="Times New Roman" w:hAnsi="Times New Roman" w:cs="Times New Roman"/>
          <w:sz w:val="24"/>
          <w:szCs w:val="24"/>
        </w:rPr>
        <w:t xml:space="preserve"> of the D</w:t>
      </w:r>
      <w:r w:rsidR="00542857" w:rsidRPr="00936E59">
        <w:rPr>
          <w:rFonts w:ascii="Times New Roman" w:hAnsi="Times New Roman" w:cs="Times New Roman"/>
          <w:sz w:val="24"/>
          <w:szCs w:val="24"/>
        </w:rPr>
        <w:t>eed</w:t>
      </w:r>
      <w:r w:rsidR="001E0552" w:rsidRPr="00936E59">
        <w:rPr>
          <w:rFonts w:ascii="Times New Roman" w:hAnsi="Times New Roman" w:cs="Times New Roman"/>
          <w:sz w:val="24"/>
          <w:szCs w:val="24"/>
        </w:rPr>
        <w:t xml:space="preserve">, </w:t>
      </w:r>
      <w:r w:rsidR="00CA43FB" w:rsidRPr="00936E59">
        <w:rPr>
          <w:rFonts w:ascii="Times New Roman" w:hAnsi="Times New Roman" w:cs="Times New Roman"/>
          <w:sz w:val="24"/>
          <w:szCs w:val="24"/>
        </w:rPr>
        <w:t>interest on the capital sum was to accrue at the rate of 15</w:t>
      </w:r>
      <w:r w:rsidR="003F651D" w:rsidRPr="00936E59">
        <w:rPr>
          <w:rFonts w:ascii="Times New Roman" w:hAnsi="Times New Roman" w:cs="Times New Roman"/>
          <w:sz w:val="24"/>
          <w:szCs w:val="24"/>
        </w:rPr>
        <w:t xml:space="preserve"> percent</w:t>
      </w:r>
      <w:r w:rsidR="00CA43FB" w:rsidRPr="00936E59">
        <w:rPr>
          <w:rFonts w:ascii="Times New Roman" w:hAnsi="Times New Roman" w:cs="Times New Roman"/>
          <w:sz w:val="24"/>
          <w:szCs w:val="24"/>
        </w:rPr>
        <w:t xml:space="preserve"> per annum.</w:t>
      </w:r>
      <w:r w:rsidR="00F27648" w:rsidRPr="00936E59">
        <w:rPr>
          <w:rFonts w:ascii="Times New Roman" w:hAnsi="Times New Roman" w:cs="Times New Roman"/>
          <w:sz w:val="24"/>
          <w:szCs w:val="24"/>
        </w:rPr>
        <w:t xml:space="preserve"> Clause 2 of the D</w:t>
      </w:r>
      <w:r w:rsidR="00A54AD2" w:rsidRPr="00936E59">
        <w:rPr>
          <w:rFonts w:ascii="Times New Roman" w:hAnsi="Times New Roman" w:cs="Times New Roman"/>
          <w:sz w:val="24"/>
          <w:szCs w:val="24"/>
        </w:rPr>
        <w:t xml:space="preserve">eed </w:t>
      </w:r>
      <w:r w:rsidR="00AE1B05" w:rsidRPr="00936E59">
        <w:rPr>
          <w:rFonts w:ascii="Times New Roman" w:hAnsi="Times New Roman" w:cs="Times New Roman"/>
          <w:sz w:val="24"/>
          <w:szCs w:val="24"/>
        </w:rPr>
        <w:t xml:space="preserve">further </w:t>
      </w:r>
      <w:r w:rsidR="00A54AD2" w:rsidRPr="00936E59">
        <w:rPr>
          <w:rFonts w:ascii="Times New Roman" w:hAnsi="Times New Roman" w:cs="Times New Roman"/>
          <w:sz w:val="24"/>
          <w:szCs w:val="24"/>
        </w:rPr>
        <w:t xml:space="preserve">provided </w:t>
      </w:r>
      <w:r w:rsidR="002420BC" w:rsidRPr="00936E59">
        <w:rPr>
          <w:rFonts w:ascii="Times New Roman" w:hAnsi="Times New Roman" w:cs="Times New Roman"/>
          <w:sz w:val="24"/>
          <w:szCs w:val="24"/>
        </w:rPr>
        <w:t>that</w:t>
      </w:r>
      <w:r w:rsidR="00DF6F7F" w:rsidRPr="00936E59">
        <w:rPr>
          <w:rFonts w:ascii="Times New Roman" w:hAnsi="Times New Roman" w:cs="Times New Roman"/>
          <w:sz w:val="24"/>
          <w:szCs w:val="24"/>
        </w:rPr>
        <w:t xml:space="preserve"> the appellant </w:t>
      </w:r>
      <w:r w:rsidR="00DF6F7F" w:rsidRPr="00936E59">
        <w:rPr>
          <w:rFonts w:ascii="Times New Roman" w:hAnsi="Times New Roman" w:cs="Times New Roman"/>
          <w:i/>
          <w:sz w:val="24"/>
          <w:szCs w:val="24"/>
        </w:rPr>
        <w:t xml:space="preserve">in casu </w:t>
      </w:r>
      <w:r w:rsidR="00DF6F7F" w:rsidRPr="00936E59">
        <w:rPr>
          <w:rFonts w:ascii="Times New Roman" w:hAnsi="Times New Roman" w:cs="Times New Roman"/>
          <w:sz w:val="24"/>
          <w:szCs w:val="24"/>
        </w:rPr>
        <w:t>was</w:t>
      </w:r>
      <w:r w:rsidR="00F34E43" w:rsidRPr="00936E59">
        <w:rPr>
          <w:rFonts w:ascii="Times New Roman" w:hAnsi="Times New Roman" w:cs="Times New Roman"/>
          <w:sz w:val="24"/>
          <w:szCs w:val="24"/>
        </w:rPr>
        <w:t xml:space="preserve"> </w:t>
      </w:r>
      <w:r w:rsidRPr="00936E59">
        <w:rPr>
          <w:rFonts w:ascii="Times New Roman" w:hAnsi="Times New Roman" w:cs="Times New Roman"/>
          <w:sz w:val="24"/>
          <w:szCs w:val="24"/>
        </w:rPr>
        <w:t>entitled</w:t>
      </w:r>
      <w:r w:rsidR="00F34E43" w:rsidRPr="00936E59">
        <w:rPr>
          <w:rFonts w:ascii="Times New Roman" w:hAnsi="Times New Roman" w:cs="Times New Roman"/>
          <w:sz w:val="24"/>
          <w:szCs w:val="24"/>
        </w:rPr>
        <w:t xml:space="preserve">, in the event of a default by the </w:t>
      </w:r>
      <w:r w:rsidR="00F34E43" w:rsidRPr="00936E59">
        <w:rPr>
          <w:rFonts w:ascii="Times New Roman" w:hAnsi="Times New Roman" w:cs="Times New Roman"/>
          <w:sz w:val="24"/>
          <w:szCs w:val="24"/>
        </w:rPr>
        <w:lastRenderedPageBreak/>
        <w:t>respondent in making th</w:t>
      </w:r>
      <w:r w:rsidRPr="00936E59">
        <w:rPr>
          <w:rFonts w:ascii="Times New Roman" w:hAnsi="Times New Roman" w:cs="Times New Roman"/>
          <w:sz w:val="24"/>
          <w:szCs w:val="24"/>
        </w:rPr>
        <w:t>e required payments, to file a c</w:t>
      </w:r>
      <w:r w:rsidR="00F34E43" w:rsidRPr="00936E59">
        <w:rPr>
          <w:rFonts w:ascii="Times New Roman" w:hAnsi="Times New Roman" w:cs="Times New Roman"/>
          <w:sz w:val="24"/>
          <w:szCs w:val="24"/>
        </w:rPr>
        <w:t>hamber application for default judgment in the relevant amount, against the respondent.</w:t>
      </w:r>
    </w:p>
    <w:p w:rsidR="008E75AA" w:rsidRPr="00936E59" w:rsidRDefault="008E75AA" w:rsidP="006B2341">
      <w:pPr>
        <w:spacing w:after="0" w:line="480" w:lineRule="auto"/>
        <w:ind w:left="720" w:hanging="720"/>
        <w:jc w:val="both"/>
        <w:rPr>
          <w:rFonts w:ascii="Times New Roman" w:hAnsi="Times New Roman" w:cs="Times New Roman"/>
          <w:sz w:val="24"/>
          <w:szCs w:val="24"/>
        </w:rPr>
      </w:pPr>
    </w:p>
    <w:p w:rsidR="00EC5B10" w:rsidRPr="00936E59" w:rsidRDefault="00F34E43" w:rsidP="000D65E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 xml:space="preserve"> </w:t>
      </w:r>
      <w:r w:rsidR="007C4B5B" w:rsidRPr="00936E59">
        <w:rPr>
          <w:rFonts w:ascii="Times New Roman" w:hAnsi="Times New Roman" w:cs="Times New Roman"/>
          <w:sz w:val="24"/>
          <w:szCs w:val="24"/>
        </w:rPr>
        <w:t>[</w:t>
      </w:r>
      <w:r w:rsidR="0026421E" w:rsidRPr="00936E59">
        <w:rPr>
          <w:rFonts w:ascii="Times New Roman" w:hAnsi="Times New Roman" w:cs="Times New Roman"/>
          <w:sz w:val="24"/>
          <w:szCs w:val="24"/>
        </w:rPr>
        <w:t>6</w:t>
      </w:r>
      <w:r w:rsidR="007C4B5B" w:rsidRPr="00936E59">
        <w:rPr>
          <w:rFonts w:ascii="Times New Roman" w:hAnsi="Times New Roman" w:cs="Times New Roman"/>
          <w:sz w:val="24"/>
          <w:szCs w:val="24"/>
        </w:rPr>
        <w:t>]</w:t>
      </w:r>
      <w:r w:rsidR="007C4B5B" w:rsidRPr="00936E59">
        <w:rPr>
          <w:rFonts w:ascii="Times New Roman" w:hAnsi="Times New Roman" w:cs="Times New Roman"/>
          <w:sz w:val="24"/>
          <w:szCs w:val="24"/>
        </w:rPr>
        <w:tab/>
      </w:r>
      <w:r w:rsidR="00747C8B" w:rsidRPr="00936E59">
        <w:rPr>
          <w:rFonts w:ascii="Times New Roman" w:hAnsi="Times New Roman" w:cs="Times New Roman"/>
          <w:sz w:val="24"/>
          <w:szCs w:val="24"/>
        </w:rPr>
        <w:t xml:space="preserve">Between February and March 2014, the respondent wrote to the appellant indicating that it was facing operational challenges which were affecting its ability to amortise the debt but indicated that efforts were </w:t>
      </w:r>
      <w:r w:rsidR="007C4B5B" w:rsidRPr="00936E59">
        <w:rPr>
          <w:rFonts w:ascii="Times New Roman" w:hAnsi="Times New Roman" w:cs="Times New Roman"/>
          <w:sz w:val="24"/>
          <w:szCs w:val="24"/>
        </w:rPr>
        <w:t>being made to rectify the problem</w:t>
      </w:r>
      <w:r w:rsidR="00747C8B" w:rsidRPr="00936E59">
        <w:rPr>
          <w:rFonts w:ascii="Times New Roman" w:hAnsi="Times New Roman" w:cs="Times New Roman"/>
          <w:sz w:val="24"/>
          <w:szCs w:val="24"/>
        </w:rPr>
        <w:t xml:space="preserve">. </w:t>
      </w:r>
      <w:r w:rsidR="001E0552" w:rsidRPr="00936E59">
        <w:rPr>
          <w:rFonts w:ascii="Times New Roman" w:hAnsi="Times New Roman" w:cs="Times New Roman"/>
          <w:sz w:val="24"/>
          <w:szCs w:val="24"/>
        </w:rPr>
        <w:t>Thereafter, o</w:t>
      </w:r>
      <w:r w:rsidR="00A54AD2" w:rsidRPr="00936E59">
        <w:rPr>
          <w:rFonts w:ascii="Times New Roman" w:hAnsi="Times New Roman" w:cs="Times New Roman"/>
          <w:sz w:val="24"/>
          <w:szCs w:val="24"/>
        </w:rPr>
        <w:t xml:space="preserve">n 14 May 2014, the appellant wrote a letter calling upon the respondent to </w:t>
      </w:r>
      <w:r w:rsidR="00747C8B" w:rsidRPr="00936E59">
        <w:rPr>
          <w:rFonts w:ascii="Times New Roman" w:hAnsi="Times New Roman" w:cs="Times New Roman"/>
          <w:sz w:val="24"/>
          <w:szCs w:val="24"/>
        </w:rPr>
        <w:t>pay all the outstanding sums</w:t>
      </w:r>
      <w:r w:rsidR="002420BC" w:rsidRPr="00936E59">
        <w:rPr>
          <w:rFonts w:ascii="Times New Roman" w:hAnsi="Times New Roman" w:cs="Times New Roman"/>
          <w:sz w:val="24"/>
          <w:szCs w:val="24"/>
        </w:rPr>
        <w:t xml:space="preserve"> in terms of the </w:t>
      </w:r>
      <w:r w:rsidR="004A15A9" w:rsidRPr="00936E59">
        <w:rPr>
          <w:rFonts w:ascii="Times New Roman" w:hAnsi="Times New Roman" w:cs="Times New Roman"/>
          <w:sz w:val="24"/>
          <w:szCs w:val="24"/>
        </w:rPr>
        <w:t>D</w:t>
      </w:r>
      <w:r w:rsidR="002420BC" w:rsidRPr="00936E59">
        <w:rPr>
          <w:rFonts w:ascii="Times New Roman" w:hAnsi="Times New Roman" w:cs="Times New Roman"/>
          <w:sz w:val="24"/>
          <w:szCs w:val="24"/>
        </w:rPr>
        <w:t>eed</w:t>
      </w:r>
      <w:r w:rsidR="00EC5B10" w:rsidRPr="00936E59">
        <w:rPr>
          <w:rFonts w:ascii="Times New Roman" w:hAnsi="Times New Roman" w:cs="Times New Roman"/>
          <w:sz w:val="24"/>
          <w:szCs w:val="24"/>
        </w:rPr>
        <w:t>.</w:t>
      </w:r>
      <w:r w:rsidR="007C4B5B" w:rsidRPr="00936E59">
        <w:rPr>
          <w:rFonts w:ascii="Times New Roman" w:hAnsi="Times New Roman" w:cs="Times New Roman"/>
          <w:sz w:val="24"/>
          <w:szCs w:val="24"/>
        </w:rPr>
        <w:t xml:space="preserve"> This was followed by letters from</w:t>
      </w:r>
      <w:r w:rsidR="00EC5B10" w:rsidRPr="00936E59">
        <w:rPr>
          <w:rFonts w:ascii="Times New Roman" w:hAnsi="Times New Roman" w:cs="Times New Roman"/>
          <w:sz w:val="24"/>
          <w:szCs w:val="24"/>
        </w:rPr>
        <w:t xml:space="preserve"> the respondent</w:t>
      </w:r>
      <w:r w:rsidR="007C4B5B" w:rsidRPr="00936E59">
        <w:rPr>
          <w:rFonts w:ascii="Times New Roman" w:hAnsi="Times New Roman" w:cs="Times New Roman"/>
          <w:sz w:val="24"/>
          <w:szCs w:val="24"/>
        </w:rPr>
        <w:t xml:space="preserve"> containing</w:t>
      </w:r>
      <w:r w:rsidR="00EC5B10" w:rsidRPr="00936E59">
        <w:rPr>
          <w:rFonts w:ascii="Times New Roman" w:hAnsi="Times New Roman" w:cs="Times New Roman"/>
          <w:sz w:val="24"/>
          <w:szCs w:val="24"/>
        </w:rPr>
        <w:t xml:space="preserve"> proposals </w:t>
      </w:r>
      <w:r w:rsidR="00747C8B" w:rsidRPr="00936E59">
        <w:rPr>
          <w:rFonts w:ascii="Times New Roman" w:hAnsi="Times New Roman" w:cs="Times New Roman"/>
          <w:sz w:val="24"/>
          <w:szCs w:val="24"/>
        </w:rPr>
        <w:t>on how it intended to settle th</w:t>
      </w:r>
      <w:r w:rsidR="00AD104E" w:rsidRPr="00936E59">
        <w:rPr>
          <w:rFonts w:ascii="Times New Roman" w:hAnsi="Times New Roman" w:cs="Times New Roman"/>
          <w:sz w:val="24"/>
          <w:szCs w:val="24"/>
        </w:rPr>
        <w:t>e outstanding debt and interest</w:t>
      </w:r>
      <w:r w:rsidR="00EC5B10" w:rsidRPr="00936E59">
        <w:rPr>
          <w:rFonts w:ascii="Times New Roman" w:hAnsi="Times New Roman" w:cs="Times New Roman"/>
          <w:sz w:val="24"/>
          <w:szCs w:val="24"/>
        </w:rPr>
        <w:t>, the last of which</w:t>
      </w:r>
      <w:r w:rsidR="00737E98" w:rsidRPr="00936E59">
        <w:rPr>
          <w:rFonts w:ascii="Times New Roman" w:hAnsi="Times New Roman" w:cs="Times New Roman"/>
          <w:sz w:val="24"/>
          <w:szCs w:val="24"/>
        </w:rPr>
        <w:t xml:space="preserve"> letters</w:t>
      </w:r>
      <w:r w:rsidR="000D65E1" w:rsidRPr="00936E59">
        <w:rPr>
          <w:rFonts w:ascii="Times New Roman" w:hAnsi="Times New Roman" w:cs="Times New Roman"/>
          <w:sz w:val="24"/>
          <w:szCs w:val="24"/>
        </w:rPr>
        <w:t xml:space="preserve"> was dated 12 </w:t>
      </w:r>
      <w:r w:rsidR="00AD104E" w:rsidRPr="00936E59">
        <w:rPr>
          <w:rFonts w:ascii="Times New Roman" w:hAnsi="Times New Roman" w:cs="Times New Roman"/>
          <w:sz w:val="24"/>
          <w:szCs w:val="24"/>
        </w:rPr>
        <w:t>January 2015.</w:t>
      </w:r>
      <w:r w:rsidR="00A42CFD" w:rsidRPr="00936E59">
        <w:rPr>
          <w:rFonts w:ascii="Times New Roman" w:hAnsi="Times New Roman" w:cs="Times New Roman"/>
          <w:sz w:val="24"/>
          <w:szCs w:val="24"/>
        </w:rPr>
        <w:t xml:space="preserve"> </w:t>
      </w:r>
    </w:p>
    <w:p w:rsidR="000D65E1" w:rsidRPr="00936E59" w:rsidRDefault="000D65E1" w:rsidP="000D65E1">
      <w:pPr>
        <w:spacing w:after="0" w:line="480" w:lineRule="auto"/>
        <w:ind w:left="720" w:hanging="720"/>
        <w:jc w:val="both"/>
        <w:rPr>
          <w:rFonts w:ascii="Times New Roman" w:hAnsi="Times New Roman" w:cs="Times New Roman"/>
          <w:sz w:val="24"/>
          <w:szCs w:val="24"/>
        </w:rPr>
      </w:pPr>
    </w:p>
    <w:p w:rsidR="00C6720A" w:rsidRPr="00936E59" w:rsidRDefault="005A3612" w:rsidP="000D65E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w:t>
      </w:r>
      <w:r w:rsidR="0026421E" w:rsidRPr="00936E59">
        <w:rPr>
          <w:rFonts w:ascii="Times New Roman" w:hAnsi="Times New Roman" w:cs="Times New Roman"/>
          <w:sz w:val="24"/>
          <w:szCs w:val="24"/>
        </w:rPr>
        <w:t>7</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737E98" w:rsidRPr="00936E59">
        <w:rPr>
          <w:rFonts w:ascii="Times New Roman" w:hAnsi="Times New Roman" w:cs="Times New Roman"/>
          <w:sz w:val="24"/>
          <w:szCs w:val="24"/>
        </w:rPr>
        <w:t>On 6 February 2015, t</w:t>
      </w:r>
      <w:r w:rsidRPr="00936E59">
        <w:rPr>
          <w:rFonts w:ascii="Times New Roman" w:hAnsi="Times New Roman" w:cs="Times New Roman"/>
          <w:sz w:val="24"/>
          <w:szCs w:val="24"/>
        </w:rPr>
        <w:t xml:space="preserve">he appellant, acting on the </w:t>
      </w:r>
      <w:r w:rsidR="00707BCE" w:rsidRPr="00936E59">
        <w:rPr>
          <w:rFonts w:ascii="Times New Roman" w:hAnsi="Times New Roman" w:cs="Times New Roman"/>
          <w:sz w:val="24"/>
          <w:szCs w:val="24"/>
        </w:rPr>
        <w:t xml:space="preserve">basis </w:t>
      </w:r>
      <w:r w:rsidRPr="00936E59">
        <w:rPr>
          <w:rFonts w:ascii="Times New Roman" w:hAnsi="Times New Roman" w:cs="Times New Roman"/>
          <w:sz w:val="24"/>
          <w:szCs w:val="24"/>
        </w:rPr>
        <w:t xml:space="preserve">of clause 2 of the </w:t>
      </w:r>
      <w:r w:rsidR="004A15A9" w:rsidRPr="00936E59">
        <w:rPr>
          <w:rFonts w:ascii="Times New Roman" w:hAnsi="Times New Roman" w:cs="Times New Roman"/>
          <w:sz w:val="24"/>
          <w:szCs w:val="24"/>
        </w:rPr>
        <w:t>D</w:t>
      </w:r>
      <w:r w:rsidRPr="00936E59">
        <w:rPr>
          <w:rFonts w:ascii="Times New Roman" w:hAnsi="Times New Roman" w:cs="Times New Roman"/>
          <w:sz w:val="24"/>
          <w:szCs w:val="24"/>
        </w:rPr>
        <w:t>eed,</w:t>
      </w:r>
      <w:r w:rsidR="00AD104E" w:rsidRPr="00936E59">
        <w:rPr>
          <w:rFonts w:ascii="Times New Roman" w:hAnsi="Times New Roman" w:cs="Times New Roman"/>
          <w:sz w:val="24"/>
          <w:szCs w:val="24"/>
        </w:rPr>
        <w:t xml:space="preserve"> filed a chamber application for </w:t>
      </w:r>
      <w:r w:rsidR="00737E98" w:rsidRPr="00936E59">
        <w:rPr>
          <w:rFonts w:ascii="Times New Roman" w:hAnsi="Times New Roman" w:cs="Times New Roman"/>
          <w:sz w:val="24"/>
          <w:szCs w:val="24"/>
        </w:rPr>
        <w:t xml:space="preserve">default judgment. </w:t>
      </w:r>
      <w:r w:rsidR="00AD104E" w:rsidRPr="00936E59">
        <w:rPr>
          <w:rFonts w:ascii="Times New Roman" w:hAnsi="Times New Roman" w:cs="Times New Roman"/>
          <w:sz w:val="24"/>
          <w:szCs w:val="24"/>
        </w:rPr>
        <w:t>The</w:t>
      </w:r>
      <w:r w:rsidR="00737E98" w:rsidRPr="00936E59">
        <w:rPr>
          <w:rFonts w:ascii="Times New Roman" w:hAnsi="Times New Roman" w:cs="Times New Roman"/>
          <w:sz w:val="24"/>
          <w:szCs w:val="24"/>
        </w:rPr>
        <w:t xml:space="preserve"> respondent opposed the application.</w:t>
      </w:r>
      <w:r w:rsidR="00AD104E" w:rsidRPr="00936E59">
        <w:rPr>
          <w:rFonts w:ascii="Times New Roman" w:hAnsi="Times New Roman" w:cs="Times New Roman"/>
          <w:sz w:val="24"/>
          <w:szCs w:val="24"/>
        </w:rPr>
        <w:t xml:space="preserve"> It stated that there were computation errors on the outstanding ba</w:t>
      </w:r>
      <w:r w:rsidR="00737E98" w:rsidRPr="00936E59">
        <w:rPr>
          <w:rFonts w:ascii="Times New Roman" w:hAnsi="Times New Roman" w:cs="Times New Roman"/>
          <w:sz w:val="24"/>
          <w:szCs w:val="24"/>
        </w:rPr>
        <w:t xml:space="preserve">lance in the </w:t>
      </w:r>
      <w:r w:rsidR="004A15A9" w:rsidRPr="00936E59">
        <w:rPr>
          <w:rFonts w:ascii="Times New Roman" w:hAnsi="Times New Roman" w:cs="Times New Roman"/>
          <w:sz w:val="24"/>
          <w:szCs w:val="24"/>
        </w:rPr>
        <w:t xml:space="preserve">Deed </w:t>
      </w:r>
      <w:r w:rsidR="00AD104E" w:rsidRPr="00936E59">
        <w:rPr>
          <w:rFonts w:ascii="Times New Roman" w:hAnsi="Times New Roman" w:cs="Times New Roman"/>
          <w:sz w:val="24"/>
          <w:szCs w:val="24"/>
        </w:rPr>
        <w:t>and that it had erroneously acknowledged the outstanding balance as US$ 4 555 777.78 when the correct figure shoul</w:t>
      </w:r>
      <w:r w:rsidR="00B16E99" w:rsidRPr="00936E59">
        <w:rPr>
          <w:rFonts w:ascii="Times New Roman" w:hAnsi="Times New Roman" w:cs="Times New Roman"/>
          <w:sz w:val="24"/>
          <w:szCs w:val="24"/>
        </w:rPr>
        <w:t xml:space="preserve">d have been US$ 1 285 308.52. </w:t>
      </w:r>
      <w:r w:rsidRPr="00936E59">
        <w:rPr>
          <w:rFonts w:ascii="Times New Roman" w:hAnsi="Times New Roman" w:cs="Times New Roman"/>
          <w:sz w:val="24"/>
          <w:szCs w:val="24"/>
        </w:rPr>
        <w:t xml:space="preserve">There is no suggestion from the respondent that it took any measures to have the deed rectified in the respects required. </w:t>
      </w:r>
      <w:r w:rsidR="00B16E99" w:rsidRPr="00936E59">
        <w:rPr>
          <w:rFonts w:ascii="Times New Roman" w:hAnsi="Times New Roman" w:cs="Times New Roman"/>
          <w:sz w:val="24"/>
          <w:szCs w:val="24"/>
        </w:rPr>
        <w:t xml:space="preserve">The respondent </w:t>
      </w:r>
      <w:r w:rsidRPr="00936E59">
        <w:rPr>
          <w:rFonts w:ascii="Times New Roman" w:hAnsi="Times New Roman" w:cs="Times New Roman"/>
          <w:sz w:val="24"/>
          <w:szCs w:val="24"/>
        </w:rPr>
        <w:t xml:space="preserve">however, </w:t>
      </w:r>
      <w:r w:rsidR="00B16E99" w:rsidRPr="00936E59">
        <w:rPr>
          <w:rFonts w:ascii="Times New Roman" w:hAnsi="Times New Roman" w:cs="Times New Roman"/>
          <w:sz w:val="24"/>
          <w:szCs w:val="24"/>
        </w:rPr>
        <w:t>averred</w:t>
      </w:r>
      <w:r w:rsidR="00542857" w:rsidRPr="00936E59">
        <w:rPr>
          <w:rFonts w:ascii="Times New Roman" w:hAnsi="Times New Roman" w:cs="Times New Roman"/>
          <w:sz w:val="24"/>
          <w:szCs w:val="24"/>
        </w:rPr>
        <w:t xml:space="preserve"> that it</w:t>
      </w:r>
      <w:r w:rsidR="00AD104E" w:rsidRPr="00936E59">
        <w:rPr>
          <w:rFonts w:ascii="Times New Roman" w:hAnsi="Times New Roman" w:cs="Times New Roman"/>
          <w:sz w:val="24"/>
          <w:szCs w:val="24"/>
        </w:rPr>
        <w:t xml:space="preserve"> noted th</w:t>
      </w:r>
      <w:r w:rsidR="00737E98" w:rsidRPr="00936E59">
        <w:rPr>
          <w:rFonts w:ascii="Times New Roman" w:hAnsi="Times New Roman" w:cs="Times New Roman"/>
          <w:sz w:val="24"/>
          <w:szCs w:val="24"/>
        </w:rPr>
        <w:t>at its debt remained huge</w:t>
      </w:r>
      <w:r w:rsidR="00AD104E" w:rsidRPr="00936E59">
        <w:rPr>
          <w:rFonts w:ascii="Times New Roman" w:hAnsi="Times New Roman" w:cs="Times New Roman"/>
          <w:sz w:val="24"/>
          <w:szCs w:val="24"/>
        </w:rPr>
        <w:t xml:space="preserve"> despite having made signifi</w:t>
      </w:r>
      <w:r w:rsidR="00B16E99" w:rsidRPr="00936E59">
        <w:rPr>
          <w:rFonts w:ascii="Times New Roman" w:hAnsi="Times New Roman" w:cs="Times New Roman"/>
          <w:sz w:val="24"/>
          <w:szCs w:val="24"/>
        </w:rPr>
        <w:t>can</w:t>
      </w:r>
      <w:r w:rsidR="00542857" w:rsidRPr="00936E59">
        <w:rPr>
          <w:rFonts w:ascii="Times New Roman" w:hAnsi="Times New Roman" w:cs="Times New Roman"/>
          <w:sz w:val="24"/>
          <w:szCs w:val="24"/>
        </w:rPr>
        <w:t xml:space="preserve">t payments towards </w:t>
      </w:r>
      <w:r w:rsidRPr="00936E59">
        <w:rPr>
          <w:rFonts w:ascii="Times New Roman" w:hAnsi="Times New Roman" w:cs="Times New Roman"/>
          <w:sz w:val="24"/>
          <w:szCs w:val="24"/>
        </w:rPr>
        <w:t>its repayment</w:t>
      </w:r>
      <w:r w:rsidR="00542857" w:rsidRPr="00936E59">
        <w:rPr>
          <w:rFonts w:ascii="Times New Roman" w:hAnsi="Times New Roman" w:cs="Times New Roman"/>
          <w:sz w:val="24"/>
          <w:szCs w:val="24"/>
        </w:rPr>
        <w:t xml:space="preserve">. </w:t>
      </w:r>
      <w:r w:rsidR="003E60CC" w:rsidRPr="00936E59">
        <w:rPr>
          <w:rFonts w:ascii="Times New Roman" w:hAnsi="Times New Roman" w:cs="Times New Roman"/>
          <w:sz w:val="24"/>
          <w:szCs w:val="24"/>
        </w:rPr>
        <w:t>This promp</w:t>
      </w:r>
      <w:r w:rsidR="00AD104E" w:rsidRPr="00936E59">
        <w:rPr>
          <w:rFonts w:ascii="Times New Roman" w:hAnsi="Times New Roman" w:cs="Times New Roman"/>
          <w:sz w:val="24"/>
          <w:szCs w:val="24"/>
        </w:rPr>
        <w:t xml:space="preserve">ted it to engage the Interest Research Bureau (Pvt) Ltd </w:t>
      </w:r>
      <w:r w:rsidR="003E60CC" w:rsidRPr="00936E59">
        <w:rPr>
          <w:rFonts w:ascii="Times New Roman" w:hAnsi="Times New Roman" w:cs="Times New Roman"/>
          <w:sz w:val="24"/>
          <w:szCs w:val="24"/>
        </w:rPr>
        <w:t>(</w:t>
      </w:r>
      <w:r w:rsidR="00AD104E" w:rsidRPr="00936E59">
        <w:rPr>
          <w:rFonts w:ascii="Times New Roman" w:hAnsi="Times New Roman" w:cs="Times New Roman"/>
          <w:sz w:val="24"/>
          <w:szCs w:val="24"/>
        </w:rPr>
        <w:t>‘IRB’</w:t>
      </w:r>
      <w:r w:rsidR="003E60CC" w:rsidRPr="00936E59">
        <w:rPr>
          <w:rFonts w:ascii="Times New Roman" w:hAnsi="Times New Roman" w:cs="Times New Roman"/>
          <w:sz w:val="24"/>
          <w:szCs w:val="24"/>
        </w:rPr>
        <w:t>)</w:t>
      </w:r>
      <w:r w:rsidR="00B16E99" w:rsidRPr="00936E59">
        <w:rPr>
          <w:rFonts w:ascii="Times New Roman" w:hAnsi="Times New Roman" w:cs="Times New Roman"/>
          <w:sz w:val="24"/>
          <w:szCs w:val="24"/>
        </w:rPr>
        <w:t>,</w:t>
      </w:r>
      <w:r w:rsidR="00AD104E" w:rsidRPr="00936E59">
        <w:rPr>
          <w:rFonts w:ascii="Times New Roman" w:hAnsi="Times New Roman" w:cs="Times New Roman"/>
          <w:sz w:val="24"/>
          <w:szCs w:val="24"/>
        </w:rPr>
        <w:t xml:space="preserve"> </w:t>
      </w:r>
      <w:r w:rsidRPr="00936E59">
        <w:rPr>
          <w:rFonts w:ascii="Times New Roman" w:hAnsi="Times New Roman" w:cs="Times New Roman"/>
          <w:sz w:val="24"/>
          <w:szCs w:val="24"/>
        </w:rPr>
        <w:t>a local firm which also operated</w:t>
      </w:r>
      <w:r w:rsidR="00075AD4" w:rsidRPr="00936E59">
        <w:rPr>
          <w:rFonts w:ascii="Times New Roman" w:hAnsi="Times New Roman" w:cs="Times New Roman"/>
          <w:sz w:val="24"/>
          <w:szCs w:val="24"/>
        </w:rPr>
        <w:t xml:space="preserve"> international</w:t>
      </w:r>
      <w:r w:rsidRPr="00936E59">
        <w:rPr>
          <w:rFonts w:ascii="Times New Roman" w:hAnsi="Times New Roman" w:cs="Times New Roman"/>
          <w:sz w:val="24"/>
          <w:szCs w:val="24"/>
        </w:rPr>
        <w:t xml:space="preserve">ly, </w:t>
      </w:r>
      <w:r w:rsidR="00AD104E" w:rsidRPr="00936E59">
        <w:rPr>
          <w:rFonts w:ascii="Times New Roman" w:hAnsi="Times New Roman" w:cs="Times New Roman"/>
          <w:sz w:val="24"/>
          <w:szCs w:val="24"/>
        </w:rPr>
        <w:t xml:space="preserve">for the recalculation and recovery of interest which had been </w:t>
      </w:r>
      <w:r w:rsidR="00F27648" w:rsidRPr="00936E59">
        <w:rPr>
          <w:rFonts w:ascii="Times New Roman" w:hAnsi="Times New Roman" w:cs="Times New Roman"/>
          <w:sz w:val="24"/>
          <w:szCs w:val="24"/>
        </w:rPr>
        <w:t xml:space="preserve">allegedly </w:t>
      </w:r>
      <w:r w:rsidR="00AD104E" w:rsidRPr="00936E59">
        <w:rPr>
          <w:rFonts w:ascii="Times New Roman" w:hAnsi="Times New Roman" w:cs="Times New Roman"/>
          <w:sz w:val="24"/>
          <w:szCs w:val="24"/>
        </w:rPr>
        <w:t>overcharged by the appellant.</w:t>
      </w:r>
      <w:r w:rsidR="00075AD4" w:rsidRPr="00936E59">
        <w:rPr>
          <w:rFonts w:ascii="Times New Roman" w:hAnsi="Times New Roman" w:cs="Times New Roman"/>
          <w:sz w:val="24"/>
          <w:szCs w:val="24"/>
        </w:rPr>
        <w:t xml:space="preserve"> </w:t>
      </w:r>
    </w:p>
    <w:p w:rsidR="000D65E1" w:rsidRPr="00936E59" w:rsidRDefault="000D65E1" w:rsidP="000D65E1">
      <w:pPr>
        <w:spacing w:after="0" w:line="480" w:lineRule="auto"/>
        <w:ind w:left="720" w:hanging="720"/>
        <w:jc w:val="both"/>
        <w:rPr>
          <w:rFonts w:ascii="Times New Roman" w:hAnsi="Times New Roman" w:cs="Times New Roman"/>
          <w:sz w:val="24"/>
          <w:szCs w:val="24"/>
        </w:rPr>
      </w:pPr>
    </w:p>
    <w:p w:rsidR="00AB262A" w:rsidRPr="00936E59" w:rsidRDefault="005A3612" w:rsidP="000D65E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w:t>
      </w:r>
      <w:r w:rsidR="0026421E" w:rsidRPr="00936E59">
        <w:rPr>
          <w:rFonts w:ascii="Times New Roman" w:hAnsi="Times New Roman" w:cs="Times New Roman"/>
          <w:sz w:val="24"/>
          <w:szCs w:val="24"/>
        </w:rPr>
        <w:t>8</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075AD4" w:rsidRPr="00936E59">
        <w:rPr>
          <w:rFonts w:ascii="Times New Roman" w:hAnsi="Times New Roman" w:cs="Times New Roman"/>
          <w:sz w:val="24"/>
          <w:szCs w:val="24"/>
        </w:rPr>
        <w:t xml:space="preserve">The reports by the IRB concluded that </w:t>
      </w:r>
      <w:r w:rsidRPr="00936E59">
        <w:rPr>
          <w:rFonts w:ascii="Times New Roman" w:hAnsi="Times New Roman" w:cs="Times New Roman"/>
          <w:sz w:val="24"/>
          <w:szCs w:val="24"/>
        </w:rPr>
        <w:t xml:space="preserve">the </w:t>
      </w:r>
      <w:r w:rsidR="00075AD4" w:rsidRPr="00936E59">
        <w:rPr>
          <w:rFonts w:ascii="Times New Roman" w:hAnsi="Times New Roman" w:cs="Times New Roman"/>
          <w:sz w:val="24"/>
          <w:szCs w:val="24"/>
        </w:rPr>
        <w:t xml:space="preserve">appellant had overcharged interest on the respondent’s </w:t>
      </w:r>
      <w:r w:rsidR="000D65E1" w:rsidRPr="00936E59">
        <w:rPr>
          <w:rFonts w:ascii="Times New Roman" w:hAnsi="Times New Roman" w:cs="Times New Roman"/>
          <w:sz w:val="24"/>
          <w:szCs w:val="24"/>
        </w:rPr>
        <w:t>account by</w:t>
      </w:r>
      <w:r w:rsidR="00075AD4" w:rsidRPr="00936E59">
        <w:rPr>
          <w:rFonts w:ascii="Times New Roman" w:hAnsi="Times New Roman" w:cs="Times New Roman"/>
          <w:sz w:val="24"/>
          <w:szCs w:val="24"/>
        </w:rPr>
        <w:t xml:space="preserve"> using rates different from </w:t>
      </w:r>
      <w:r w:rsidR="00B16E99" w:rsidRPr="00936E59">
        <w:rPr>
          <w:rFonts w:ascii="Times New Roman" w:hAnsi="Times New Roman" w:cs="Times New Roman"/>
          <w:sz w:val="24"/>
          <w:szCs w:val="24"/>
        </w:rPr>
        <w:t>the agreed rates and</w:t>
      </w:r>
      <w:r w:rsidR="00766F85" w:rsidRPr="00936E59">
        <w:rPr>
          <w:rFonts w:ascii="Times New Roman" w:hAnsi="Times New Roman" w:cs="Times New Roman"/>
          <w:sz w:val="24"/>
          <w:szCs w:val="24"/>
        </w:rPr>
        <w:t>,</w:t>
      </w:r>
      <w:r w:rsidR="00B16E99" w:rsidRPr="00936E59">
        <w:rPr>
          <w:rFonts w:ascii="Times New Roman" w:hAnsi="Times New Roman" w:cs="Times New Roman"/>
          <w:sz w:val="24"/>
          <w:szCs w:val="24"/>
        </w:rPr>
        <w:t xml:space="preserve"> as a result</w:t>
      </w:r>
      <w:r w:rsidR="00075AD4" w:rsidRPr="00936E59">
        <w:rPr>
          <w:rFonts w:ascii="Times New Roman" w:hAnsi="Times New Roman" w:cs="Times New Roman"/>
          <w:sz w:val="24"/>
          <w:szCs w:val="24"/>
        </w:rPr>
        <w:t xml:space="preserve">, </w:t>
      </w:r>
      <w:r w:rsidR="004A15A9" w:rsidRPr="00936E59">
        <w:rPr>
          <w:rFonts w:ascii="Times New Roman" w:hAnsi="Times New Roman" w:cs="Times New Roman"/>
          <w:sz w:val="24"/>
          <w:szCs w:val="24"/>
        </w:rPr>
        <w:t xml:space="preserve">the </w:t>
      </w:r>
      <w:r w:rsidR="004A15A9" w:rsidRPr="00936E59">
        <w:rPr>
          <w:rFonts w:ascii="Times New Roman" w:hAnsi="Times New Roman" w:cs="Times New Roman"/>
          <w:sz w:val="24"/>
          <w:szCs w:val="24"/>
        </w:rPr>
        <w:lastRenderedPageBreak/>
        <w:t xml:space="preserve">latter </w:t>
      </w:r>
      <w:r w:rsidR="00075AD4" w:rsidRPr="00936E59">
        <w:rPr>
          <w:rFonts w:ascii="Times New Roman" w:hAnsi="Times New Roman" w:cs="Times New Roman"/>
          <w:sz w:val="24"/>
          <w:szCs w:val="24"/>
        </w:rPr>
        <w:t>had been overch</w:t>
      </w:r>
      <w:r w:rsidRPr="00936E59">
        <w:rPr>
          <w:rFonts w:ascii="Times New Roman" w:hAnsi="Times New Roman" w:cs="Times New Roman"/>
          <w:sz w:val="24"/>
          <w:szCs w:val="24"/>
        </w:rPr>
        <w:t>arged to the tune of</w:t>
      </w:r>
      <w:r w:rsidR="003E60CC" w:rsidRPr="00936E59">
        <w:rPr>
          <w:rFonts w:ascii="Times New Roman" w:hAnsi="Times New Roman" w:cs="Times New Roman"/>
          <w:sz w:val="24"/>
          <w:szCs w:val="24"/>
        </w:rPr>
        <w:t xml:space="preserve"> </w:t>
      </w:r>
      <w:r w:rsidRPr="00936E59">
        <w:rPr>
          <w:rFonts w:ascii="Times New Roman" w:hAnsi="Times New Roman" w:cs="Times New Roman"/>
          <w:sz w:val="24"/>
          <w:szCs w:val="24"/>
        </w:rPr>
        <w:t xml:space="preserve">more </w:t>
      </w:r>
      <w:r w:rsidR="000A7F56" w:rsidRPr="00936E59">
        <w:rPr>
          <w:rFonts w:ascii="Times New Roman" w:hAnsi="Times New Roman" w:cs="Times New Roman"/>
          <w:sz w:val="24"/>
          <w:szCs w:val="24"/>
        </w:rPr>
        <w:t>than US$</w:t>
      </w:r>
      <w:r w:rsidR="003E60CC" w:rsidRPr="00936E59">
        <w:rPr>
          <w:rFonts w:ascii="Times New Roman" w:hAnsi="Times New Roman" w:cs="Times New Roman"/>
          <w:sz w:val="24"/>
          <w:szCs w:val="24"/>
        </w:rPr>
        <w:t xml:space="preserve">2 000 </w:t>
      </w:r>
      <w:r w:rsidR="00075AD4" w:rsidRPr="00936E59">
        <w:rPr>
          <w:rFonts w:ascii="Times New Roman" w:hAnsi="Times New Roman" w:cs="Times New Roman"/>
          <w:sz w:val="24"/>
          <w:szCs w:val="24"/>
        </w:rPr>
        <w:t xml:space="preserve">000. The report further found that the respondent’s account had been debited with undue charges and fees and </w:t>
      </w:r>
      <w:r w:rsidR="00737E98" w:rsidRPr="00936E59">
        <w:rPr>
          <w:rFonts w:ascii="Times New Roman" w:hAnsi="Times New Roman" w:cs="Times New Roman"/>
          <w:sz w:val="24"/>
          <w:szCs w:val="24"/>
        </w:rPr>
        <w:t xml:space="preserve">that </w:t>
      </w:r>
      <w:r w:rsidR="003E60CC" w:rsidRPr="00936E59">
        <w:rPr>
          <w:rFonts w:ascii="Times New Roman" w:hAnsi="Times New Roman" w:cs="Times New Roman"/>
          <w:sz w:val="24"/>
          <w:szCs w:val="24"/>
        </w:rPr>
        <w:t xml:space="preserve">again </w:t>
      </w:r>
      <w:r w:rsidRPr="00936E59">
        <w:rPr>
          <w:rFonts w:ascii="Times New Roman" w:hAnsi="Times New Roman" w:cs="Times New Roman"/>
          <w:sz w:val="24"/>
          <w:szCs w:val="24"/>
        </w:rPr>
        <w:t>there was overcharging on</w:t>
      </w:r>
      <w:r w:rsidR="003E60CC" w:rsidRPr="00936E59">
        <w:rPr>
          <w:rFonts w:ascii="Times New Roman" w:hAnsi="Times New Roman" w:cs="Times New Roman"/>
          <w:sz w:val="24"/>
          <w:szCs w:val="24"/>
        </w:rPr>
        <w:t xml:space="preserve"> interest. The r</w:t>
      </w:r>
      <w:r w:rsidR="00075AD4" w:rsidRPr="00936E59">
        <w:rPr>
          <w:rFonts w:ascii="Times New Roman" w:hAnsi="Times New Roman" w:cs="Times New Roman"/>
          <w:sz w:val="24"/>
          <w:szCs w:val="24"/>
        </w:rPr>
        <w:t>espondent thus contended that</w:t>
      </w:r>
      <w:r w:rsidR="00766F85" w:rsidRPr="00936E59">
        <w:rPr>
          <w:rFonts w:ascii="Times New Roman" w:hAnsi="Times New Roman" w:cs="Times New Roman"/>
          <w:sz w:val="24"/>
          <w:szCs w:val="24"/>
        </w:rPr>
        <w:t>,</w:t>
      </w:r>
      <w:r w:rsidR="00075AD4" w:rsidRPr="00936E59">
        <w:rPr>
          <w:rFonts w:ascii="Times New Roman" w:hAnsi="Times New Roman" w:cs="Times New Roman"/>
          <w:sz w:val="24"/>
          <w:szCs w:val="24"/>
        </w:rPr>
        <w:t xml:space="preserve"> had the proper interest rates been used and </w:t>
      </w:r>
      <w:r w:rsidR="00C6720A" w:rsidRPr="00936E59">
        <w:rPr>
          <w:rFonts w:ascii="Times New Roman" w:hAnsi="Times New Roman" w:cs="Times New Roman"/>
          <w:sz w:val="24"/>
          <w:szCs w:val="24"/>
        </w:rPr>
        <w:t>charges properly apportioned, the full debt including the capital sum and interest wo</w:t>
      </w:r>
      <w:r w:rsidR="00737E98" w:rsidRPr="00936E59">
        <w:rPr>
          <w:rFonts w:ascii="Times New Roman" w:hAnsi="Times New Roman" w:cs="Times New Roman"/>
          <w:sz w:val="24"/>
          <w:szCs w:val="24"/>
        </w:rPr>
        <w:t xml:space="preserve">uld have been cleared. </w:t>
      </w:r>
      <w:r w:rsidR="007344BD" w:rsidRPr="00936E59">
        <w:rPr>
          <w:rFonts w:ascii="Times New Roman" w:hAnsi="Times New Roman" w:cs="Times New Roman"/>
          <w:sz w:val="24"/>
          <w:szCs w:val="24"/>
        </w:rPr>
        <w:t>In fact, i</w:t>
      </w:r>
      <w:r w:rsidR="00737E98" w:rsidRPr="00936E59">
        <w:rPr>
          <w:rFonts w:ascii="Times New Roman" w:hAnsi="Times New Roman" w:cs="Times New Roman"/>
          <w:sz w:val="24"/>
          <w:szCs w:val="24"/>
        </w:rPr>
        <w:t>t submitted</w:t>
      </w:r>
      <w:r w:rsidR="00C6720A" w:rsidRPr="00936E59">
        <w:rPr>
          <w:rFonts w:ascii="Times New Roman" w:hAnsi="Times New Roman" w:cs="Times New Roman"/>
          <w:sz w:val="24"/>
          <w:szCs w:val="24"/>
        </w:rPr>
        <w:t xml:space="preserve"> that the appellant</w:t>
      </w:r>
      <w:r w:rsidR="00C86B04" w:rsidRPr="00936E59">
        <w:rPr>
          <w:rFonts w:ascii="Times New Roman" w:hAnsi="Times New Roman" w:cs="Times New Roman"/>
          <w:sz w:val="24"/>
          <w:szCs w:val="24"/>
        </w:rPr>
        <w:t xml:space="preserve"> had actually been overpaid and therefore unjustly enriched by some</w:t>
      </w:r>
      <w:r w:rsidR="001E54F2">
        <w:rPr>
          <w:rFonts w:ascii="Times New Roman" w:hAnsi="Times New Roman" w:cs="Times New Roman"/>
          <w:sz w:val="24"/>
          <w:szCs w:val="24"/>
        </w:rPr>
        <w:t xml:space="preserve"> US$</w:t>
      </w:r>
      <w:r w:rsidR="00C6720A" w:rsidRPr="00936E59">
        <w:rPr>
          <w:rFonts w:ascii="Times New Roman" w:hAnsi="Times New Roman" w:cs="Times New Roman"/>
          <w:sz w:val="24"/>
          <w:szCs w:val="24"/>
        </w:rPr>
        <w:t>532 800.04</w:t>
      </w:r>
      <w:r w:rsidR="00AB262A" w:rsidRPr="00936E59">
        <w:rPr>
          <w:rFonts w:ascii="Times New Roman" w:hAnsi="Times New Roman" w:cs="Times New Roman"/>
          <w:sz w:val="24"/>
          <w:szCs w:val="24"/>
        </w:rPr>
        <w:t>. As a result of this, submitted the respondent, the amount in question had to be refunded.</w:t>
      </w:r>
    </w:p>
    <w:p w:rsidR="000D65E1" w:rsidRPr="00936E59" w:rsidRDefault="000D65E1" w:rsidP="000D65E1">
      <w:pPr>
        <w:spacing w:after="0" w:line="480" w:lineRule="auto"/>
        <w:ind w:left="720" w:hanging="720"/>
        <w:jc w:val="both"/>
        <w:rPr>
          <w:rFonts w:ascii="Times New Roman" w:hAnsi="Times New Roman" w:cs="Times New Roman"/>
          <w:sz w:val="24"/>
          <w:szCs w:val="24"/>
        </w:rPr>
      </w:pPr>
    </w:p>
    <w:p w:rsidR="004A15A9" w:rsidRPr="00936E59" w:rsidRDefault="00AB262A" w:rsidP="0062605C">
      <w:pPr>
        <w:spacing w:after="0" w:line="480" w:lineRule="auto"/>
        <w:ind w:left="709" w:hanging="709"/>
        <w:jc w:val="both"/>
        <w:rPr>
          <w:rFonts w:ascii="Times New Roman" w:hAnsi="Times New Roman" w:cs="Times New Roman"/>
          <w:sz w:val="24"/>
          <w:szCs w:val="24"/>
        </w:rPr>
      </w:pPr>
      <w:r w:rsidRPr="00936E59">
        <w:rPr>
          <w:rFonts w:ascii="Times New Roman" w:hAnsi="Times New Roman" w:cs="Times New Roman"/>
          <w:sz w:val="24"/>
          <w:szCs w:val="24"/>
        </w:rPr>
        <w:t>[</w:t>
      </w:r>
      <w:r w:rsidR="0026421E" w:rsidRPr="00936E59">
        <w:rPr>
          <w:rFonts w:ascii="Times New Roman" w:hAnsi="Times New Roman" w:cs="Times New Roman"/>
          <w:sz w:val="24"/>
          <w:szCs w:val="24"/>
        </w:rPr>
        <w:t>9</w:t>
      </w:r>
      <w:r w:rsidR="00887CFC" w:rsidRPr="00936E59">
        <w:rPr>
          <w:rFonts w:ascii="Times New Roman" w:hAnsi="Times New Roman" w:cs="Times New Roman"/>
          <w:sz w:val="24"/>
          <w:szCs w:val="24"/>
        </w:rPr>
        <w:t xml:space="preserve">]  </w:t>
      </w:r>
      <w:r w:rsidR="00C121EC">
        <w:rPr>
          <w:rFonts w:ascii="Times New Roman" w:hAnsi="Times New Roman" w:cs="Times New Roman"/>
          <w:sz w:val="24"/>
          <w:szCs w:val="24"/>
        </w:rPr>
        <w:tab/>
      </w:r>
      <w:r w:rsidR="00887CFC" w:rsidRPr="00936E59">
        <w:rPr>
          <w:rFonts w:ascii="Times New Roman" w:hAnsi="Times New Roman" w:cs="Times New Roman"/>
          <w:sz w:val="24"/>
          <w:szCs w:val="24"/>
        </w:rPr>
        <w:t>The</w:t>
      </w:r>
      <w:r w:rsidR="00C6720A" w:rsidRPr="00936E59">
        <w:rPr>
          <w:rFonts w:ascii="Times New Roman" w:hAnsi="Times New Roman" w:cs="Times New Roman"/>
          <w:sz w:val="24"/>
          <w:szCs w:val="24"/>
        </w:rPr>
        <w:t xml:space="preserve"> IRB report was said to have been certified by Grant Thornton, a firm of Chartered Accountants. The</w:t>
      </w:r>
      <w:r w:rsidR="007344BD" w:rsidRPr="00936E59">
        <w:rPr>
          <w:rFonts w:ascii="Times New Roman" w:hAnsi="Times New Roman" w:cs="Times New Roman"/>
          <w:sz w:val="24"/>
          <w:szCs w:val="24"/>
        </w:rPr>
        <w:t xml:space="preserve"> report </w:t>
      </w:r>
      <w:r w:rsidR="001E54F2" w:rsidRPr="00936E59">
        <w:rPr>
          <w:rFonts w:ascii="Times New Roman" w:hAnsi="Times New Roman" w:cs="Times New Roman"/>
          <w:sz w:val="24"/>
          <w:szCs w:val="24"/>
        </w:rPr>
        <w:t xml:space="preserve">by </w:t>
      </w:r>
      <w:r w:rsidR="001E54F2">
        <w:rPr>
          <w:rFonts w:ascii="Times New Roman" w:hAnsi="Times New Roman" w:cs="Times New Roman"/>
          <w:sz w:val="24"/>
          <w:szCs w:val="24"/>
        </w:rPr>
        <w:t>Grant</w:t>
      </w:r>
      <w:r w:rsidR="007344BD" w:rsidRPr="00936E59">
        <w:rPr>
          <w:rFonts w:ascii="Times New Roman" w:hAnsi="Times New Roman" w:cs="Times New Roman"/>
          <w:sz w:val="24"/>
          <w:szCs w:val="24"/>
        </w:rPr>
        <w:t xml:space="preserve"> Thornton</w:t>
      </w:r>
      <w:r w:rsidR="00C6720A" w:rsidRPr="00936E59">
        <w:rPr>
          <w:rFonts w:ascii="Times New Roman" w:hAnsi="Times New Roman" w:cs="Times New Roman"/>
          <w:sz w:val="24"/>
          <w:szCs w:val="24"/>
        </w:rPr>
        <w:t xml:space="preserve"> agreed with the </w:t>
      </w:r>
      <w:r w:rsidR="00887CFC" w:rsidRPr="00936E59">
        <w:rPr>
          <w:rFonts w:ascii="Times New Roman" w:hAnsi="Times New Roman" w:cs="Times New Roman"/>
          <w:sz w:val="24"/>
          <w:szCs w:val="24"/>
        </w:rPr>
        <w:t>major findings made in the IRB r</w:t>
      </w:r>
      <w:r w:rsidR="00C6720A" w:rsidRPr="00936E59">
        <w:rPr>
          <w:rFonts w:ascii="Times New Roman" w:hAnsi="Times New Roman" w:cs="Times New Roman"/>
          <w:sz w:val="24"/>
          <w:szCs w:val="24"/>
        </w:rPr>
        <w:t xml:space="preserve">eport but however went on to indicate that certain </w:t>
      </w:r>
      <w:r w:rsidR="001E54F2">
        <w:rPr>
          <w:rFonts w:ascii="Times New Roman" w:hAnsi="Times New Roman" w:cs="Times New Roman"/>
          <w:sz w:val="24"/>
          <w:szCs w:val="24"/>
        </w:rPr>
        <w:t xml:space="preserve">facility letters and bank </w:t>
      </w:r>
      <w:r w:rsidR="00C6720A" w:rsidRPr="00936E59">
        <w:rPr>
          <w:rFonts w:ascii="Times New Roman" w:hAnsi="Times New Roman" w:cs="Times New Roman"/>
          <w:sz w:val="24"/>
          <w:szCs w:val="24"/>
        </w:rPr>
        <w:t xml:space="preserve">statements were missing. </w:t>
      </w:r>
    </w:p>
    <w:p w:rsidR="00887CFC" w:rsidRPr="00936E59" w:rsidRDefault="00887CFC" w:rsidP="00887CFC">
      <w:pPr>
        <w:spacing w:after="0" w:line="480" w:lineRule="auto"/>
        <w:ind w:left="720" w:hanging="720"/>
        <w:jc w:val="both"/>
        <w:rPr>
          <w:rFonts w:ascii="Times New Roman" w:hAnsi="Times New Roman" w:cs="Times New Roman"/>
          <w:sz w:val="24"/>
          <w:szCs w:val="24"/>
        </w:rPr>
      </w:pPr>
    </w:p>
    <w:p w:rsidR="003445F2" w:rsidRPr="00936E59" w:rsidRDefault="007344BD" w:rsidP="004A15A9">
      <w:pPr>
        <w:spacing w:line="480" w:lineRule="auto"/>
        <w:ind w:left="720"/>
        <w:jc w:val="both"/>
        <w:rPr>
          <w:rFonts w:ascii="Times New Roman" w:hAnsi="Times New Roman" w:cs="Times New Roman"/>
          <w:sz w:val="24"/>
          <w:szCs w:val="24"/>
        </w:rPr>
      </w:pPr>
      <w:r w:rsidRPr="00936E59">
        <w:rPr>
          <w:rFonts w:ascii="Times New Roman" w:hAnsi="Times New Roman" w:cs="Times New Roman"/>
          <w:sz w:val="24"/>
          <w:szCs w:val="24"/>
        </w:rPr>
        <w:t>Effectively</w:t>
      </w:r>
      <w:r w:rsidR="00C6720A" w:rsidRPr="00936E59">
        <w:rPr>
          <w:rFonts w:ascii="Times New Roman" w:hAnsi="Times New Roman" w:cs="Times New Roman"/>
          <w:sz w:val="24"/>
          <w:szCs w:val="24"/>
        </w:rPr>
        <w:t>, the</w:t>
      </w:r>
      <w:r w:rsidR="0039316D" w:rsidRPr="00936E59">
        <w:rPr>
          <w:rFonts w:ascii="Times New Roman" w:hAnsi="Times New Roman" w:cs="Times New Roman"/>
          <w:sz w:val="24"/>
          <w:szCs w:val="24"/>
        </w:rPr>
        <w:t xml:space="preserve"> respondent submitted that the </w:t>
      </w:r>
      <w:r w:rsidR="004A15A9" w:rsidRPr="00936E59">
        <w:rPr>
          <w:rFonts w:ascii="Times New Roman" w:hAnsi="Times New Roman" w:cs="Times New Roman"/>
          <w:sz w:val="24"/>
          <w:szCs w:val="24"/>
        </w:rPr>
        <w:t>D</w:t>
      </w:r>
      <w:r w:rsidR="00C6720A" w:rsidRPr="00936E59">
        <w:rPr>
          <w:rFonts w:ascii="Times New Roman" w:hAnsi="Times New Roman" w:cs="Times New Roman"/>
          <w:sz w:val="24"/>
          <w:szCs w:val="24"/>
        </w:rPr>
        <w:t>eed had to be set aside as it was based on a mistake common to both parties.</w:t>
      </w:r>
    </w:p>
    <w:p w:rsidR="00887CFC" w:rsidRPr="00936E59" w:rsidRDefault="00887CFC" w:rsidP="00887CFC">
      <w:pPr>
        <w:spacing w:after="0" w:line="480" w:lineRule="auto"/>
        <w:ind w:left="720"/>
        <w:jc w:val="both"/>
        <w:rPr>
          <w:rFonts w:ascii="Times New Roman" w:hAnsi="Times New Roman" w:cs="Times New Roman"/>
          <w:sz w:val="24"/>
          <w:szCs w:val="24"/>
        </w:rPr>
      </w:pPr>
    </w:p>
    <w:p w:rsidR="0046482D" w:rsidRPr="00936E59" w:rsidRDefault="00AB262A" w:rsidP="00887CFC">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w:t>
      </w:r>
      <w:r w:rsidR="0026421E" w:rsidRPr="00936E59">
        <w:rPr>
          <w:rFonts w:ascii="Times New Roman" w:hAnsi="Times New Roman" w:cs="Times New Roman"/>
          <w:sz w:val="24"/>
          <w:szCs w:val="24"/>
        </w:rPr>
        <w:t>10</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46482D" w:rsidRPr="00936E59">
        <w:rPr>
          <w:rFonts w:ascii="Times New Roman" w:hAnsi="Times New Roman" w:cs="Times New Roman"/>
          <w:sz w:val="24"/>
          <w:szCs w:val="24"/>
        </w:rPr>
        <w:t>The appellant in its answerin</w:t>
      </w:r>
      <w:r w:rsidR="00766F85" w:rsidRPr="00936E59">
        <w:rPr>
          <w:rFonts w:ascii="Times New Roman" w:hAnsi="Times New Roman" w:cs="Times New Roman"/>
          <w:sz w:val="24"/>
          <w:szCs w:val="24"/>
        </w:rPr>
        <w:t>g affidavit submitted that the D</w:t>
      </w:r>
      <w:r w:rsidR="00737E98" w:rsidRPr="00936E59">
        <w:rPr>
          <w:rFonts w:ascii="Times New Roman" w:hAnsi="Times New Roman" w:cs="Times New Roman"/>
          <w:sz w:val="24"/>
          <w:szCs w:val="24"/>
        </w:rPr>
        <w:t>eed</w:t>
      </w:r>
      <w:r w:rsidR="0046482D" w:rsidRPr="00936E59">
        <w:rPr>
          <w:rFonts w:ascii="Times New Roman" w:hAnsi="Times New Roman" w:cs="Times New Roman"/>
          <w:sz w:val="24"/>
          <w:szCs w:val="24"/>
        </w:rPr>
        <w:t xml:space="preserve"> was valid and binding on the parties. It stated that at no poin</w:t>
      </w:r>
      <w:r w:rsidR="00737E98" w:rsidRPr="00936E59">
        <w:rPr>
          <w:rFonts w:ascii="Times New Roman" w:hAnsi="Times New Roman" w:cs="Times New Roman"/>
          <w:sz w:val="24"/>
          <w:szCs w:val="24"/>
        </w:rPr>
        <w:t xml:space="preserve">t had the respondent engaged </w:t>
      </w:r>
      <w:r w:rsidRPr="00936E59">
        <w:rPr>
          <w:rFonts w:ascii="Times New Roman" w:hAnsi="Times New Roman" w:cs="Times New Roman"/>
          <w:sz w:val="24"/>
          <w:szCs w:val="24"/>
        </w:rPr>
        <w:t xml:space="preserve">the </w:t>
      </w:r>
      <w:r w:rsidR="007344BD" w:rsidRPr="00936E59">
        <w:rPr>
          <w:rFonts w:ascii="Times New Roman" w:hAnsi="Times New Roman" w:cs="Times New Roman"/>
          <w:sz w:val="24"/>
          <w:szCs w:val="24"/>
        </w:rPr>
        <w:t xml:space="preserve">appellant </w:t>
      </w:r>
      <w:r w:rsidR="00AB0039" w:rsidRPr="00936E59">
        <w:rPr>
          <w:rFonts w:ascii="Times New Roman" w:hAnsi="Times New Roman" w:cs="Times New Roman"/>
          <w:sz w:val="24"/>
          <w:szCs w:val="24"/>
        </w:rPr>
        <w:t>to</w:t>
      </w:r>
      <w:r w:rsidRPr="00936E59">
        <w:rPr>
          <w:rFonts w:ascii="Times New Roman" w:hAnsi="Times New Roman" w:cs="Times New Roman"/>
        </w:rPr>
        <w:t xml:space="preserve"> </w:t>
      </w:r>
      <w:r w:rsidR="00AB0039" w:rsidRPr="00936E59">
        <w:rPr>
          <w:rFonts w:ascii="Times New Roman" w:hAnsi="Times New Roman" w:cs="Times New Roman"/>
          <w:sz w:val="24"/>
          <w:szCs w:val="24"/>
        </w:rPr>
        <w:t>raise the issue</w:t>
      </w:r>
      <w:r w:rsidR="0046482D" w:rsidRPr="00936E59">
        <w:rPr>
          <w:rFonts w:ascii="Times New Roman" w:hAnsi="Times New Roman" w:cs="Times New Roman"/>
          <w:sz w:val="24"/>
          <w:szCs w:val="24"/>
        </w:rPr>
        <w:t xml:space="preserve"> that there we</w:t>
      </w:r>
      <w:r w:rsidRPr="00936E59">
        <w:rPr>
          <w:rFonts w:ascii="Times New Roman" w:hAnsi="Times New Roman" w:cs="Times New Roman"/>
          <w:sz w:val="24"/>
          <w:szCs w:val="24"/>
        </w:rPr>
        <w:t>re errors in the figures agreed</w:t>
      </w:r>
      <w:r w:rsidR="004A15A9" w:rsidRPr="00936E59">
        <w:rPr>
          <w:rFonts w:ascii="Times New Roman" w:hAnsi="Times New Roman" w:cs="Times New Roman"/>
          <w:sz w:val="24"/>
          <w:szCs w:val="24"/>
        </w:rPr>
        <w:t xml:space="preserve"> upon</w:t>
      </w:r>
      <w:r w:rsidRPr="00936E59">
        <w:rPr>
          <w:rFonts w:ascii="Times New Roman" w:hAnsi="Times New Roman" w:cs="Times New Roman"/>
          <w:sz w:val="24"/>
          <w:szCs w:val="24"/>
        </w:rPr>
        <w:t xml:space="preserve">. </w:t>
      </w:r>
      <w:r w:rsidR="00887CFC" w:rsidRPr="00936E59">
        <w:rPr>
          <w:rFonts w:ascii="Times New Roman" w:hAnsi="Times New Roman" w:cs="Times New Roman"/>
          <w:sz w:val="24"/>
          <w:szCs w:val="24"/>
        </w:rPr>
        <w:t xml:space="preserve">Instead, the respondent had </w:t>
      </w:r>
      <w:r w:rsidR="00AB0039" w:rsidRPr="00936E59">
        <w:rPr>
          <w:rFonts w:ascii="Times New Roman" w:hAnsi="Times New Roman" w:cs="Times New Roman"/>
          <w:sz w:val="24"/>
          <w:szCs w:val="24"/>
        </w:rPr>
        <w:t>surprisingly only done so for the first time in its</w:t>
      </w:r>
      <w:r w:rsidR="0046482D" w:rsidRPr="00936E59">
        <w:rPr>
          <w:rFonts w:ascii="Times New Roman" w:hAnsi="Times New Roman" w:cs="Times New Roman"/>
          <w:sz w:val="24"/>
          <w:szCs w:val="24"/>
        </w:rPr>
        <w:t xml:space="preserve"> opposing papers to the chamber application for </w:t>
      </w:r>
      <w:r w:rsidR="004A15A9" w:rsidRPr="00936E59">
        <w:rPr>
          <w:rFonts w:ascii="Times New Roman" w:hAnsi="Times New Roman" w:cs="Times New Roman"/>
          <w:sz w:val="24"/>
          <w:szCs w:val="24"/>
        </w:rPr>
        <w:t xml:space="preserve">a </w:t>
      </w:r>
      <w:r w:rsidR="0046482D" w:rsidRPr="00936E59">
        <w:rPr>
          <w:rFonts w:ascii="Times New Roman" w:hAnsi="Times New Roman" w:cs="Times New Roman"/>
          <w:sz w:val="24"/>
          <w:szCs w:val="24"/>
        </w:rPr>
        <w:t>default judgment</w:t>
      </w:r>
      <w:r w:rsidR="004A15A9" w:rsidRPr="00936E59">
        <w:rPr>
          <w:rFonts w:ascii="Times New Roman" w:hAnsi="Times New Roman" w:cs="Times New Roman"/>
          <w:sz w:val="24"/>
          <w:szCs w:val="24"/>
        </w:rPr>
        <w:t xml:space="preserve"> </w:t>
      </w:r>
      <w:r w:rsidR="00DB683D" w:rsidRPr="00936E59">
        <w:rPr>
          <w:rFonts w:ascii="Times New Roman" w:hAnsi="Times New Roman" w:cs="Times New Roman"/>
          <w:sz w:val="24"/>
          <w:szCs w:val="24"/>
        </w:rPr>
        <w:t>against</w:t>
      </w:r>
      <w:r w:rsidR="004A15A9" w:rsidRPr="00936E59">
        <w:rPr>
          <w:rFonts w:ascii="Times New Roman" w:hAnsi="Times New Roman" w:cs="Times New Roman"/>
          <w:sz w:val="24"/>
          <w:szCs w:val="24"/>
        </w:rPr>
        <w:t xml:space="preserve"> it</w:t>
      </w:r>
      <w:r w:rsidR="0046482D" w:rsidRPr="00936E59">
        <w:rPr>
          <w:rFonts w:ascii="Times New Roman" w:hAnsi="Times New Roman" w:cs="Times New Roman"/>
          <w:sz w:val="24"/>
          <w:szCs w:val="24"/>
        </w:rPr>
        <w:t xml:space="preserve">. </w:t>
      </w:r>
      <w:r w:rsidR="00AB0039" w:rsidRPr="00936E59">
        <w:rPr>
          <w:rFonts w:ascii="Times New Roman" w:hAnsi="Times New Roman" w:cs="Times New Roman"/>
          <w:sz w:val="24"/>
          <w:szCs w:val="24"/>
        </w:rPr>
        <w:t>The a</w:t>
      </w:r>
      <w:r w:rsidR="0046482D" w:rsidRPr="00936E59">
        <w:rPr>
          <w:rFonts w:ascii="Times New Roman" w:hAnsi="Times New Roman" w:cs="Times New Roman"/>
          <w:sz w:val="24"/>
          <w:szCs w:val="24"/>
        </w:rPr>
        <w:t xml:space="preserve">ppellant </w:t>
      </w:r>
      <w:r w:rsidR="00EC31C9" w:rsidRPr="00936E59">
        <w:rPr>
          <w:rFonts w:ascii="Times New Roman" w:hAnsi="Times New Roman" w:cs="Times New Roman"/>
          <w:sz w:val="24"/>
          <w:szCs w:val="24"/>
        </w:rPr>
        <w:t xml:space="preserve">further </w:t>
      </w:r>
      <w:r w:rsidR="0046482D" w:rsidRPr="00936E59">
        <w:rPr>
          <w:rFonts w:ascii="Times New Roman" w:hAnsi="Times New Roman" w:cs="Times New Roman"/>
          <w:sz w:val="24"/>
          <w:szCs w:val="24"/>
        </w:rPr>
        <w:t>contended that it was never a party t</w:t>
      </w:r>
      <w:r w:rsidR="00AB0039" w:rsidRPr="00936E59">
        <w:rPr>
          <w:rFonts w:ascii="Times New Roman" w:hAnsi="Times New Roman" w:cs="Times New Roman"/>
          <w:sz w:val="24"/>
          <w:szCs w:val="24"/>
        </w:rPr>
        <w:t>o the alleged ‘independent recalculations’ which in any case</w:t>
      </w:r>
      <w:r w:rsidR="00401E89" w:rsidRPr="00936E59">
        <w:rPr>
          <w:rFonts w:ascii="Times New Roman" w:hAnsi="Times New Roman" w:cs="Times New Roman"/>
          <w:sz w:val="24"/>
          <w:szCs w:val="24"/>
        </w:rPr>
        <w:t xml:space="preserve"> </w:t>
      </w:r>
      <w:r w:rsidR="00AB0039" w:rsidRPr="00936E59">
        <w:rPr>
          <w:rFonts w:ascii="Times New Roman" w:hAnsi="Times New Roman" w:cs="Times New Roman"/>
          <w:sz w:val="24"/>
          <w:szCs w:val="24"/>
        </w:rPr>
        <w:t>were incorrect</w:t>
      </w:r>
      <w:r w:rsidR="0046482D" w:rsidRPr="00936E59">
        <w:rPr>
          <w:rFonts w:ascii="Times New Roman" w:hAnsi="Times New Roman" w:cs="Times New Roman"/>
          <w:sz w:val="24"/>
          <w:szCs w:val="24"/>
        </w:rPr>
        <w:t xml:space="preserve"> as the IRB </w:t>
      </w:r>
      <w:r w:rsidR="00AB0039" w:rsidRPr="00936E59">
        <w:rPr>
          <w:rFonts w:ascii="Times New Roman" w:hAnsi="Times New Roman" w:cs="Times New Roman"/>
          <w:sz w:val="24"/>
          <w:szCs w:val="24"/>
        </w:rPr>
        <w:t xml:space="preserve">had </w:t>
      </w:r>
      <w:r w:rsidR="0046482D" w:rsidRPr="00936E59">
        <w:rPr>
          <w:rFonts w:ascii="Times New Roman" w:hAnsi="Times New Roman" w:cs="Times New Roman"/>
          <w:sz w:val="24"/>
          <w:szCs w:val="24"/>
        </w:rPr>
        <w:t>used facility letter</w:t>
      </w:r>
      <w:r w:rsidR="00EC31C9" w:rsidRPr="00936E59">
        <w:rPr>
          <w:rFonts w:ascii="Times New Roman" w:hAnsi="Times New Roman" w:cs="Times New Roman"/>
          <w:sz w:val="24"/>
          <w:szCs w:val="24"/>
        </w:rPr>
        <w:t>s</w:t>
      </w:r>
      <w:r w:rsidR="0046482D" w:rsidRPr="00936E59">
        <w:rPr>
          <w:rFonts w:ascii="Times New Roman" w:hAnsi="Times New Roman" w:cs="Times New Roman"/>
          <w:sz w:val="24"/>
          <w:szCs w:val="24"/>
        </w:rPr>
        <w:t xml:space="preserve"> dated 2009 which were never part of the </w:t>
      </w:r>
      <w:r w:rsidR="0046482D" w:rsidRPr="00936E59">
        <w:rPr>
          <w:rFonts w:ascii="Times New Roman" w:hAnsi="Times New Roman" w:cs="Times New Roman"/>
          <w:sz w:val="24"/>
          <w:szCs w:val="24"/>
        </w:rPr>
        <w:lastRenderedPageBreak/>
        <w:t>appellant’s claim.</w:t>
      </w:r>
      <w:r w:rsidR="00236762" w:rsidRPr="00936E59">
        <w:rPr>
          <w:rFonts w:ascii="Times New Roman" w:hAnsi="Times New Roman" w:cs="Times New Roman"/>
          <w:sz w:val="24"/>
          <w:szCs w:val="24"/>
        </w:rPr>
        <w:t xml:space="preserve"> It thus maintained that at all times it had used the correct interest rates</w:t>
      </w:r>
      <w:r w:rsidR="00EC31C9" w:rsidRPr="00936E59">
        <w:rPr>
          <w:rFonts w:ascii="Times New Roman" w:hAnsi="Times New Roman" w:cs="Times New Roman"/>
          <w:sz w:val="24"/>
          <w:szCs w:val="24"/>
        </w:rPr>
        <w:t xml:space="preserve"> and had therefore claimed the correct sum </w:t>
      </w:r>
      <w:r w:rsidR="00737E98" w:rsidRPr="00936E59">
        <w:rPr>
          <w:rFonts w:ascii="Times New Roman" w:hAnsi="Times New Roman" w:cs="Times New Roman"/>
          <w:sz w:val="24"/>
          <w:szCs w:val="24"/>
        </w:rPr>
        <w:t xml:space="preserve">as reflected and </w:t>
      </w:r>
      <w:r w:rsidR="00766F85" w:rsidRPr="00936E59">
        <w:rPr>
          <w:rFonts w:ascii="Times New Roman" w:hAnsi="Times New Roman" w:cs="Times New Roman"/>
          <w:sz w:val="24"/>
          <w:szCs w:val="24"/>
        </w:rPr>
        <w:t>agreed in the D</w:t>
      </w:r>
      <w:r w:rsidR="00EC31C9" w:rsidRPr="00936E59">
        <w:rPr>
          <w:rFonts w:ascii="Times New Roman" w:hAnsi="Times New Roman" w:cs="Times New Roman"/>
          <w:sz w:val="24"/>
          <w:szCs w:val="24"/>
        </w:rPr>
        <w:t>eed.</w:t>
      </w:r>
    </w:p>
    <w:p w:rsidR="00887CFC" w:rsidRPr="00936E59" w:rsidRDefault="00887CFC" w:rsidP="00887CFC">
      <w:pPr>
        <w:spacing w:after="0" w:line="480" w:lineRule="auto"/>
        <w:ind w:left="720" w:hanging="720"/>
        <w:jc w:val="both"/>
        <w:rPr>
          <w:rFonts w:ascii="Times New Roman" w:hAnsi="Times New Roman" w:cs="Times New Roman"/>
          <w:sz w:val="24"/>
          <w:szCs w:val="24"/>
        </w:rPr>
      </w:pPr>
    </w:p>
    <w:p w:rsidR="005F5369" w:rsidRPr="00936E59" w:rsidRDefault="00AB0039" w:rsidP="00887CFC">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w:t>
      </w:r>
      <w:r w:rsidR="0026421E" w:rsidRPr="00936E59">
        <w:rPr>
          <w:rFonts w:ascii="Times New Roman" w:hAnsi="Times New Roman" w:cs="Times New Roman"/>
          <w:sz w:val="24"/>
          <w:szCs w:val="24"/>
        </w:rPr>
        <w:t>1</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5F5369" w:rsidRPr="00936E59">
        <w:rPr>
          <w:rFonts w:ascii="Times New Roman" w:hAnsi="Times New Roman" w:cs="Times New Roman"/>
          <w:sz w:val="24"/>
          <w:szCs w:val="24"/>
        </w:rPr>
        <w:t>In its</w:t>
      </w:r>
      <w:r w:rsidR="00401E89" w:rsidRPr="00936E59">
        <w:rPr>
          <w:rFonts w:ascii="Times New Roman" w:hAnsi="Times New Roman" w:cs="Times New Roman"/>
          <w:sz w:val="24"/>
          <w:szCs w:val="24"/>
        </w:rPr>
        <w:t xml:space="preserve"> heads of argument</w:t>
      </w:r>
      <w:r w:rsidR="003E60CC" w:rsidRPr="00936E59">
        <w:rPr>
          <w:rFonts w:ascii="Times New Roman" w:hAnsi="Times New Roman" w:cs="Times New Roman"/>
          <w:sz w:val="24"/>
          <w:szCs w:val="24"/>
        </w:rPr>
        <w:t xml:space="preserve"> before the court </w:t>
      </w:r>
      <w:r w:rsidR="003E60CC" w:rsidRPr="00936E59">
        <w:rPr>
          <w:rFonts w:ascii="Times New Roman" w:hAnsi="Times New Roman" w:cs="Times New Roman"/>
          <w:i/>
          <w:sz w:val="24"/>
          <w:szCs w:val="24"/>
        </w:rPr>
        <w:t>a quo</w:t>
      </w:r>
      <w:r w:rsidR="00EC31C9" w:rsidRPr="00936E59">
        <w:rPr>
          <w:rFonts w:ascii="Times New Roman" w:hAnsi="Times New Roman" w:cs="Times New Roman"/>
          <w:sz w:val="24"/>
          <w:szCs w:val="24"/>
        </w:rPr>
        <w:t>,</w:t>
      </w:r>
      <w:r w:rsidR="00401E89" w:rsidRPr="00936E59">
        <w:rPr>
          <w:rFonts w:ascii="Times New Roman" w:hAnsi="Times New Roman" w:cs="Times New Roman"/>
          <w:sz w:val="24"/>
          <w:szCs w:val="24"/>
        </w:rPr>
        <w:t xml:space="preserve"> </w:t>
      </w:r>
      <w:r w:rsidR="005F5369" w:rsidRPr="00936E59">
        <w:rPr>
          <w:rFonts w:ascii="Times New Roman" w:hAnsi="Times New Roman" w:cs="Times New Roman"/>
          <w:sz w:val="24"/>
          <w:szCs w:val="24"/>
        </w:rPr>
        <w:t>the appellant s</w:t>
      </w:r>
      <w:r w:rsidR="00401E89" w:rsidRPr="00936E59">
        <w:rPr>
          <w:rFonts w:ascii="Times New Roman" w:hAnsi="Times New Roman" w:cs="Times New Roman"/>
          <w:sz w:val="24"/>
          <w:szCs w:val="24"/>
        </w:rPr>
        <w:t>ubmitte</w:t>
      </w:r>
      <w:r w:rsidR="00B956DC" w:rsidRPr="00936E59">
        <w:rPr>
          <w:rFonts w:ascii="Times New Roman" w:hAnsi="Times New Roman" w:cs="Times New Roman"/>
          <w:sz w:val="24"/>
          <w:szCs w:val="24"/>
        </w:rPr>
        <w:t>d</w:t>
      </w:r>
      <w:r w:rsidR="00401E89" w:rsidRPr="00936E59">
        <w:rPr>
          <w:rFonts w:ascii="Times New Roman" w:hAnsi="Times New Roman" w:cs="Times New Roman"/>
          <w:sz w:val="24"/>
          <w:szCs w:val="24"/>
        </w:rPr>
        <w:t xml:space="preserve"> that sanctity of</w:t>
      </w:r>
      <w:r w:rsidR="00B956DC" w:rsidRPr="00936E59">
        <w:rPr>
          <w:rFonts w:ascii="Times New Roman" w:hAnsi="Times New Roman" w:cs="Times New Roman"/>
          <w:sz w:val="24"/>
          <w:szCs w:val="24"/>
        </w:rPr>
        <w:t xml:space="preserve"> a contract</w:t>
      </w:r>
      <w:r w:rsidRPr="00936E59">
        <w:rPr>
          <w:rFonts w:ascii="Times New Roman" w:hAnsi="Times New Roman" w:cs="Times New Roman"/>
          <w:sz w:val="24"/>
          <w:szCs w:val="24"/>
        </w:rPr>
        <w:t xml:space="preserve"> had to be upheld</w:t>
      </w:r>
      <w:r w:rsidR="00B956DC" w:rsidRPr="00936E59">
        <w:rPr>
          <w:rFonts w:ascii="Times New Roman" w:hAnsi="Times New Roman" w:cs="Times New Roman"/>
          <w:sz w:val="24"/>
          <w:szCs w:val="24"/>
        </w:rPr>
        <w:t>. It re</w:t>
      </w:r>
      <w:r w:rsidR="00177E2D" w:rsidRPr="00936E59">
        <w:rPr>
          <w:rFonts w:ascii="Times New Roman" w:hAnsi="Times New Roman" w:cs="Times New Roman"/>
          <w:sz w:val="24"/>
          <w:szCs w:val="24"/>
        </w:rPr>
        <w:t>l</w:t>
      </w:r>
      <w:r w:rsidR="007344BD" w:rsidRPr="00936E59">
        <w:rPr>
          <w:rFonts w:ascii="Times New Roman" w:hAnsi="Times New Roman" w:cs="Times New Roman"/>
          <w:sz w:val="24"/>
          <w:szCs w:val="24"/>
        </w:rPr>
        <w:t>ied on the case of</w:t>
      </w:r>
      <w:r w:rsidR="00B956DC" w:rsidRPr="00936E59">
        <w:rPr>
          <w:rFonts w:ascii="Times New Roman" w:hAnsi="Times New Roman" w:cs="Times New Roman"/>
          <w:sz w:val="24"/>
          <w:szCs w:val="24"/>
        </w:rPr>
        <w:t xml:space="preserve"> </w:t>
      </w:r>
      <w:r w:rsidR="003E60CC" w:rsidRPr="00936E59">
        <w:rPr>
          <w:rFonts w:ascii="Times New Roman" w:hAnsi="Times New Roman" w:cs="Times New Roman"/>
          <w:i/>
          <w:sz w:val="24"/>
          <w:szCs w:val="24"/>
        </w:rPr>
        <w:t>Georgias &amp;</w:t>
      </w:r>
      <w:r w:rsidR="00B956DC" w:rsidRPr="00936E59">
        <w:rPr>
          <w:rFonts w:ascii="Times New Roman" w:hAnsi="Times New Roman" w:cs="Times New Roman"/>
          <w:i/>
          <w:sz w:val="24"/>
          <w:szCs w:val="24"/>
        </w:rPr>
        <w:t xml:space="preserve"> Ano</w:t>
      </w:r>
      <w:r w:rsidR="008A58D8" w:rsidRPr="00936E59">
        <w:rPr>
          <w:rFonts w:ascii="Times New Roman" w:hAnsi="Times New Roman" w:cs="Times New Roman"/>
          <w:i/>
          <w:sz w:val="24"/>
          <w:szCs w:val="24"/>
        </w:rPr>
        <w:t>r</w:t>
      </w:r>
      <w:r w:rsidR="008A58D8" w:rsidRPr="00936E59">
        <w:rPr>
          <w:rFonts w:ascii="Times New Roman" w:hAnsi="Times New Roman" w:cs="Times New Roman"/>
        </w:rPr>
        <w:t xml:space="preserve"> </w:t>
      </w:r>
      <w:r w:rsidR="008A58D8" w:rsidRPr="00936E59">
        <w:rPr>
          <w:rFonts w:ascii="Times New Roman" w:hAnsi="Times New Roman" w:cs="Times New Roman"/>
          <w:i/>
          <w:sz w:val="24"/>
          <w:szCs w:val="24"/>
        </w:rPr>
        <w:t xml:space="preserve">v Standard Chartered Finance Zimbabwe Ltd </w:t>
      </w:r>
      <w:r w:rsidR="00B956DC" w:rsidRPr="00936E59">
        <w:rPr>
          <w:rFonts w:ascii="Times New Roman" w:hAnsi="Times New Roman" w:cs="Times New Roman"/>
          <w:sz w:val="24"/>
          <w:szCs w:val="24"/>
        </w:rPr>
        <w:t xml:space="preserve">r </w:t>
      </w:r>
      <w:r w:rsidR="00FF25A0" w:rsidRPr="00936E59">
        <w:rPr>
          <w:rFonts w:ascii="Times New Roman" w:hAnsi="Times New Roman" w:cs="Times New Roman"/>
          <w:sz w:val="24"/>
          <w:szCs w:val="24"/>
        </w:rPr>
        <w:t>1998 (2</w:t>
      </w:r>
      <w:r w:rsidR="00177E2D" w:rsidRPr="00936E59">
        <w:rPr>
          <w:rFonts w:ascii="Times New Roman" w:hAnsi="Times New Roman" w:cs="Times New Roman"/>
          <w:sz w:val="24"/>
          <w:szCs w:val="24"/>
        </w:rPr>
        <w:t>)</w:t>
      </w:r>
      <w:r w:rsidR="00684ACF" w:rsidRPr="00936E59">
        <w:rPr>
          <w:rFonts w:ascii="Times New Roman" w:hAnsi="Times New Roman" w:cs="Times New Roman"/>
          <w:sz w:val="24"/>
          <w:szCs w:val="24"/>
        </w:rPr>
        <w:t xml:space="preserve"> </w:t>
      </w:r>
      <w:r w:rsidR="00887CFC" w:rsidRPr="00936E59">
        <w:rPr>
          <w:rFonts w:ascii="Times New Roman" w:hAnsi="Times New Roman" w:cs="Times New Roman"/>
          <w:sz w:val="24"/>
          <w:szCs w:val="24"/>
        </w:rPr>
        <w:t xml:space="preserve">ZLR </w:t>
      </w:r>
      <w:r w:rsidR="00684ACF" w:rsidRPr="00936E59">
        <w:rPr>
          <w:rFonts w:ascii="Times New Roman" w:hAnsi="Times New Roman" w:cs="Times New Roman"/>
          <w:sz w:val="24"/>
          <w:szCs w:val="24"/>
        </w:rPr>
        <w:t>488 (</w:t>
      </w:r>
      <w:r w:rsidR="00684ACF" w:rsidRPr="00936E59">
        <w:rPr>
          <w:rFonts w:ascii="Times New Roman" w:hAnsi="Times New Roman" w:cs="Times New Roman"/>
          <w:i/>
          <w:sz w:val="24"/>
          <w:szCs w:val="24"/>
        </w:rPr>
        <w:t>S</w:t>
      </w:r>
      <w:r w:rsidR="00684ACF" w:rsidRPr="00936E59">
        <w:rPr>
          <w:rFonts w:ascii="Times New Roman" w:hAnsi="Times New Roman" w:cs="Times New Roman"/>
          <w:sz w:val="24"/>
          <w:szCs w:val="24"/>
        </w:rPr>
        <w:t xml:space="preserve">) </w:t>
      </w:r>
      <w:r w:rsidRPr="00936E59">
        <w:rPr>
          <w:rFonts w:ascii="Times New Roman" w:hAnsi="Times New Roman" w:cs="Times New Roman"/>
          <w:sz w:val="24"/>
          <w:szCs w:val="24"/>
        </w:rPr>
        <w:t xml:space="preserve">and contended that the </w:t>
      </w:r>
      <w:r w:rsidR="004A15A9" w:rsidRPr="00936E59">
        <w:rPr>
          <w:rFonts w:ascii="Times New Roman" w:hAnsi="Times New Roman" w:cs="Times New Roman"/>
          <w:sz w:val="24"/>
          <w:szCs w:val="24"/>
        </w:rPr>
        <w:t>D</w:t>
      </w:r>
      <w:r w:rsidRPr="00936E59">
        <w:rPr>
          <w:rFonts w:ascii="Times New Roman" w:hAnsi="Times New Roman" w:cs="Times New Roman"/>
          <w:sz w:val="24"/>
          <w:szCs w:val="24"/>
        </w:rPr>
        <w:t>eed constituted</w:t>
      </w:r>
      <w:r w:rsidR="00177E2D" w:rsidRPr="00936E59">
        <w:rPr>
          <w:rFonts w:ascii="Times New Roman" w:hAnsi="Times New Roman" w:cs="Times New Roman"/>
          <w:sz w:val="24"/>
          <w:szCs w:val="24"/>
        </w:rPr>
        <w:t xml:space="preserve"> a compromise </w:t>
      </w:r>
      <w:r w:rsidRPr="00936E59">
        <w:rPr>
          <w:rFonts w:ascii="Times New Roman" w:hAnsi="Times New Roman" w:cs="Times New Roman"/>
          <w:sz w:val="24"/>
          <w:szCs w:val="24"/>
        </w:rPr>
        <w:t xml:space="preserve">with the consequence that </w:t>
      </w:r>
      <w:r w:rsidR="008A58D8" w:rsidRPr="00936E59">
        <w:rPr>
          <w:rFonts w:ascii="Times New Roman" w:hAnsi="Times New Roman" w:cs="Times New Roman"/>
          <w:sz w:val="24"/>
          <w:szCs w:val="24"/>
        </w:rPr>
        <w:t xml:space="preserve">the respondent was </w:t>
      </w:r>
      <w:r w:rsidR="00177E2D" w:rsidRPr="00936E59">
        <w:rPr>
          <w:rFonts w:ascii="Times New Roman" w:hAnsi="Times New Roman" w:cs="Times New Roman"/>
          <w:sz w:val="24"/>
          <w:szCs w:val="24"/>
        </w:rPr>
        <w:t>bound by the agreement to pay</w:t>
      </w:r>
      <w:r w:rsidR="00EC31C9" w:rsidRPr="00936E59">
        <w:rPr>
          <w:rFonts w:ascii="Times New Roman" w:hAnsi="Times New Roman" w:cs="Times New Roman"/>
          <w:sz w:val="24"/>
          <w:szCs w:val="24"/>
        </w:rPr>
        <w:t xml:space="preserve"> the</w:t>
      </w:r>
      <w:r w:rsidR="00177E2D" w:rsidRPr="00936E59">
        <w:rPr>
          <w:rFonts w:ascii="Times New Roman" w:hAnsi="Times New Roman" w:cs="Times New Roman"/>
          <w:sz w:val="24"/>
          <w:szCs w:val="24"/>
        </w:rPr>
        <w:t xml:space="preserve"> accrued interest in </w:t>
      </w:r>
      <w:r w:rsidR="00B73841" w:rsidRPr="00936E59">
        <w:rPr>
          <w:rFonts w:ascii="Times New Roman" w:hAnsi="Times New Roman" w:cs="Times New Roman"/>
          <w:sz w:val="24"/>
          <w:szCs w:val="24"/>
        </w:rPr>
        <w:t xml:space="preserve">relation to </w:t>
      </w:r>
      <w:r w:rsidR="00177E2D" w:rsidRPr="00936E59">
        <w:rPr>
          <w:rFonts w:ascii="Times New Roman" w:hAnsi="Times New Roman" w:cs="Times New Roman"/>
          <w:sz w:val="24"/>
          <w:szCs w:val="24"/>
        </w:rPr>
        <w:t>the unpaid capital. The respondent on the other hand submitted tha</w:t>
      </w:r>
      <w:r w:rsidR="008A58D8" w:rsidRPr="00936E59">
        <w:rPr>
          <w:rFonts w:ascii="Times New Roman" w:hAnsi="Times New Roman" w:cs="Times New Roman"/>
          <w:sz w:val="24"/>
          <w:szCs w:val="24"/>
        </w:rPr>
        <w:t>t there was a material mistake i</w:t>
      </w:r>
      <w:r w:rsidR="00177E2D" w:rsidRPr="00936E59">
        <w:rPr>
          <w:rFonts w:ascii="Times New Roman" w:hAnsi="Times New Roman" w:cs="Times New Roman"/>
          <w:sz w:val="24"/>
          <w:szCs w:val="24"/>
        </w:rPr>
        <w:t xml:space="preserve">n the figures </w:t>
      </w:r>
      <w:r w:rsidR="008A58D8" w:rsidRPr="00936E59">
        <w:rPr>
          <w:rFonts w:ascii="Times New Roman" w:hAnsi="Times New Roman" w:cs="Times New Roman"/>
          <w:sz w:val="24"/>
          <w:szCs w:val="24"/>
        </w:rPr>
        <w:t xml:space="preserve">quoted </w:t>
      </w:r>
      <w:r w:rsidR="00177E2D" w:rsidRPr="00936E59">
        <w:rPr>
          <w:rFonts w:ascii="Times New Roman" w:hAnsi="Times New Roman" w:cs="Times New Roman"/>
          <w:sz w:val="24"/>
          <w:szCs w:val="24"/>
        </w:rPr>
        <w:t xml:space="preserve">in the </w:t>
      </w:r>
      <w:r w:rsidR="004A15A9" w:rsidRPr="00936E59">
        <w:rPr>
          <w:rFonts w:ascii="Times New Roman" w:hAnsi="Times New Roman" w:cs="Times New Roman"/>
          <w:sz w:val="24"/>
          <w:szCs w:val="24"/>
        </w:rPr>
        <w:t xml:space="preserve">Deed </w:t>
      </w:r>
      <w:r w:rsidR="00177E2D" w:rsidRPr="00936E59">
        <w:rPr>
          <w:rFonts w:ascii="Times New Roman" w:hAnsi="Times New Roman" w:cs="Times New Roman"/>
          <w:sz w:val="24"/>
          <w:szCs w:val="24"/>
        </w:rPr>
        <w:t xml:space="preserve">of </w:t>
      </w:r>
      <w:r w:rsidR="004A15A9" w:rsidRPr="00936E59">
        <w:rPr>
          <w:rFonts w:ascii="Times New Roman" w:hAnsi="Times New Roman" w:cs="Times New Roman"/>
          <w:sz w:val="24"/>
          <w:szCs w:val="24"/>
        </w:rPr>
        <w:t>S</w:t>
      </w:r>
      <w:r w:rsidR="00177E2D" w:rsidRPr="00936E59">
        <w:rPr>
          <w:rFonts w:ascii="Times New Roman" w:hAnsi="Times New Roman" w:cs="Times New Roman"/>
          <w:sz w:val="24"/>
          <w:szCs w:val="24"/>
        </w:rPr>
        <w:t>ettlement</w:t>
      </w:r>
      <w:r w:rsidR="008A58D8" w:rsidRPr="00936E59">
        <w:rPr>
          <w:rFonts w:ascii="Times New Roman" w:hAnsi="Times New Roman" w:cs="Times New Roman"/>
          <w:sz w:val="24"/>
          <w:szCs w:val="24"/>
        </w:rPr>
        <w:t>, a circumstance tha</w:t>
      </w:r>
      <w:r w:rsidR="004A15A9" w:rsidRPr="00936E59">
        <w:rPr>
          <w:rFonts w:ascii="Times New Roman" w:hAnsi="Times New Roman" w:cs="Times New Roman"/>
          <w:sz w:val="24"/>
          <w:szCs w:val="24"/>
        </w:rPr>
        <w:t>t vitiated the whole agreement. T</w:t>
      </w:r>
      <w:r w:rsidR="005F5369" w:rsidRPr="00936E59">
        <w:rPr>
          <w:rFonts w:ascii="Times New Roman" w:hAnsi="Times New Roman" w:cs="Times New Roman"/>
          <w:sz w:val="24"/>
          <w:szCs w:val="24"/>
        </w:rPr>
        <w:t xml:space="preserve">he respondent </w:t>
      </w:r>
      <w:r w:rsidR="004A15A9" w:rsidRPr="00936E59">
        <w:rPr>
          <w:rFonts w:ascii="Times New Roman" w:hAnsi="Times New Roman" w:cs="Times New Roman"/>
          <w:sz w:val="24"/>
          <w:szCs w:val="24"/>
        </w:rPr>
        <w:t xml:space="preserve">further </w:t>
      </w:r>
      <w:r w:rsidR="005F5369" w:rsidRPr="00936E59">
        <w:rPr>
          <w:rFonts w:ascii="Times New Roman" w:hAnsi="Times New Roman" w:cs="Times New Roman"/>
          <w:sz w:val="24"/>
          <w:szCs w:val="24"/>
        </w:rPr>
        <w:t>submitted that there was no valid compromise in the circumstances as the parties were not clear as to what their rights were when th</w:t>
      </w:r>
      <w:r w:rsidR="00766F85" w:rsidRPr="00936E59">
        <w:rPr>
          <w:rFonts w:ascii="Times New Roman" w:hAnsi="Times New Roman" w:cs="Times New Roman"/>
          <w:sz w:val="24"/>
          <w:szCs w:val="24"/>
        </w:rPr>
        <w:t>ey signed the Deed</w:t>
      </w:r>
      <w:r w:rsidR="005F5369" w:rsidRPr="00936E59">
        <w:rPr>
          <w:rFonts w:ascii="Times New Roman" w:hAnsi="Times New Roman" w:cs="Times New Roman"/>
          <w:sz w:val="24"/>
          <w:szCs w:val="24"/>
        </w:rPr>
        <w:t xml:space="preserve">. </w:t>
      </w:r>
    </w:p>
    <w:p w:rsidR="00887CFC" w:rsidRPr="00936E59" w:rsidRDefault="00887CFC" w:rsidP="00887CFC">
      <w:pPr>
        <w:spacing w:after="0" w:line="480" w:lineRule="auto"/>
        <w:ind w:left="720" w:hanging="720"/>
        <w:jc w:val="both"/>
        <w:rPr>
          <w:rFonts w:ascii="Times New Roman" w:hAnsi="Times New Roman" w:cs="Times New Roman"/>
          <w:sz w:val="24"/>
          <w:szCs w:val="24"/>
        </w:rPr>
      </w:pPr>
    </w:p>
    <w:p w:rsidR="005F5369" w:rsidRPr="00936E59" w:rsidRDefault="008A58D8" w:rsidP="008A58D8">
      <w:pPr>
        <w:spacing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w:t>
      </w:r>
      <w:r w:rsidR="0026421E" w:rsidRPr="00936E59">
        <w:rPr>
          <w:rFonts w:ascii="Times New Roman" w:hAnsi="Times New Roman" w:cs="Times New Roman"/>
          <w:sz w:val="24"/>
          <w:szCs w:val="24"/>
        </w:rPr>
        <w:t>2</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3E60CC" w:rsidRPr="00936E59">
        <w:rPr>
          <w:rFonts w:ascii="Times New Roman" w:hAnsi="Times New Roman" w:cs="Times New Roman"/>
          <w:sz w:val="24"/>
          <w:szCs w:val="24"/>
        </w:rPr>
        <w:t xml:space="preserve">The court </w:t>
      </w:r>
      <w:r w:rsidR="003E60CC" w:rsidRPr="00936E59">
        <w:rPr>
          <w:rFonts w:ascii="Times New Roman" w:hAnsi="Times New Roman" w:cs="Times New Roman"/>
          <w:i/>
          <w:sz w:val="24"/>
          <w:szCs w:val="24"/>
        </w:rPr>
        <w:t>a quo</w:t>
      </w:r>
      <w:r w:rsidR="005F5369" w:rsidRPr="00936E59">
        <w:rPr>
          <w:rFonts w:ascii="Times New Roman" w:hAnsi="Times New Roman" w:cs="Times New Roman"/>
          <w:sz w:val="24"/>
          <w:szCs w:val="24"/>
        </w:rPr>
        <w:t xml:space="preserve"> found in favour of the respondent</w:t>
      </w:r>
      <w:r w:rsidR="00EC31C9" w:rsidRPr="00936E59">
        <w:rPr>
          <w:rFonts w:ascii="Times New Roman" w:hAnsi="Times New Roman" w:cs="Times New Roman"/>
          <w:sz w:val="24"/>
          <w:szCs w:val="24"/>
        </w:rPr>
        <w:t xml:space="preserve"> and held that the </w:t>
      </w:r>
      <w:r w:rsidR="00707BCE" w:rsidRPr="00936E59">
        <w:rPr>
          <w:rFonts w:ascii="Times New Roman" w:hAnsi="Times New Roman" w:cs="Times New Roman"/>
          <w:sz w:val="24"/>
          <w:szCs w:val="24"/>
        </w:rPr>
        <w:t>D</w:t>
      </w:r>
      <w:r w:rsidR="00E5360E" w:rsidRPr="00936E59">
        <w:rPr>
          <w:rFonts w:ascii="Times New Roman" w:hAnsi="Times New Roman" w:cs="Times New Roman"/>
          <w:sz w:val="24"/>
          <w:szCs w:val="24"/>
        </w:rPr>
        <w:t xml:space="preserve">eed could not be </w:t>
      </w:r>
      <w:r w:rsidR="00707BCE" w:rsidRPr="00936E59">
        <w:rPr>
          <w:rFonts w:ascii="Times New Roman" w:hAnsi="Times New Roman" w:cs="Times New Roman"/>
          <w:sz w:val="24"/>
          <w:szCs w:val="24"/>
        </w:rPr>
        <w:t>‘</w:t>
      </w:r>
      <w:r w:rsidR="00E5360E" w:rsidRPr="00936E59">
        <w:rPr>
          <w:rFonts w:ascii="Times New Roman" w:hAnsi="Times New Roman" w:cs="Times New Roman"/>
          <w:sz w:val="24"/>
          <w:szCs w:val="24"/>
        </w:rPr>
        <w:t>given effect to</w:t>
      </w:r>
      <w:r w:rsidR="00707BCE" w:rsidRPr="00936E59">
        <w:rPr>
          <w:rFonts w:ascii="Times New Roman" w:hAnsi="Times New Roman" w:cs="Times New Roman"/>
          <w:sz w:val="24"/>
          <w:szCs w:val="24"/>
        </w:rPr>
        <w:t>’</w:t>
      </w:r>
      <w:r w:rsidR="003E60CC" w:rsidRPr="00936E59">
        <w:rPr>
          <w:rFonts w:ascii="Times New Roman" w:hAnsi="Times New Roman" w:cs="Times New Roman"/>
          <w:sz w:val="24"/>
          <w:szCs w:val="24"/>
        </w:rPr>
        <w:t>. It held that</w:t>
      </w:r>
      <w:r w:rsidR="00684ACF" w:rsidRPr="00936E59">
        <w:rPr>
          <w:rFonts w:ascii="Times New Roman" w:hAnsi="Times New Roman" w:cs="Times New Roman"/>
          <w:sz w:val="24"/>
          <w:szCs w:val="24"/>
        </w:rPr>
        <w:t xml:space="preserve"> </w:t>
      </w:r>
      <w:r w:rsidR="004A15A9" w:rsidRPr="00936E59">
        <w:rPr>
          <w:rFonts w:ascii="Times New Roman" w:hAnsi="Times New Roman" w:cs="Times New Roman"/>
          <w:sz w:val="24"/>
          <w:szCs w:val="24"/>
        </w:rPr>
        <w:t xml:space="preserve">the </w:t>
      </w:r>
      <w:r w:rsidR="005F5369" w:rsidRPr="00936E59">
        <w:rPr>
          <w:rFonts w:ascii="Times New Roman" w:hAnsi="Times New Roman" w:cs="Times New Roman"/>
          <w:sz w:val="24"/>
          <w:szCs w:val="24"/>
        </w:rPr>
        <w:t xml:space="preserve">parties were not clear on their rights therefore the compromise would not have been properly concluded. </w:t>
      </w:r>
      <w:r w:rsidR="00E5360E" w:rsidRPr="00936E59">
        <w:rPr>
          <w:rFonts w:ascii="Times New Roman" w:hAnsi="Times New Roman" w:cs="Times New Roman"/>
          <w:sz w:val="24"/>
          <w:szCs w:val="24"/>
        </w:rPr>
        <w:t xml:space="preserve">It distinguished the case from the facts in the </w:t>
      </w:r>
      <w:r w:rsidR="00DD4E15" w:rsidRPr="00936E59">
        <w:rPr>
          <w:rFonts w:ascii="Times New Roman" w:hAnsi="Times New Roman" w:cs="Times New Roman"/>
          <w:i/>
          <w:sz w:val="24"/>
          <w:szCs w:val="24"/>
        </w:rPr>
        <w:t xml:space="preserve">Georgias &amp; </w:t>
      </w:r>
      <w:r w:rsidR="00E5360E" w:rsidRPr="00936E59">
        <w:rPr>
          <w:rFonts w:ascii="Times New Roman" w:hAnsi="Times New Roman" w:cs="Times New Roman"/>
          <w:i/>
          <w:sz w:val="24"/>
          <w:szCs w:val="24"/>
        </w:rPr>
        <w:t xml:space="preserve">Anor </w:t>
      </w:r>
      <w:r w:rsidR="004A15A9" w:rsidRPr="00936E59">
        <w:rPr>
          <w:rFonts w:ascii="Times New Roman" w:hAnsi="Times New Roman" w:cs="Times New Roman"/>
          <w:i/>
          <w:sz w:val="24"/>
          <w:szCs w:val="24"/>
        </w:rPr>
        <w:t>(</w:t>
      </w:r>
      <w:r w:rsidR="00E5360E" w:rsidRPr="00936E59">
        <w:rPr>
          <w:rFonts w:ascii="Times New Roman" w:hAnsi="Times New Roman" w:cs="Times New Roman"/>
          <w:i/>
          <w:sz w:val="24"/>
          <w:szCs w:val="24"/>
        </w:rPr>
        <w:t>supra</w:t>
      </w:r>
      <w:r w:rsidR="004A15A9" w:rsidRPr="00936E59">
        <w:rPr>
          <w:rFonts w:ascii="Times New Roman" w:hAnsi="Times New Roman" w:cs="Times New Roman"/>
          <w:i/>
          <w:sz w:val="24"/>
          <w:szCs w:val="24"/>
        </w:rPr>
        <w:t>)</w:t>
      </w:r>
      <w:r w:rsidR="00E5360E" w:rsidRPr="00936E59">
        <w:rPr>
          <w:rFonts w:ascii="Times New Roman" w:hAnsi="Times New Roman" w:cs="Times New Roman"/>
          <w:sz w:val="24"/>
          <w:szCs w:val="24"/>
        </w:rPr>
        <w:t xml:space="preserve"> and found t</w:t>
      </w:r>
      <w:r w:rsidR="0006616D" w:rsidRPr="00936E59">
        <w:rPr>
          <w:rFonts w:ascii="Times New Roman" w:hAnsi="Times New Roman" w:cs="Times New Roman"/>
          <w:sz w:val="24"/>
          <w:szCs w:val="24"/>
        </w:rPr>
        <w:t xml:space="preserve">hat </w:t>
      </w:r>
      <w:r w:rsidR="005F5369" w:rsidRPr="00936E59">
        <w:rPr>
          <w:rFonts w:ascii="Times New Roman" w:hAnsi="Times New Roman" w:cs="Times New Roman"/>
          <w:sz w:val="24"/>
          <w:szCs w:val="24"/>
        </w:rPr>
        <w:t>the respondent was not aware that it had been ov</w:t>
      </w:r>
      <w:r w:rsidR="00766F85" w:rsidRPr="00936E59">
        <w:rPr>
          <w:rFonts w:ascii="Times New Roman" w:hAnsi="Times New Roman" w:cs="Times New Roman"/>
          <w:sz w:val="24"/>
          <w:szCs w:val="24"/>
        </w:rPr>
        <w:t>ercharged on interest when the D</w:t>
      </w:r>
      <w:r w:rsidR="005F5369" w:rsidRPr="00936E59">
        <w:rPr>
          <w:rFonts w:ascii="Times New Roman" w:hAnsi="Times New Roman" w:cs="Times New Roman"/>
          <w:sz w:val="24"/>
          <w:szCs w:val="24"/>
        </w:rPr>
        <w:t xml:space="preserve">eed was signed and could </w:t>
      </w:r>
      <w:r w:rsidR="00E5360E" w:rsidRPr="00936E59">
        <w:rPr>
          <w:rFonts w:ascii="Times New Roman" w:hAnsi="Times New Roman" w:cs="Times New Roman"/>
          <w:sz w:val="24"/>
          <w:szCs w:val="24"/>
        </w:rPr>
        <w:t xml:space="preserve">therefore </w:t>
      </w:r>
      <w:r w:rsidR="005F5369" w:rsidRPr="00936E59">
        <w:rPr>
          <w:rFonts w:ascii="Times New Roman" w:hAnsi="Times New Roman" w:cs="Times New Roman"/>
          <w:sz w:val="24"/>
          <w:szCs w:val="24"/>
        </w:rPr>
        <w:t>not have objected t</w:t>
      </w:r>
      <w:r w:rsidR="00EC31C9" w:rsidRPr="00936E59">
        <w:rPr>
          <w:rFonts w:ascii="Times New Roman" w:hAnsi="Times New Roman" w:cs="Times New Roman"/>
          <w:sz w:val="24"/>
          <w:szCs w:val="24"/>
        </w:rPr>
        <w:t>o w</w:t>
      </w:r>
      <w:r w:rsidR="00684ACF" w:rsidRPr="00936E59">
        <w:rPr>
          <w:rFonts w:ascii="Times New Roman" w:hAnsi="Times New Roman" w:cs="Times New Roman"/>
          <w:sz w:val="24"/>
          <w:szCs w:val="24"/>
        </w:rPr>
        <w:t>hat it did not k</w:t>
      </w:r>
      <w:r w:rsidR="00766F85" w:rsidRPr="00936E59">
        <w:rPr>
          <w:rFonts w:ascii="Times New Roman" w:hAnsi="Times New Roman" w:cs="Times New Roman"/>
          <w:sz w:val="24"/>
          <w:szCs w:val="24"/>
        </w:rPr>
        <w:t>now at the time of signing the D</w:t>
      </w:r>
      <w:r w:rsidR="00684ACF" w:rsidRPr="00936E59">
        <w:rPr>
          <w:rFonts w:ascii="Times New Roman" w:hAnsi="Times New Roman" w:cs="Times New Roman"/>
          <w:sz w:val="24"/>
          <w:szCs w:val="24"/>
        </w:rPr>
        <w:t>eed</w:t>
      </w:r>
      <w:r w:rsidR="00EC31C9" w:rsidRPr="00936E59">
        <w:rPr>
          <w:rFonts w:ascii="Times New Roman" w:hAnsi="Times New Roman" w:cs="Times New Roman"/>
          <w:sz w:val="24"/>
          <w:szCs w:val="24"/>
        </w:rPr>
        <w:t>.</w:t>
      </w:r>
      <w:r w:rsidR="00E5360E" w:rsidRPr="00936E59">
        <w:rPr>
          <w:rFonts w:ascii="Times New Roman" w:hAnsi="Times New Roman" w:cs="Times New Roman"/>
          <w:sz w:val="24"/>
          <w:szCs w:val="24"/>
        </w:rPr>
        <w:t xml:space="preserve"> </w:t>
      </w:r>
    </w:p>
    <w:p w:rsidR="00887CFC" w:rsidRPr="00936E59" w:rsidRDefault="00887CFC" w:rsidP="005877E6">
      <w:pPr>
        <w:spacing w:after="0" w:line="480" w:lineRule="auto"/>
        <w:ind w:left="720" w:hanging="720"/>
        <w:jc w:val="both"/>
        <w:rPr>
          <w:rFonts w:ascii="Times New Roman" w:hAnsi="Times New Roman" w:cs="Times New Roman"/>
          <w:sz w:val="24"/>
          <w:szCs w:val="24"/>
        </w:rPr>
      </w:pPr>
    </w:p>
    <w:p w:rsidR="00DD1720" w:rsidRPr="00936E59" w:rsidRDefault="008A58D8" w:rsidP="00DD1720">
      <w:pPr>
        <w:spacing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w:t>
      </w:r>
      <w:r w:rsidR="0026421E" w:rsidRPr="00936E59">
        <w:rPr>
          <w:rFonts w:ascii="Times New Roman" w:hAnsi="Times New Roman" w:cs="Times New Roman"/>
          <w:sz w:val="24"/>
          <w:szCs w:val="24"/>
        </w:rPr>
        <w:t>3</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E5360E" w:rsidRPr="00936E59">
        <w:rPr>
          <w:rFonts w:ascii="Times New Roman" w:hAnsi="Times New Roman" w:cs="Times New Roman"/>
          <w:sz w:val="24"/>
          <w:szCs w:val="24"/>
        </w:rPr>
        <w:t>Aggrieved, the appellant noted an ap</w:t>
      </w:r>
      <w:r w:rsidR="00133161" w:rsidRPr="00936E59">
        <w:rPr>
          <w:rFonts w:ascii="Times New Roman" w:hAnsi="Times New Roman" w:cs="Times New Roman"/>
          <w:sz w:val="24"/>
          <w:szCs w:val="24"/>
        </w:rPr>
        <w:t>peal on grounds which</w:t>
      </w:r>
      <w:r w:rsidR="00DD1720" w:rsidRPr="00936E59">
        <w:rPr>
          <w:rFonts w:ascii="Times New Roman" w:hAnsi="Times New Roman" w:cs="Times New Roman"/>
          <w:sz w:val="24"/>
          <w:szCs w:val="24"/>
        </w:rPr>
        <w:t xml:space="preserve"> raised one main </w:t>
      </w:r>
      <w:r w:rsidR="00BB3EA3" w:rsidRPr="00936E59">
        <w:rPr>
          <w:rFonts w:ascii="Times New Roman" w:hAnsi="Times New Roman" w:cs="Times New Roman"/>
          <w:sz w:val="24"/>
          <w:szCs w:val="24"/>
        </w:rPr>
        <w:t xml:space="preserve">issue for determination, </w:t>
      </w:r>
      <w:r w:rsidR="00454581" w:rsidRPr="00936E59">
        <w:rPr>
          <w:rFonts w:ascii="Times New Roman" w:hAnsi="Times New Roman" w:cs="Times New Roman"/>
          <w:sz w:val="24"/>
          <w:szCs w:val="24"/>
        </w:rPr>
        <w:t>namely: -</w:t>
      </w:r>
    </w:p>
    <w:p w:rsidR="008A58D8" w:rsidRDefault="00AA49F0" w:rsidP="00BB3EA3">
      <w:pPr>
        <w:spacing w:after="0" w:line="240" w:lineRule="auto"/>
        <w:ind w:left="1440"/>
        <w:rPr>
          <w:rFonts w:ascii="Times New Roman" w:hAnsi="Times New Roman" w:cs="Times New Roman"/>
          <w:b/>
          <w:sz w:val="24"/>
          <w:szCs w:val="24"/>
        </w:rPr>
      </w:pPr>
      <w:r w:rsidRPr="00936E59">
        <w:rPr>
          <w:rFonts w:ascii="Times New Roman" w:hAnsi="Times New Roman" w:cs="Times New Roman"/>
          <w:b/>
          <w:sz w:val="24"/>
          <w:szCs w:val="24"/>
        </w:rPr>
        <w:t>“</w:t>
      </w:r>
      <w:r w:rsidR="00DD1720" w:rsidRPr="00936E59">
        <w:rPr>
          <w:rFonts w:ascii="Times New Roman" w:hAnsi="Times New Roman" w:cs="Times New Roman"/>
          <w:b/>
          <w:sz w:val="24"/>
          <w:szCs w:val="24"/>
        </w:rPr>
        <w:t>Whether</w:t>
      </w:r>
      <w:r w:rsidR="00CE638B" w:rsidRPr="00936E59">
        <w:rPr>
          <w:rFonts w:ascii="Times New Roman" w:hAnsi="Times New Roman" w:cs="Times New Roman"/>
          <w:b/>
          <w:sz w:val="24"/>
          <w:szCs w:val="24"/>
        </w:rPr>
        <w:t xml:space="preserve">, in the absence of proceedings to set aside the </w:t>
      </w:r>
      <w:r w:rsidR="00C76AFD" w:rsidRPr="00936E59">
        <w:rPr>
          <w:rFonts w:ascii="Times New Roman" w:hAnsi="Times New Roman" w:cs="Times New Roman"/>
          <w:b/>
          <w:sz w:val="24"/>
          <w:szCs w:val="24"/>
        </w:rPr>
        <w:t>D</w:t>
      </w:r>
      <w:r w:rsidR="00CE638B" w:rsidRPr="00936E59">
        <w:rPr>
          <w:rFonts w:ascii="Times New Roman" w:hAnsi="Times New Roman" w:cs="Times New Roman"/>
          <w:b/>
          <w:sz w:val="24"/>
          <w:szCs w:val="24"/>
        </w:rPr>
        <w:t xml:space="preserve">eed of Settlement, </w:t>
      </w:r>
      <w:r w:rsidR="00DD1720" w:rsidRPr="00936E59">
        <w:rPr>
          <w:rFonts w:ascii="Times New Roman" w:hAnsi="Times New Roman" w:cs="Times New Roman"/>
          <w:b/>
          <w:sz w:val="24"/>
          <w:szCs w:val="24"/>
        </w:rPr>
        <w:t xml:space="preserve">the court </w:t>
      </w:r>
      <w:r w:rsidR="00DD1720" w:rsidRPr="00936E59">
        <w:rPr>
          <w:rFonts w:ascii="Times New Roman" w:hAnsi="Times New Roman" w:cs="Times New Roman"/>
          <w:b/>
          <w:i/>
          <w:sz w:val="24"/>
          <w:szCs w:val="24"/>
        </w:rPr>
        <w:t>a quo</w:t>
      </w:r>
      <w:r w:rsidR="00DD1720" w:rsidRPr="00936E59">
        <w:rPr>
          <w:rFonts w:ascii="Times New Roman" w:hAnsi="Times New Roman" w:cs="Times New Roman"/>
          <w:b/>
          <w:sz w:val="24"/>
          <w:szCs w:val="24"/>
        </w:rPr>
        <w:t xml:space="preserve"> erred in refusing to grant the default judgment sought on the basis </w:t>
      </w:r>
      <w:r w:rsidR="00C76AFD" w:rsidRPr="00936E59">
        <w:rPr>
          <w:rFonts w:ascii="Times New Roman" w:hAnsi="Times New Roman" w:cs="Times New Roman"/>
          <w:b/>
          <w:sz w:val="24"/>
          <w:szCs w:val="24"/>
        </w:rPr>
        <w:t xml:space="preserve">of </w:t>
      </w:r>
      <w:r w:rsidR="00DD1720" w:rsidRPr="00936E59">
        <w:rPr>
          <w:rFonts w:ascii="Times New Roman" w:hAnsi="Times New Roman" w:cs="Times New Roman"/>
          <w:b/>
          <w:i/>
          <w:sz w:val="24"/>
          <w:szCs w:val="24"/>
        </w:rPr>
        <w:t>justus error</w:t>
      </w:r>
      <w:r w:rsidR="00DD1720" w:rsidRPr="00936E59">
        <w:rPr>
          <w:rFonts w:ascii="Times New Roman" w:hAnsi="Times New Roman" w:cs="Times New Roman"/>
          <w:b/>
          <w:sz w:val="24"/>
          <w:szCs w:val="24"/>
        </w:rPr>
        <w:t xml:space="preserve"> </w:t>
      </w:r>
      <w:r w:rsidR="00C76AFD" w:rsidRPr="00936E59">
        <w:rPr>
          <w:rFonts w:ascii="Times New Roman" w:hAnsi="Times New Roman" w:cs="Times New Roman"/>
          <w:b/>
          <w:sz w:val="24"/>
          <w:szCs w:val="24"/>
        </w:rPr>
        <w:t>relating to the conclusion of the Deed by the parties</w:t>
      </w:r>
      <w:r w:rsidRPr="00936E59">
        <w:rPr>
          <w:rFonts w:ascii="Times New Roman" w:hAnsi="Times New Roman" w:cs="Times New Roman"/>
          <w:b/>
          <w:sz w:val="24"/>
          <w:szCs w:val="24"/>
        </w:rPr>
        <w:t>.”</w:t>
      </w:r>
      <w:r w:rsidR="00C76AFD" w:rsidRPr="00936E59">
        <w:rPr>
          <w:rFonts w:ascii="Times New Roman" w:hAnsi="Times New Roman" w:cs="Times New Roman"/>
          <w:b/>
          <w:sz w:val="24"/>
          <w:szCs w:val="24"/>
        </w:rPr>
        <w:t xml:space="preserve"> </w:t>
      </w:r>
    </w:p>
    <w:p w:rsidR="00A6690F" w:rsidRPr="00936E59" w:rsidRDefault="00A6690F" w:rsidP="0062605C">
      <w:pPr>
        <w:spacing w:after="0" w:line="240" w:lineRule="auto"/>
        <w:jc w:val="both"/>
        <w:rPr>
          <w:rFonts w:ascii="Times New Roman" w:hAnsi="Times New Roman" w:cs="Times New Roman"/>
          <w:b/>
          <w:sz w:val="24"/>
          <w:szCs w:val="24"/>
        </w:rPr>
      </w:pPr>
    </w:p>
    <w:p w:rsidR="00A6690F" w:rsidRPr="00936E59" w:rsidRDefault="00C76AFD" w:rsidP="00A6690F">
      <w:pPr>
        <w:spacing w:after="0" w:line="480" w:lineRule="auto"/>
        <w:ind w:left="720"/>
        <w:jc w:val="both"/>
        <w:rPr>
          <w:rFonts w:ascii="Times New Roman" w:hAnsi="Times New Roman" w:cs="Times New Roman"/>
          <w:sz w:val="24"/>
          <w:szCs w:val="24"/>
        </w:rPr>
      </w:pPr>
      <w:r w:rsidRPr="00936E59">
        <w:rPr>
          <w:rFonts w:ascii="Times New Roman" w:hAnsi="Times New Roman" w:cs="Times New Roman"/>
          <w:sz w:val="24"/>
          <w:szCs w:val="24"/>
        </w:rPr>
        <w:lastRenderedPageBreak/>
        <w:t>Related to this issue is whether,</w:t>
      </w:r>
      <w:r w:rsidR="00CE638B" w:rsidRPr="00936E59">
        <w:rPr>
          <w:rFonts w:ascii="Times New Roman" w:hAnsi="Times New Roman" w:cs="Times New Roman"/>
          <w:sz w:val="24"/>
          <w:szCs w:val="24"/>
        </w:rPr>
        <w:t xml:space="preserve"> accordingly, the court </w:t>
      </w:r>
      <w:r w:rsidR="00CE16AB" w:rsidRPr="00936E59">
        <w:rPr>
          <w:rFonts w:ascii="Times New Roman" w:hAnsi="Times New Roman" w:cs="Times New Roman"/>
          <w:i/>
          <w:sz w:val="24"/>
          <w:szCs w:val="24"/>
        </w:rPr>
        <w:t>a </w:t>
      </w:r>
      <w:r w:rsidR="00CE638B" w:rsidRPr="00936E59">
        <w:rPr>
          <w:rFonts w:ascii="Times New Roman" w:hAnsi="Times New Roman" w:cs="Times New Roman"/>
          <w:i/>
          <w:sz w:val="24"/>
          <w:szCs w:val="24"/>
        </w:rPr>
        <w:t>quo</w:t>
      </w:r>
      <w:r w:rsidR="00CE638B" w:rsidRPr="00936E59">
        <w:rPr>
          <w:rFonts w:ascii="Times New Roman" w:hAnsi="Times New Roman" w:cs="Times New Roman"/>
          <w:sz w:val="24"/>
          <w:szCs w:val="24"/>
        </w:rPr>
        <w:t xml:space="preserve"> determined a matter not properly before it.</w:t>
      </w:r>
    </w:p>
    <w:p w:rsidR="0066085E" w:rsidRDefault="00C76AFD" w:rsidP="00C121EC">
      <w:pPr>
        <w:spacing w:line="480" w:lineRule="auto"/>
        <w:ind w:firstLine="720"/>
        <w:jc w:val="both"/>
        <w:rPr>
          <w:rFonts w:ascii="Times New Roman" w:hAnsi="Times New Roman" w:cs="Times New Roman"/>
          <w:sz w:val="24"/>
          <w:szCs w:val="24"/>
        </w:rPr>
      </w:pPr>
      <w:r w:rsidRPr="00936E59">
        <w:rPr>
          <w:rFonts w:ascii="Times New Roman" w:hAnsi="Times New Roman" w:cs="Times New Roman"/>
          <w:sz w:val="24"/>
          <w:szCs w:val="24"/>
        </w:rPr>
        <w:t>I will now consider the issue.</w:t>
      </w:r>
    </w:p>
    <w:p w:rsidR="00A6690F" w:rsidRPr="00936E59" w:rsidRDefault="00A6690F" w:rsidP="00A6690F">
      <w:pPr>
        <w:spacing w:after="0" w:line="240" w:lineRule="auto"/>
        <w:ind w:firstLine="720"/>
        <w:jc w:val="both"/>
        <w:rPr>
          <w:rFonts w:ascii="Times New Roman" w:hAnsi="Times New Roman" w:cs="Times New Roman"/>
          <w:sz w:val="24"/>
          <w:szCs w:val="24"/>
        </w:rPr>
      </w:pPr>
    </w:p>
    <w:p w:rsidR="009F7976" w:rsidRPr="00936E59" w:rsidRDefault="000E0E8E" w:rsidP="0045458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w:t>
      </w:r>
      <w:r w:rsidR="0026421E" w:rsidRPr="00936E59">
        <w:rPr>
          <w:rFonts w:ascii="Times New Roman" w:hAnsi="Times New Roman" w:cs="Times New Roman"/>
          <w:sz w:val="24"/>
          <w:szCs w:val="24"/>
        </w:rPr>
        <w:t>4</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EC31C9" w:rsidRPr="00936E59">
        <w:rPr>
          <w:rFonts w:ascii="Times New Roman" w:hAnsi="Times New Roman" w:cs="Times New Roman"/>
          <w:sz w:val="24"/>
          <w:szCs w:val="24"/>
        </w:rPr>
        <w:t>Counsel for the appellant submitted</w:t>
      </w:r>
      <w:r w:rsidR="0089776F" w:rsidRPr="00936E59">
        <w:rPr>
          <w:rFonts w:ascii="Times New Roman" w:hAnsi="Times New Roman" w:cs="Times New Roman"/>
          <w:sz w:val="24"/>
          <w:szCs w:val="24"/>
        </w:rPr>
        <w:t xml:space="preserve"> that</w:t>
      </w:r>
      <w:r w:rsidR="00EC31C9" w:rsidRPr="00936E59">
        <w:rPr>
          <w:rFonts w:ascii="Times New Roman" w:hAnsi="Times New Roman" w:cs="Times New Roman"/>
          <w:sz w:val="24"/>
          <w:szCs w:val="24"/>
        </w:rPr>
        <w:t xml:space="preserve"> the</w:t>
      </w:r>
      <w:r w:rsidR="0089776F" w:rsidRPr="00936E59">
        <w:rPr>
          <w:rFonts w:ascii="Times New Roman" w:hAnsi="Times New Roman" w:cs="Times New Roman"/>
          <w:sz w:val="24"/>
          <w:szCs w:val="24"/>
        </w:rPr>
        <w:t xml:space="preserve"> court </w:t>
      </w:r>
      <w:r w:rsidR="0089776F" w:rsidRPr="00936E59">
        <w:rPr>
          <w:rFonts w:ascii="Times New Roman" w:hAnsi="Times New Roman" w:cs="Times New Roman"/>
          <w:i/>
          <w:sz w:val="24"/>
          <w:szCs w:val="24"/>
        </w:rPr>
        <w:t>a quo</w:t>
      </w:r>
      <w:r w:rsidR="0089776F" w:rsidRPr="00936E59">
        <w:rPr>
          <w:rFonts w:ascii="Times New Roman" w:hAnsi="Times New Roman" w:cs="Times New Roman"/>
          <w:sz w:val="24"/>
          <w:szCs w:val="24"/>
        </w:rPr>
        <w:t xml:space="preserve"> erred in</w:t>
      </w:r>
      <w:r w:rsidR="00EC31C9" w:rsidRPr="00936E59">
        <w:rPr>
          <w:rFonts w:ascii="Times New Roman" w:hAnsi="Times New Roman" w:cs="Times New Roman"/>
          <w:sz w:val="24"/>
          <w:szCs w:val="24"/>
        </w:rPr>
        <w:t xml:space="preserve"> failing to give effect to the </w:t>
      </w:r>
      <w:r w:rsidR="004A15A9" w:rsidRPr="00936E59">
        <w:rPr>
          <w:rFonts w:ascii="Times New Roman" w:hAnsi="Times New Roman" w:cs="Times New Roman"/>
          <w:sz w:val="24"/>
          <w:szCs w:val="24"/>
        </w:rPr>
        <w:t>D</w:t>
      </w:r>
      <w:r w:rsidR="0089776F" w:rsidRPr="00936E59">
        <w:rPr>
          <w:rFonts w:ascii="Times New Roman" w:hAnsi="Times New Roman" w:cs="Times New Roman"/>
          <w:sz w:val="24"/>
          <w:szCs w:val="24"/>
        </w:rPr>
        <w:t>eed</w:t>
      </w:r>
      <w:r w:rsidR="00443731" w:rsidRPr="00936E59">
        <w:rPr>
          <w:rFonts w:ascii="Times New Roman" w:hAnsi="Times New Roman" w:cs="Times New Roman"/>
          <w:sz w:val="24"/>
          <w:szCs w:val="24"/>
        </w:rPr>
        <w:t xml:space="preserve"> which </w:t>
      </w:r>
      <w:r w:rsidR="00BB7E47" w:rsidRPr="00936E59">
        <w:rPr>
          <w:rFonts w:ascii="Times New Roman" w:hAnsi="Times New Roman" w:cs="Times New Roman"/>
          <w:sz w:val="24"/>
          <w:szCs w:val="24"/>
        </w:rPr>
        <w:t xml:space="preserve">the </w:t>
      </w:r>
      <w:r w:rsidR="00443731" w:rsidRPr="00936E59">
        <w:rPr>
          <w:rFonts w:ascii="Times New Roman" w:hAnsi="Times New Roman" w:cs="Times New Roman"/>
          <w:sz w:val="24"/>
          <w:szCs w:val="24"/>
        </w:rPr>
        <w:t>parties had</w:t>
      </w:r>
      <w:r w:rsidR="0089776F" w:rsidRPr="00936E59">
        <w:rPr>
          <w:rFonts w:ascii="Times New Roman" w:hAnsi="Times New Roman" w:cs="Times New Roman"/>
          <w:sz w:val="24"/>
          <w:szCs w:val="24"/>
        </w:rPr>
        <w:t xml:space="preserve"> conc</w:t>
      </w:r>
      <w:r w:rsidR="00443731" w:rsidRPr="00936E59">
        <w:rPr>
          <w:rFonts w:ascii="Times New Roman" w:hAnsi="Times New Roman" w:cs="Times New Roman"/>
          <w:sz w:val="24"/>
          <w:szCs w:val="24"/>
        </w:rPr>
        <w:t xml:space="preserve">luded. </w:t>
      </w:r>
      <w:r w:rsidR="002B4C77" w:rsidRPr="00936E59">
        <w:rPr>
          <w:rFonts w:ascii="Times New Roman" w:hAnsi="Times New Roman" w:cs="Times New Roman"/>
          <w:sz w:val="24"/>
          <w:szCs w:val="24"/>
        </w:rPr>
        <w:t>He submitted tha</w:t>
      </w:r>
      <w:r w:rsidR="00BB7E47" w:rsidRPr="00936E59">
        <w:rPr>
          <w:rFonts w:ascii="Times New Roman" w:hAnsi="Times New Roman" w:cs="Times New Roman"/>
          <w:sz w:val="24"/>
          <w:szCs w:val="24"/>
        </w:rPr>
        <w:t>t since there was no mistake when the</w:t>
      </w:r>
      <w:r w:rsidR="002B4C77" w:rsidRPr="00936E59">
        <w:rPr>
          <w:rFonts w:ascii="Times New Roman" w:hAnsi="Times New Roman" w:cs="Times New Roman"/>
          <w:sz w:val="24"/>
          <w:szCs w:val="24"/>
        </w:rPr>
        <w:t xml:space="preserve"> compromise was </w:t>
      </w:r>
      <w:r w:rsidR="00BB7E47" w:rsidRPr="00936E59">
        <w:rPr>
          <w:rFonts w:ascii="Times New Roman" w:hAnsi="Times New Roman" w:cs="Times New Roman"/>
          <w:sz w:val="24"/>
          <w:szCs w:val="24"/>
        </w:rPr>
        <w:t>concluded,</w:t>
      </w:r>
      <w:r w:rsidR="002B4C77" w:rsidRPr="00936E59">
        <w:rPr>
          <w:rFonts w:ascii="Times New Roman" w:hAnsi="Times New Roman" w:cs="Times New Roman"/>
          <w:sz w:val="24"/>
          <w:szCs w:val="24"/>
        </w:rPr>
        <w:t xml:space="preserve"> the respondent was seeking</w:t>
      </w:r>
      <w:r w:rsidR="00BB7E47" w:rsidRPr="00936E59">
        <w:rPr>
          <w:rFonts w:ascii="Times New Roman" w:hAnsi="Times New Roman" w:cs="Times New Roman"/>
          <w:sz w:val="24"/>
          <w:szCs w:val="24"/>
        </w:rPr>
        <w:t xml:space="preserve"> to resile from the</w:t>
      </w:r>
      <w:r w:rsidR="00CC1617" w:rsidRPr="00936E59">
        <w:rPr>
          <w:rFonts w:ascii="Times New Roman" w:hAnsi="Times New Roman" w:cs="Times New Roman"/>
          <w:sz w:val="24"/>
          <w:szCs w:val="24"/>
        </w:rPr>
        <w:t xml:space="preserve"> contract or vary</w:t>
      </w:r>
      <w:r w:rsidR="00BB7E47" w:rsidRPr="00936E59">
        <w:rPr>
          <w:rFonts w:ascii="Times New Roman" w:hAnsi="Times New Roman" w:cs="Times New Roman"/>
          <w:sz w:val="24"/>
          <w:szCs w:val="24"/>
        </w:rPr>
        <w:t xml:space="preserve"> its terms when these had</w:t>
      </w:r>
      <w:r w:rsidR="00CC1617" w:rsidRPr="00936E59">
        <w:rPr>
          <w:rFonts w:ascii="Times New Roman" w:hAnsi="Times New Roman" w:cs="Times New Roman"/>
          <w:sz w:val="24"/>
          <w:szCs w:val="24"/>
        </w:rPr>
        <w:t xml:space="preserve"> duly </w:t>
      </w:r>
      <w:r w:rsidR="00BB7E47" w:rsidRPr="00936E59">
        <w:rPr>
          <w:rFonts w:ascii="Times New Roman" w:hAnsi="Times New Roman" w:cs="Times New Roman"/>
          <w:sz w:val="24"/>
          <w:szCs w:val="24"/>
        </w:rPr>
        <w:t>been concluded and therefore</w:t>
      </w:r>
      <w:r w:rsidR="00CC1617" w:rsidRPr="00936E59">
        <w:rPr>
          <w:rFonts w:ascii="Times New Roman" w:hAnsi="Times New Roman" w:cs="Times New Roman"/>
          <w:sz w:val="24"/>
          <w:szCs w:val="24"/>
        </w:rPr>
        <w:t xml:space="preserve"> </w:t>
      </w:r>
      <w:r w:rsidR="00BB7E47" w:rsidRPr="00936E59">
        <w:rPr>
          <w:rFonts w:ascii="Times New Roman" w:hAnsi="Times New Roman" w:cs="Times New Roman"/>
          <w:sz w:val="24"/>
          <w:szCs w:val="24"/>
        </w:rPr>
        <w:t xml:space="preserve">were </w:t>
      </w:r>
      <w:r w:rsidR="00CC1617" w:rsidRPr="00936E59">
        <w:rPr>
          <w:rFonts w:ascii="Times New Roman" w:hAnsi="Times New Roman" w:cs="Times New Roman"/>
          <w:sz w:val="24"/>
          <w:szCs w:val="24"/>
        </w:rPr>
        <w:t xml:space="preserve">binding between the parties. </w:t>
      </w:r>
      <w:r w:rsidR="00443731" w:rsidRPr="00936E59">
        <w:rPr>
          <w:rFonts w:ascii="Times New Roman" w:hAnsi="Times New Roman" w:cs="Times New Roman"/>
          <w:sz w:val="24"/>
          <w:szCs w:val="24"/>
        </w:rPr>
        <w:t xml:space="preserve">He </w:t>
      </w:r>
      <w:r w:rsidR="00CC1617" w:rsidRPr="00936E59">
        <w:rPr>
          <w:rFonts w:ascii="Times New Roman" w:hAnsi="Times New Roman" w:cs="Times New Roman"/>
          <w:sz w:val="24"/>
          <w:szCs w:val="24"/>
        </w:rPr>
        <w:t xml:space="preserve">further </w:t>
      </w:r>
      <w:r w:rsidR="0089776F" w:rsidRPr="00936E59">
        <w:rPr>
          <w:rFonts w:ascii="Times New Roman" w:hAnsi="Times New Roman" w:cs="Times New Roman"/>
          <w:sz w:val="24"/>
          <w:szCs w:val="24"/>
        </w:rPr>
        <w:t xml:space="preserve">submitted that the court </w:t>
      </w:r>
      <w:r w:rsidR="0089776F" w:rsidRPr="00936E59">
        <w:rPr>
          <w:rFonts w:ascii="Times New Roman" w:hAnsi="Times New Roman" w:cs="Times New Roman"/>
          <w:i/>
          <w:sz w:val="24"/>
          <w:szCs w:val="24"/>
        </w:rPr>
        <w:t>a quo</w:t>
      </w:r>
      <w:r w:rsidR="0089776F" w:rsidRPr="00936E59">
        <w:rPr>
          <w:rFonts w:ascii="Times New Roman" w:hAnsi="Times New Roman" w:cs="Times New Roman"/>
          <w:sz w:val="24"/>
          <w:szCs w:val="24"/>
        </w:rPr>
        <w:t xml:space="preserve"> was only called upon to establish whether the respondent was in default of</w:t>
      </w:r>
      <w:r w:rsidR="00BB7E47" w:rsidRPr="00936E59">
        <w:rPr>
          <w:rFonts w:ascii="Times New Roman" w:hAnsi="Times New Roman" w:cs="Times New Roman"/>
          <w:sz w:val="24"/>
          <w:szCs w:val="24"/>
        </w:rPr>
        <w:t xml:space="preserve"> payment</w:t>
      </w:r>
      <w:r w:rsidR="00EC31C9" w:rsidRPr="00936E59">
        <w:rPr>
          <w:rFonts w:ascii="Times New Roman" w:hAnsi="Times New Roman" w:cs="Times New Roman"/>
          <w:sz w:val="24"/>
          <w:szCs w:val="24"/>
        </w:rPr>
        <w:t xml:space="preserve"> having regard to the </w:t>
      </w:r>
      <w:r w:rsidR="0012744C" w:rsidRPr="00936E59">
        <w:rPr>
          <w:rFonts w:ascii="Times New Roman" w:hAnsi="Times New Roman" w:cs="Times New Roman"/>
          <w:sz w:val="24"/>
          <w:szCs w:val="24"/>
        </w:rPr>
        <w:t>D</w:t>
      </w:r>
      <w:r w:rsidR="0089776F" w:rsidRPr="00936E59">
        <w:rPr>
          <w:rFonts w:ascii="Times New Roman" w:hAnsi="Times New Roman" w:cs="Times New Roman"/>
          <w:sz w:val="24"/>
          <w:szCs w:val="24"/>
        </w:rPr>
        <w:t xml:space="preserve">eed </w:t>
      </w:r>
      <w:r w:rsidR="00EC31C9" w:rsidRPr="00936E59">
        <w:rPr>
          <w:rFonts w:ascii="Times New Roman" w:hAnsi="Times New Roman" w:cs="Times New Roman"/>
          <w:sz w:val="24"/>
          <w:szCs w:val="24"/>
        </w:rPr>
        <w:t xml:space="preserve">and not </w:t>
      </w:r>
      <w:r w:rsidR="00BB7E47" w:rsidRPr="00936E59">
        <w:rPr>
          <w:rFonts w:ascii="Times New Roman" w:hAnsi="Times New Roman" w:cs="Times New Roman"/>
          <w:sz w:val="24"/>
          <w:szCs w:val="24"/>
        </w:rPr>
        <w:t>to determine</w:t>
      </w:r>
      <w:r w:rsidR="00E269D0" w:rsidRPr="00936E59">
        <w:rPr>
          <w:rFonts w:ascii="Times New Roman" w:hAnsi="Times New Roman" w:cs="Times New Roman"/>
          <w:sz w:val="24"/>
          <w:szCs w:val="24"/>
        </w:rPr>
        <w:t xml:space="preserve"> the validity of the D</w:t>
      </w:r>
      <w:r w:rsidR="0089776F" w:rsidRPr="00936E59">
        <w:rPr>
          <w:rFonts w:ascii="Times New Roman" w:hAnsi="Times New Roman" w:cs="Times New Roman"/>
          <w:sz w:val="24"/>
          <w:szCs w:val="24"/>
        </w:rPr>
        <w:t>eed</w:t>
      </w:r>
      <w:r w:rsidR="00BB7E47" w:rsidRPr="00936E59">
        <w:rPr>
          <w:rFonts w:ascii="Times New Roman" w:hAnsi="Times New Roman" w:cs="Times New Roman"/>
          <w:sz w:val="24"/>
          <w:szCs w:val="24"/>
        </w:rPr>
        <w:t xml:space="preserve"> itself</w:t>
      </w:r>
      <w:r w:rsidR="0089776F" w:rsidRPr="00936E59">
        <w:rPr>
          <w:rFonts w:ascii="Times New Roman" w:hAnsi="Times New Roman" w:cs="Times New Roman"/>
          <w:sz w:val="24"/>
          <w:szCs w:val="24"/>
        </w:rPr>
        <w:t>.</w:t>
      </w:r>
      <w:r w:rsidR="003A0E2A" w:rsidRPr="00936E59">
        <w:rPr>
          <w:rFonts w:ascii="Times New Roman" w:hAnsi="Times New Roman" w:cs="Times New Roman"/>
          <w:sz w:val="24"/>
          <w:szCs w:val="24"/>
        </w:rPr>
        <w:t xml:space="preserve"> Further, that </w:t>
      </w:r>
      <w:r w:rsidR="00421798" w:rsidRPr="00936E59">
        <w:rPr>
          <w:rFonts w:ascii="Times New Roman" w:hAnsi="Times New Roman" w:cs="Times New Roman"/>
          <w:sz w:val="24"/>
          <w:szCs w:val="24"/>
        </w:rPr>
        <w:t xml:space="preserve">the </w:t>
      </w:r>
      <w:r w:rsidR="00443731" w:rsidRPr="00936E59">
        <w:rPr>
          <w:rFonts w:ascii="Times New Roman" w:hAnsi="Times New Roman" w:cs="Times New Roman"/>
          <w:sz w:val="24"/>
          <w:szCs w:val="24"/>
        </w:rPr>
        <w:t>dismiss</w:t>
      </w:r>
      <w:r w:rsidR="00421798" w:rsidRPr="00936E59">
        <w:rPr>
          <w:rFonts w:ascii="Times New Roman" w:hAnsi="Times New Roman" w:cs="Times New Roman"/>
          <w:sz w:val="24"/>
          <w:szCs w:val="24"/>
        </w:rPr>
        <w:t>al of</w:t>
      </w:r>
      <w:r w:rsidR="00443731" w:rsidRPr="00936E59">
        <w:rPr>
          <w:rFonts w:ascii="Times New Roman" w:hAnsi="Times New Roman" w:cs="Times New Roman"/>
          <w:sz w:val="24"/>
          <w:szCs w:val="24"/>
        </w:rPr>
        <w:t xml:space="preserve"> the application </w:t>
      </w:r>
      <w:r w:rsidR="00C76AFD" w:rsidRPr="00936E59">
        <w:rPr>
          <w:rFonts w:ascii="Times New Roman" w:hAnsi="Times New Roman" w:cs="Times New Roman"/>
          <w:sz w:val="24"/>
          <w:szCs w:val="24"/>
        </w:rPr>
        <w:t>in circumstances where the</w:t>
      </w:r>
      <w:r w:rsidR="003A0E2A" w:rsidRPr="00936E59">
        <w:rPr>
          <w:rFonts w:ascii="Times New Roman" w:hAnsi="Times New Roman" w:cs="Times New Roman"/>
          <w:sz w:val="24"/>
          <w:szCs w:val="24"/>
        </w:rPr>
        <w:t xml:space="preserve"> validity or otherwise</w:t>
      </w:r>
      <w:r w:rsidR="00E269D0" w:rsidRPr="00936E59">
        <w:rPr>
          <w:rFonts w:ascii="Times New Roman" w:hAnsi="Times New Roman" w:cs="Times New Roman"/>
          <w:sz w:val="24"/>
          <w:szCs w:val="24"/>
        </w:rPr>
        <w:t xml:space="preserve"> of the D</w:t>
      </w:r>
      <w:r w:rsidR="00443731" w:rsidRPr="00936E59">
        <w:rPr>
          <w:rFonts w:ascii="Times New Roman" w:hAnsi="Times New Roman" w:cs="Times New Roman"/>
          <w:sz w:val="24"/>
          <w:szCs w:val="24"/>
        </w:rPr>
        <w:t xml:space="preserve">eed </w:t>
      </w:r>
      <w:r w:rsidR="00C76AFD" w:rsidRPr="00936E59">
        <w:rPr>
          <w:rFonts w:ascii="Times New Roman" w:hAnsi="Times New Roman" w:cs="Times New Roman"/>
          <w:sz w:val="24"/>
          <w:szCs w:val="24"/>
        </w:rPr>
        <w:t xml:space="preserve">was not properly before the court, </w:t>
      </w:r>
      <w:r w:rsidR="00443731" w:rsidRPr="00936E59">
        <w:rPr>
          <w:rFonts w:ascii="Times New Roman" w:hAnsi="Times New Roman" w:cs="Times New Roman"/>
          <w:sz w:val="24"/>
          <w:szCs w:val="24"/>
        </w:rPr>
        <w:t xml:space="preserve">was </w:t>
      </w:r>
      <w:r w:rsidR="00421798" w:rsidRPr="00936E59">
        <w:rPr>
          <w:rFonts w:ascii="Times New Roman" w:hAnsi="Times New Roman" w:cs="Times New Roman"/>
          <w:sz w:val="24"/>
          <w:szCs w:val="24"/>
        </w:rPr>
        <w:t xml:space="preserve">improper </w:t>
      </w:r>
      <w:r w:rsidR="00443731" w:rsidRPr="00936E59">
        <w:rPr>
          <w:rFonts w:ascii="Times New Roman" w:hAnsi="Times New Roman" w:cs="Times New Roman"/>
          <w:sz w:val="24"/>
          <w:szCs w:val="24"/>
        </w:rPr>
        <w:t>and left the appellant in a quandary as it could not then resort to the original c</w:t>
      </w:r>
      <w:r w:rsidR="00EC31C9" w:rsidRPr="00936E59">
        <w:rPr>
          <w:rFonts w:ascii="Times New Roman" w:hAnsi="Times New Roman" w:cs="Times New Roman"/>
          <w:sz w:val="24"/>
          <w:szCs w:val="24"/>
        </w:rPr>
        <w:t xml:space="preserve">ause of action in light of the </w:t>
      </w:r>
      <w:r w:rsidR="00C76AFD" w:rsidRPr="00936E59">
        <w:rPr>
          <w:rFonts w:ascii="Times New Roman" w:hAnsi="Times New Roman" w:cs="Times New Roman"/>
          <w:sz w:val="24"/>
          <w:szCs w:val="24"/>
        </w:rPr>
        <w:t>D</w:t>
      </w:r>
      <w:r w:rsidR="00443731" w:rsidRPr="00936E59">
        <w:rPr>
          <w:rFonts w:ascii="Times New Roman" w:hAnsi="Times New Roman" w:cs="Times New Roman"/>
          <w:sz w:val="24"/>
          <w:szCs w:val="24"/>
        </w:rPr>
        <w:t>eed</w:t>
      </w:r>
      <w:r w:rsidR="00EC31C9" w:rsidRPr="00936E59">
        <w:rPr>
          <w:rFonts w:ascii="Times New Roman" w:hAnsi="Times New Roman" w:cs="Times New Roman"/>
          <w:sz w:val="24"/>
          <w:szCs w:val="24"/>
        </w:rPr>
        <w:t xml:space="preserve"> or compromise</w:t>
      </w:r>
      <w:r w:rsidR="00443731" w:rsidRPr="00936E59">
        <w:rPr>
          <w:rFonts w:ascii="Times New Roman" w:hAnsi="Times New Roman" w:cs="Times New Roman"/>
          <w:sz w:val="24"/>
          <w:szCs w:val="24"/>
        </w:rPr>
        <w:t>.</w:t>
      </w:r>
    </w:p>
    <w:p w:rsidR="00454581" w:rsidRPr="00936E59" w:rsidRDefault="00454581" w:rsidP="00454581">
      <w:pPr>
        <w:spacing w:after="0" w:line="480" w:lineRule="auto"/>
        <w:ind w:left="720" w:hanging="720"/>
        <w:jc w:val="both"/>
        <w:rPr>
          <w:rFonts w:ascii="Times New Roman" w:hAnsi="Times New Roman" w:cs="Times New Roman"/>
          <w:sz w:val="24"/>
          <w:szCs w:val="24"/>
        </w:rPr>
      </w:pPr>
    </w:p>
    <w:p w:rsidR="00C76AFD" w:rsidRPr="00936E59" w:rsidRDefault="00421798" w:rsidP="006566F3">
      <w:pPr>
        <w:spacing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w:t>
      </w:r>
      <w:r w:rsidR="00772D5B" w:rsidRPr="00936E59">
        <w:rPr>
          <w:rFonts w:ascii="Times New Roman" w:hAnsi="Times New Roman" w:cs="Times New Roman"/>
          <w:sz w:val="24"/>
          <w:szCs w:val="24"/>
        </w:rPr>
        <w:t>5</w:t>
      </w:r>
      <w:r w:rsidR="00454581" w:rsidRPr="00936E59">
        <w:rPr>
          <w:rFonts w:ascii="Times New Roman" w:hAnsi="Times New Roman" w:cs="Times New Roman"/>
          <w:sz w:val="24"/>
          <w:szCs w:val="24"/>
        </w:rPr>
        <w:t xml:space="preserve">] </w:t>
      </w:r>
      <w:r w:rsidR="00501A5B">
        <w:rPr>
          <w:rFonts w:ascii="Times New Roman" w:hAnsi="Times New Roman" w:cs="Times New Roman"/>
          <w:sz w:val="24"/>
          <w:szCs w:val="24"/>
        </w:rPr>
        <w:tab/>
      </w:r>
      <w:r w:rsidR="00C32E8D" w:rsidRPr="00936E59">
        <w:rPr>
          <w:rFonts w:ascii="Times New Roman" w:hAnsi="Times New Roman" w:cs="Times New Roman"/>
          <w:sz w:val="24"/>
          <w:szCs w:val="24"/>
        </w:rPr>
        <w:t>In response, t</w:t>
      </w:r>
      <w:r w:rsidR="009729DF" w:rsidRPr="00936E59">
        <w:rPr>
          <w:rFonts w:ascii="Times New Roman" w:hAnsi="Times New Roman" w:cs="Times New Roman"/>
          <w:sz w:val="24"/>
          <w:szCs w:val="24"/>
        </w:rPr>
        <w:t xml:space="preserve">he </w:t>
      </w:r>
      <w:r w:rsidR="006E1B65" w:rsidRPr="00936E59">
        <w:rPr>
          <w:rFonts w:ascii="Times New Roman" w:hAnsi="Times New Roman" w:cs="Times New Roman"/>
          <w:sz w:val="24"/>
          <w:szCs w:val="24"/>
        </w:rPr>
        <w:t>totality of the respondent’s submissions</w:t>
      </w:r>
      <w:r w:rsidR="00C76AFD" w:rsidRPr="00936E59">
        <w:rPr>
          <w:rFonts w:ascii="Times New Roman" w:hAnsi="Times New Roman" w:cs="Times New Roman"/>
          <w:sz w:val="24"/>
          <w:szCs w:val="24"/>
        </w:rPr>
        <w:t>, as contained in its opposing affidavit,</w:t>
      </w:r>
      <w:r w:rsidR="006E1B65" w:rsidRPr="00936E59">
        <w:rPr>
          <w:rFonts w:ascii="Times New Roman" w:hAnsi="Times New Roman" w:cs="Times New Roman"/>
          <w:sz w:val="24"/>
          <w:szCs w:val="24"/>
        </w:rPr>
        <w:t xml:space="preserve"> was that </w:t>
      </w:r>
      <w:r w:rsidR="00CE638B" w:rsidRPr="00936E59">
        <w:rPr>
          <w:rFonts w:ascii="Times New Roman" w:hAnsi="Times New Roman" w:cs="Times New Roman"/>
          <w:sz w:val="24"/>
          <w:szCs w:val="24"/>
        </w:rPr>
        <w:t xml:space="preserve">the </w:t>
      </w:r>
      <w:r w:rsidR="00461867" w:rsidRPr="00936E59">
        <w:rPr>
          <w:rFonts w:ascii="Times New Roman" w:hAnsi="Times New Roman" w:cs="Times New Roman"/>
          <w:sz w:val="24"/>
          <w:szCs w:val="24"/>
        </w:rPr>
        <w:t xml:space="preserve">parties </w:t>
      </w:r>
      <w:r w:rsidR="00C76AFD" w:rsidRPr="00936E59">
        <w:rPr>
          <w:rFonts w:ascii="Times New Roman" w:hAnsi="Times New Roman" w:cs="Times New Roman"/>
          <w:sz w:val="24"/>
          <w:szCs w:val="24"/>
        </w:rPr>
        <w:t xml:space="preserve">laboured under a mistake relating to the computation of the amounts due by it, </w:t>
      </w:r>
      <w:r w:rsidR="00461867" w:rsidRPr="00936E59">
        <w:rPr>
          <w:rFonts w:ascii="Times New Roman" w:hAnsi="Times New Roman" w:cs="Times New Roman"/>
          <w:sz w:val="24"/>
          <w:szCs w:val="24"/>
        </w:rPr>
        <w:t>when the compromise</w:t>
      </w:r>
      <w:r w:rsidR="005A5867" w:rsidRPr="00936E59">
        <w:rPr>
          <w:rFonts w:ascii="Times New Roman" w:hAnsi="Times New Roman" w:cs="Times New Roman"/>
          <w:sz w:val="24"/>
          <w:szCs w:val="24"/>
        </w:rPr>
        <w:t xml:space="preserve"> </w:t>
      </w:r>
      <w:r w:rsidR="00461867" w:rsidRPr="00936E59">
        <w:rPr>
          <w:rFonts w:ascii="Times New Roman" w:hAnsi="Times New Roman" w:cs="Times New Roman"/>
          <w:sz w:val="24"/>
          <w:szCs w:val="24"/>
        </w:rPr>
        <w:t>was concluded</w:t>
      </w:r>
      <w:r w:rsidR="00C76AFD" w:rsidRPr="00936E59">
        <w:rPr>
          <w:rFonts w:ascii="Times New Roman" w:hAnsi="Times New Roman" w:cs="Times New Roman"/>
          <w:sz w:val="24"/>
          <w:szCs w:val="24"/>
        </w:rPr>
        <w:t xml:space="preserve">. Accordingly, the respondent submitted, the </w:t>
      </w:r>
      <w:r w:rsidR="0012744C" w:rsidRPr="00936E59">
        <w:rPr>
          <w:rFonts w:ascii="Times New Roman" w:hAnsi="Times New Roman" w:cs="Times New Roman"/>
          <w:sz w:val="24"/>
          <w:szCs w:val="24"/>
        </w:rPr>
        <w:t>D</w:t>
      </w:r>
      <w:r w:rsidR="00461867" w:rsidRPr="00936E59">
        <w:rPr>
          <w:rFonts w:ascii="Times New Roman" w:hAnsi="Times New Roman" w:cs="Times New Roman"/>
          <w:sz w:val="24"/>
          <w:szCs w:val="24"/>
        </w:rPr>
        <w:t>eed could not be enforced</w:t>
      </w:r>
      <w:r w:rsidR="00C76AFD" w:rsidRPr="00936E59">
        <w:rPr>
          <w:rFonts w:ascii="Times New Roman" w:hAnsi="Times New Roman" w:cs="Times New Roman"/>
          <w:sz w:val="24"/>
          <w:szCs w:val="24"/>
        </w:rPr>
        <w:t xml:space="preserve"> and should in fact be set aside</w:t>
      </w:r>
      <w:r w:rsidR="00461867" w:rsidRPr="00936E59">
        <w:rPr>
          <w:rFonts w:ascii="Times New Roman" w:hAnsi="Times New Roman" w:cs="Times New Roman"/>
          <w:sz w:val="24"/>
          <w:szCs w:val="24"/>
        </w:rPr>
        <w:t xml:space="preserve">. </w:t>
      </w:r>
      <w:r w:rsidR="00C32E8D" w:rsidRPr="00936E59">
        <w:rPr>
          <w:rFonts w:ascii="Times New Roman" w:hAnsi="Times New Roman" w:cs="Times New Roman"/>
          <w:sz w:val="24"/>
          <w:szCs w:val="24"/>
        </w:rPr>
        <w:t xml:space="preserve">Counsel for the respondent </w:t>
      </w:r>
      <w:r w:rsidR="00684ACF" w:rsidRPr="00936E59">
        <w:rPr>
          <w:rFonts w:ascii="Times New Roman" w:hAnsi="Times New Roman" w:cs="Times New Roman"/>
          <w:sz w:val="24"/>
          <w:szCs w:val="24"/>
        </w:rPr>
        <w:t xml:space="preserve">also </w:t>
      </w:r>
      <w:r w:rsidR="005A5867" w:rsidRPr="00936E59">
        <w:rPr>
          <w:rFonts w:ascii="Times New Roman" w:hAnsi="Times New Roman" w:cs="Times New Roman"/>
          <w:sz w:val="24"/>
          <w:szCs w:val="24"/>
        </w:rPr>
        <w:t>submitted that a mistake in a settlemen</w:t>
      </w:r>
      <w:r w:rsidR="00BF794E" w:rsidRPr="00936E59">
        <w:rPr>
          <w:rFonts w:ascii="Times New Roman" w:hAnsi="Times New Roman" w:cs="Times New Roman"/>
          <w:sz w:val="24"/>
          <w:szCs w:val="24"/>
        </w:rPr>
        <w:t>t agreement, whether unilateral or bilateral</w:t>
      </w:r>
      <w:r w:rsidR="00DD4E15" w:rsidRPr="00936E59">
        <w:rPr>
          <w:rFonts w:ascii="Times New Roman" w:hAnsi="Times New Roman" w:cs="Times New Roman"/>
          <w:sz w:val="24"/>
          <w:szCs w:val="24"/>
        </w:rPr>
        <w:t>,</w:t>
      </w:r>
      <w:r w:rsidR="00BF794E" w:rsidRPr="00936E59">
        <w:rPr>
          <w:rFonts w:ascii="Times New Roman" w:hAnsi="Times New Roman" w:cs="Times New Roman"/>
          <w:sz w:val="24"/>
          <w:szCs w:val="24"/>
        </w:rPr>
        <w:t xml:space="preserve"> is a basis for resc</w:t>
      </w:r>
      <w:r w:rsidR="005A5867" w:rsidRPr="00936E59">
        <w:rPr>
          <w:rFonts w:ascii="Times New Roman" w:hAnsi="Times New Roman" w:cs="Times New Roman"/>
          <w:sz w:val="24"/>
          <w:szCs w:val="24"/>
        </w:rPr>
        <w:t>issio</w:t>
      </w:r>
      <w:r w:rsidR="00BF794E" w:rsidRPr="00936E59">
        <w:rPr>
          <w:rFonts w:ascii="Times New Roman" w:hAnsi="Times New Roman" w:cs="Times New Roman"/>
          <w:sz w:val="24"/>
          <w:szCs w:val="24"/>
        </w:rPr>
        <w:t>n of the agreement. T</w:t>
      </w:r>
      <w:r w:rsidR="006E1B65" w:rsidRPr="00936E59">
        <w:rPr>
          <w:rFonts w:ascii="Times New Roman" w:hAnsi="Times New Roman" w:cs="Times New Roman"/>
          <w:sz w:val="24"/>
          <w:szCs w:val="24"/>
        </w:rPr>
        <w:t xml:space="preserve">he respondent </w:t>
      </w:r>
      <w:r w:rsidR="00BF794E" w:rsidRPr="00936E59">
        <w:rPr>
          <w:rFonts w:ascii="Times New Roman" w:hAnsi="Times New Roman" w:cs="Times New Roman"/>
          <w:sz w:val="24"/>
          <w:szCs w:val="24"/>
        </w:rPr>
        <w:t xml:space="preserve">further argued that </w:t>
      </w:r>
      <w:r w:rsidR="005A5867" w:rsidRPr="00936E59">
        <w:rPr>
          <w:rFonts w:ascii="Times New Roman" w:hAnsi="Times New Roman" w:cs="Times New Roman"/>
          <w:sz w:val="24"/>
          <w:szCs w:val="24"/>
        </w:rPr>
        <w:t xml:space="preserve">the court </w:t>
      </w:r>
      <w:r w:rsidR="005A5867" w:rsidRPr="00936E59">
        <w:rPr>
          <w:rFonts w:ascii="Times New Roman" w:hAnsi="Times New Roman" w:cs="Times New Roman"/>
          <w:i/>
          <w:sz w:val="24"/>
          <w:szCs w:val="24"/>
        </w:rPr>
        <w:t>a quo’s</w:t>
      </w:r>
      <w:r w:rsidR="005A5867" w:rsidRPr="00936E59">
        <w:rPr>
          <w:rFonts w:ascii="Times New Roman" w:hAnsi="Times New Roman" w:cs="Times New Roman"/>
          <w:sz w:val="24"/>
          <w:szCs w:val="24"/>
        </w:rPr>
        <w:t xml:space="preserve"> finding </w:t>
      </w:r>
      <w:r w:rsidR="00BF794E" w:rsidRPr="00936E59">
        <w:rPr>
          <w:rFonts w:ascii="Times New Roman" w:hAnsi="Times New Roman" w:cs="Times New Roman"/>
          <w:sz w:val="24"/>
          <w:szCs w:val="24"/>
        </w:rPr>
        <w:t>of fact that the compromise was concluded on a mistaken basis had not been impugned nor properly challenged and the appellant had not alleged any gross misdirection in the finding of fact.</w:t>
      </w:r>
      <w:r w:rsidR="005A5867" w:rsidRPr="00936E59">
        <w:rPr>
          <w:rFonts w:ascii="Times New Roman" w:hAnsi="Times New Roman" w:cs="Times New Roman"/>
          <w:sz w:val="24"/>
          <w:szCs w:val="24"/>
        </w:rPr>
        <w:t xml:space="preserve"> </w:t>
      </w:r>
    </w:p>
    <w:p w:rsidR="003E392F" w:rsidRPr="00936E59" w:rsidRDefault="00421798" w:rsidP="0045458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lastRenderedPageBreak/>
        <w:t>[1</w:t>
      </w:r>
      <w:r w:rsidR="00B2795D" w:rsidRPr="00936E59">
        <w:rPr>
          <w:rFonts w:ascii="Times New Roman" w:hAnsi="Times New Roman" w:cs="Times New Roman"/>
          <w:sz w:val="24"/>
          <w:szCs w:val="24"/>
        </w:rPr>
        <w:t>6</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B76464" w:rsidRPr="00936E59">
        <w:rPr>
          <w:rFonts w:ascii="Times New Roman" w:hAnsi="Times New Roman" w:cs="Times New Roman"/>
          <w:sz w:val="24"/>
          <w:szCs w:val="24"/>
        </w:rPr>
        <w:t xml:space="preserve">The </w:t>
      </w:r>
      <w:r w:rsidR="00B76464" w:rsidRPr="00936E59">
        <w:rPr>
          <w:rFonts w:ascii="Times New Roman" w:hAnsi="Times New Roman" w:cs="Times New Roman"/>
          <w:i/>
          <w:sz w:val="24"/>
          <w:szCs w:val="24"/>
        </w:rPr>
        <w:t>crux</w:t>
      </w:r>
      <w:r w:rsidR="00B76464" w:rsidRPr="00936E59">
        <w:rPr>
          <w:rFonts w:ascii="Times New Roman" w:hAnsi="Times New Roman" w:cs="Times New Roman"/>
          <w:sz w:val="24"/>
          <w:szCs w:val="24"/>
        </w:rPr>
        <w:t xml:space="preserve"> of the </w:t>
      </w:r>
      <w:r w:rsidR="00DF6F7F" w:rsidRPr="00936E59">
        <w:rPr>
          <w:rFonts w:ascii="Times New Roman" w:hAnsi="Times New Roman" w:cs="Times New Roman"/>
          <w:sz w:val="24"/>
          <w:szCs w:val="24"/>
        </w:rPr>
        <w:t xml:space="preserve">matter is </w:t>
      </w:r>
      <w:r w:rsidR="00B76464" w:rsidRPr="00936E59">
        <w:rPr>
          <w:rFonts w:ascii="Times New Roman" w:hAnsi="Times New Roman" w:cs="Times New Roman"/>
          <w:sz w:val="24"/>
          <w:szCs w:val="24"/>
        </w:rPr>
        <w:t xml:space="preserve">whether the court </w:t>
      </w:r>
      <w:r w:rsidR="00B76464" w:rsidRPr="00936E59">
        <w:rPr>
          <w:rFonts w:ascii="Times New Roman" w:hAnsi="Times New Roman" w:cs="Times New Roman"/>
          <w:i/>
          <w:sz w:val="24"/>
          <w:szCs w:val="24"/>
        </w:rPr>
        <w:t>a quo</w:t>
      </w:r>
      <w:r w:rsidR="00B76464" w:rsidRPr="00936E59">
        <w:rPr>
          <w:rFonts w:ascii="Times New Roman" w:hAnsi="Times New Roman" w:cs="Times New Roman"/>
          <w:sz w:val="24"/>
          <w:szCs w:val="24"/>
        </w:rPr>
        <w:t>, faced with a chamber application for a default judgment</w:t>
      </w:r>
      <w:r w:rsidR="00CE16AB" w:rsidRPr="00936E59">
        <w:rPr>
          <w:rFonts w:ascii="Times New Roman" w:hAnsi="Times New Roman" w:cs="Times New Roman"/>
          <w:sz w:val="24"/>
          <w:szCs w:val="24"/>
        </w:rPr>
        <w:t xml:space="preserve"> in terms of c</w:t>
      </w:r>
      <w:r w:rsidR="00B06955" w:rsidRPr="00936E59">
        <w:rPr>
          <w:rFonts w:ascii="Times New Roman" w:hAnsi="Times New Roman" w:cs="Times New Roman"/>
          <w:sz w:val="24"/>
          <w:szCs w:val="24"/>
        </w:rPr>
        <w:t>lause 2 of the Deed</w:t>
      </w:r>
      <w:r w:rsidR="007E4F57" w:rsidRPr="00936E59">
        <w:rPr>
          <w:rFonts w:ascii="Times New Roman" w:hAnsi="Times New Roman" w:cs="Times New Roman"/>
          <w:sz w:val="24"/>
          <w:szCs w:val="24"/>
        </w:rPr>
        <w:t>,</w:t>
      </w:r>
      <w:r w:rsidR="00B76464" w:rsidRPr="00936E59">
        <w:rPr>
          <w:rFonts w:ascii="Times New Roman" w:hAnsi="Times New Roman" w:cs="Times New Roman"/>
          <w:sz w:val="24"/>
          <w:szCs w:val="24"/>
        </w:rPr>
        <w:t xml:space="preserve"> could dismiss the application</w:t>
      </w:r>
      <w:r w:rsidR="0006616D" w:rsidRPr="00936E59">
        <w:rPr>
          <w:rFonts w:ascii="Times New Roman" w:hAnsi="Times New Roman" w:cs="Times New Roman"/>
          <w:sz w:val="24"/>
          <w:szCs w:val="24"/>
        </w:rPr>
        <w:t xml:space="preserve"> </w:t>
      </w:r>
      <w:r w:rsidR="00F61A0A" w:rsidRPr="00936E59">
        <w:rPr>
          <w:rFonts w:ascii="Times New Roman" w:hAnsi="Times New Roman" w:cs="Times New Roman"/>
          <w:sz w:val="24"/>
          <w:szCs w:val="24"/>
        </w:rPr>
        <w:t xml:space="preserve">on the basis that the </w:t>
      </w:r>
      <w:r w:rsidR="00E269D0" w:rsidRPr="00936E59">
        <w:rPr>
          <w:rFonts w:ascii="Times New Roman" w:hAnsi="Times New Roman" w:cs="Times New Roman"/>
          <w:sz w:val="24"/>
          <w:szCs w:val="24"/>
        </w:rPr>
        <w:t>D</w:t>
      </w:r>
      <w:r w:rsidR="00773285" w:rsidRPr="00936E59">
        <w:rPr>
          <w:rFonts w:ascii="Times New Roman" w:hAnsi="Times New Roman" w:cs="Times New Roman"/>
          <w:sz w:val="24"/>
          <w:szCs w:val="24"/>
        </w:rPr>
        <w:t>eed</w:t>
      </w:r>
      <w:r w:rsidR="00B76464" w:rsidRPr="00936E59">
        <w:rPr>
          <w:rFonts w:ascii="Times New Roman" w:hAnsi="Times New Roman" w:cs="Times New Roman"/>
          <w:sz w:val="24"/>
          <w:szCs w:val="24"/>
        </w:rPr>
        <w:t xml:space="preserve"> was voidable</w:t>
      </w:r>
      <w:r w:rsidR="00241133" w:rsidRPr="00936E59">
        <w:rPr>
          <w:rFonts w:ascii="Times New Roman" w:hAnsi="Times New Roman" w:cs="Times New Roman"/>
          <w:sz w:val="24"/>
          <w:szCs w:val="24"/>
        </w:rPr>
        <w:t xml:space="preserve"> on the basis of </w:t>
      </w:r>
      <w:r w:rsidR="00241133" w:rsidRPr="00936E59">
        <w:rPr>
          <w:rFonts w:ascii="Times New Roman" w:hAnsi="Times New Roman" w:cs="Times New Roman"/>
          <w:i/>
          <w:sz w:val="24"/>
          <w:szCs w:val="24"/>
        </w:rPr>
        <w:t>justus error</w:t>
      </w:r>
      <w:r w:rsidR="00773285" w:rsidRPr="00936E59">
        <w:rPr>
          <w:rFonts w:ascii="Times New Roman" w:hAnsi="Times New Roman" w:cs="Times New Roman"/>
          <w:sz w:val="24"/>
          <w:szCs w:val="24"/>
        </w:rPr>
        <w:t>,</w:t>
      </w:r>
      <w:r w:rsidR="00B76464" w:rsidRPr="00936E59">
        <w:rPr>
          <w:rFonts w:ascii="Times New Roman" w:hAnsi="Times New Roman" w:cs="Times New Roman"/>
          <w:sz w:val="24"/>
          <w:szCs w:val="24"/>
        </w:rPr>
        <w:t xml:space="preserve"> </w:t>
      </w:r>
      <w:r w:rsidR="00241133" w:rsidRPr="00936E59">
        <w:rPr>
          <w:rFonts w:ascii="Times New Roman" w:hAnsi="Times New Roman" w:cs="Times New Roman"/>
          <w:sz w:val="24"/>
          <w:szCs w:val="24"/>
        </w:rPr>
        <w:t xml:space="preserve">an enquiry not </w:t>
      </w:r>
      <w:r w:rsidR="0051165F" w:rsidRPr="00936E59">
        <w:rPr>
          <w:rFonts w:ascii="Times New Roman" w:hAnsi="Times New Roman" w:cs="Times New Roman"/>
          <w:sz w:val="24"/>
          <w:szCs w:val="24"/>
        </w:rPr>
        <w:t xml:space="preserve">only not </w:t>
      </w:r>
      <w:r w:rsidR="00241133" w:rsidRPr="00936E59">
        <w:rPr>
          <w:rFonts w:ascii="Times New Roman" w:hAnsi="Times New Roman" w:cs="Times New Roman"/>
          <w:sz w:val="24"/>
          <w:szCs w:val="24"/>
        </w:rPr>
        <w:t xml:space="preserve">envisaged in </w:t>
      </w:r>
      <w:r w:rsidR="00CE16AB" w:rsidRPr="00936E59">
        <w:rPr>
          <w:rFonts w:ascii="Times New Roman" w:hAnsi="Times New Roman" w:cs="Times New Roman"/>
          <w:sz w:val="24"/>
          <w:szCs w:val="24"/>
        </w:rPr>
        <w:t>c</w:t>
      </w:r>
      <w:r w:rsidR="00241133" w:rsidRPr="00936E59">
        <w:rPr>
          <w:rFonts w:ascii="Times New Roman" w:hAnsi="Times New Roman" w:cs="Times New Roman"/>
          <w:sz w:val="24"/>
          <w:szCs w:val="24"/>
        </w:rPr>
        <w:t>lause</w:t>
      </w:r>
      <w:r w:rsidR="00B06955" w:rsidRPr="00936E59">
        <w:rPr>
          <w:rFonts w:ascii="Times New Roman" w:hAnsi="Times New Roman" w:cs="Times New Roman"/>
          <w:sz w:val="24"/>
          <w:szCs w:val="24"/>
        </w:rPr>
        <w:t xml:space="preserve"> 2</w:t>
      </w:r>
      <w:r w:rsidR="0051165F" w:rsidRPr="00936E59">
        <w:rPr>
          <w:rFonts w:ascii="Times New Roman" w:hAnsi="Times New Roman" w:cs="Times New Roman"/>
          <w:sz w:val="24"/>
          <w:szCs w:val="24"/>
        </w:rPr>
        <w:t xml:space="preserve">, but also </w:t>
      </w:r>
      <w:r w:rsidR="00F346D8">
        <w:rPr>
          <w:rFonts w:ascii="Times New Roman" w:hAnsi="Times New Roman" w:cs="Times New Roman"/>
          <w:sz w:val="24"/>
          <w:szCs w:val="24"/>
        </w:rPr>
        <w:t xml:space="preserve">only </w:t>
      </w:r>
      <w:r w:rsidR="0051165F" w:rsidRPr="00936E59">
        <w:rPr>
          <w:rFonts w:ascii="Times New Roman" w:hAnsi="Times New Roman" w:cs="Times New Roman"/>
          <w:sz w:val="24"/>
          <w:szCs w:val="24"/>
        </w:rPr>
        <w:t>raised by the respondent in its opposi</w:t>
      </w:r>
      <w:r w:rsidR="00056579" w:rsidRPr="00936E59">
        <w:rPr>
          <w:rFonts w:ascii="Times New Roman" w:hAnsi="Times New Roman" w:cs="Times New Roman"/>
          <w:sz w:val="24"/>
          <w:szCs w:val="24"/>
        </w:rPr>
        <w:t>n</w:t>
      </w:r>
      <w:r w:rsidR="0051165F" w:rsidRPr="00936E59">
        <w:rPr>
          <w:rFonts w:ascii="Times New Roman" w:hAnsi="Times New Roman" w:cs="Times New Roman"/>
          <w:sz w:val="24"/>
          <w:szCs w:val="24"/>
        </w:rPr>
        <w:t>g affidavit.</w:t>
      </w:r>
      <w:r w:rsidR="00B06955" w:rsidRPr="00936E59">
        <w:rPr>
          <w:rFonts w:ascii="Times New Roman" w:hAnsi="Times New Roman" w:cs="Times New Roman"/>
          <w:sz w:val="24"/>
          <w:szCs w:val="24"/>
        </w:rPr>
        <w:t xml:space="preserve"> </w:t>
      </w:r>
      <w:r w:rsidR="00241133" w:rsidRPr="00936E59">
        <w:rPr>
          <w:rFonts w:ascii="Times New Roman" w:hAnsi="Times New Roman" w:cs="Times New Roman"/>
          <w:sz w:val="24"/>
          <w:szCs w:val="24"/>
        </w:rPr>
        <w:t xml:space="preserve">The respondent does not deny freely signing the </w:t>
      </w:r>
      <w:r w:rsidR="003E392F" w:rsidRPr="00936E59">
        <w:rPr>
          <w:rFonts w:ascii="Times New Roman" w:hAnsi="Times New Roman" w:cs="Times New Roman"/>
          <w:sz w:val="24"/>
          <w:szCs w:val="24"/>
        </w:rPr>
        <w:t xml:space="preserve">Deed, </w:t>
      </w:r>
      <w:r w:rsidR="00241133" w:rsidRPr="00936E59">
        <w:rPr>
          <w:rFonts w:ascii="Times New Roman" w:hAnsi="Times New Roman" w:cs="Times New Roman"/>
          <w:sz w:val="24"/>
          <w:szCs w:val="24"/>
        </w:rPr>
        <w:t xml:space="preserve">in </w:t>
      </w:r>
      <w:r w:rsidR="003E392F" w:rsidRPr="00936E59">
        <w:rPr>
          <w:rFonts w:ascii="Times New Roman" w:hAnsi="Times New Roman" w:cs="Times New Roman"/>
          <w:sz w:val="24"/>
          <w:szCs w:val="24"/>
        </w:rPr>
        <w:t xml:space="preserve">terms of which </w:t>
      </w:r>
      <w:r w:rsidR="00241133" w:rsidRPr="00936E59">
        <w:rPr>
          <w:rFonts w:ascii="Times New Roman" w:hAnsi="Times New Roman" w:cs="Times New Roman"/>
          <w:sz w:val="24"/>
          <w:szCs w:val="24"/>
        </w:rPr>
        <w:t xml:space="preserve">it </w:t>
      </w:r>
      <w:r w:rsidR="007E3041" w:rsidRPr="00936E59">
        <w:rPr>
          <w:rFonts w:ascii="Times New Roman" w:hAnsi="Times New Roman" w:cs="Times New Roman"/>
          <w:sz w:val="24"/>
          <w:szCs w:val="24"/>
        </w:rPr>
        <w:t xml:space="preserve">acknowledged </w:t>
      </w:r>
      <w:r w:rsidR="00241133" w:rsidRPr="00936E59">
        <w:rPr>
          <w:rFonts w:ascii="Times New Roman" w:hAnsi="Times New Roman" w:cs="Times New Roman"/>
          <w:sz w:val="24"/>
          <w:szCs w:val="24"/>
        </w:rPr>
        <w:t xml:space="preserve">owing the amounts specified </w:t>
      </w:r>
      <w:r w:rsidR="003E392F" w:rsidRPr="00936E59">
        <w:rPr>
          <w:rFonts w:ascii="Times New Roman" w:hAnsi="Times New Roman" w:cs="Times New Roman"/>
          <w:sz w:val="24"/>
          <w:szCs w:val="24"/>
        </w:rPr>
        <w:t xml:space="preserve">and </w:t>
      </w:r>
      <w:r w:rsidR="007E3041" w:rsidRPr="00936E59">
        <w:rPr>
          <w:rFonts w:ascii="Times New Roman" w:hAnsi="Times New Roman" w:cs="Times New Roman"/>
          <w:sz w:val="24"/>
          <w:szCs w:val="24"/>
        </w:rPr>
        <w:t>undert</w:t>
      </w:r>
      <w:r w:rsidR="003E392F" w:rsidRPr="00936E59">
        <w:rPr>
          <w:rFonts w:ascii="Times New Roman" w:hAnsi="Times New Roman" w:cs="Times New Roman"/>
          <w:sz w:val="24"/>
          <w:szCs w:val="24"/>
        </w:rPr>
        <w:t>ook</w:t>
      </w:r>
      <w:r w:rsidR="007E3041" w:rsidRPr="00936E59">
        <w:rPr>
          <w:rFonts w:ascii="Times New Roman" w:hAnsi="Times New Roman" w:cs="Times New Roman"/>
          <w:sz w:val="24"/>
          <w:szCs w:val="24"/>
        </w:rPr>
        <w:t xml:space="preserve"> to </w:t>
      </w:r>
      <w:r w:rsidR="003E392F" w:rsidRPr="00936E59">
        <w:rPr>
          <w:rFonts w:ascii="Times New Roman" w:hAnsi="Times New Roman" w:cs="Times New Roman"/>
          <w:sz w:val="24"/>
          <w:szCs w:val="24"/>
        </w:rPr>
        <w:t>re-</w:t>
      </w:r>
      <w:r w:rsidR="007E3041" w:rsidRPr="00936E59">
        <w:rPr>
          <w:rFonts w:ascii="Times New Roman" w:hAnsi="Times New Roman" w:cs="Times New Roman"/>
          <w:sz w:val="24"/>
          <w:szCs w:val="24"/>
        </w:rPr>
        <w:t xml:space="preserve">pay </w:t>
      </w:r>
      <w:r w:rsidR="003E392F" w:rsidRPr="00936E59">
        <w:rPr>
          <w:rFonts w:ascii="Times New Roman" w:hAnsi="Times New Roman" w:cs="Times New Roman"/>
          <w:sz w:val="24"/>
          <w:szCs w:val="24"/>
        </w:rPr>
        <w:t>in the manner outlined therein. It is also not disputed that the respondent thereafter made a number of payments in compliance with the Deed</w:t>
      </w:r>
      <w:r w:rsidR="00B06955" w:rsidRPr="00936E59">
        <w:rPr>
          <w:rFonts w:ascii="Times New Roman" w:hAnsi="Times New Roman" w:cs="Times New Roman"/>
          <w:sz w:val="24"/>
          <w:szCs w:val="24"/>
        </w:rPr>
        <w:t xml:space="preserve">, but later stopped doing so after communicating to the appellant that it was facing viability </w:t>
      </w:r>
      <w:r w:rsidR="00285789" w:rsidRPr="00936E59">
        <w:rPr>
          <w:rFonts w:ascii="Times New Roman" w:hAnsi="Times New Roman" w:cs="Times New Roman"/>
          <w:sz w:val="24"/>
          <w:szCs w:val="24"/>
        </w:rPr>
        <w:t>and operational challenges which were affecting its ability to amortise the debt. It indicated, however, that efforts were being made to rectify the problem.</w:t>
      </w:r>
    </w:p>
    <w:p w:rsidR="00454581" w:rsidRPr="00936E59" w:rsidRDefault="00454581" w:rsidP="00A6690F">
      <w:pPr>
        <w:spacing w:after="0" w:line="480" w:lineRule="auto"/>
        <w:jc w:val="both"/>
        <w:rPr>
          <w:rFonts w:ascii="Times New Roman" w:hAnsi="Times New Roman" w:cs="Times New Roman"/>
          <w:sz w:val="24"/>
          <w:szCs w:val="24"/>
        </w:rPr>
      </w:pPr>
    </w:p>
    <w:p w:rsidR="00F34E43" w:rsidRPr="00936E59" w:rsidRDefault="003E392F" w:rsidP="00454581">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[17]</w:t>
      </w:r>
      <w:r w:rsidRPr="00936E59">
        <w:rPr>
          <w:rFonts w:ascii="Times New Roman" w:hAnsi="Times New Roman" w:cs="Times New Roman"/>
          <w:sz w:val="24"/>
          <w:szCs w:val="24"/>
        </w:rPr>
        <w:tab/>
      </w:r>
      <w:r w:rsidR="00F34E43" w:rsidRPr="00936E59">
        <w:rPr>
          <w:rFonts w:ascii="Times New Roman" w:hAnsi="Times New Roman" w:cs="Times New Roman"/>
          <w:sz w:val="24"/>
          <w:szCs w:val="24"/>
        </w:rPr>
        <w:t xml:space="preserve">Clause 2 of the </w:t>
      </w:r>
      <w:r w:rsidRPr="00936E59">
        <w:rPr>
          <w:rFonts w:ascii="Times New Roman" w:hAnsi="Times New Roman" w:cs="Times New Roman"/>
          <w:sz w:val="24"/>
          <w:szCs w:val="24"/>
        </w:rPr>
        <w:t>D</w:t>
      </w:r>
      <w:r w:rsidR="00F34E43" w:rsidRPr="00936E59">
        <w:rPr>
          <w:rFonts w:ascii="Times New Roman" w:hAnsi="Times New Roman" w:cs="Times New Roman"/>
          <w:sz w:val="24"/>
          <w:szCs w:val="24"/>
        </w:rPr>
        <w:t>eed read</w:t>
      </w:r>
      <w:r w:rsidR="00707BCE" w:rsidRPr="00936E59">
        <w:rPr>
          <w:rFonts w:ascii="Times New Roman" w:hAnsi="Times New Roman" w:cs="Times New Roman"/>
          <w:sz w:val="24"/>
          <w:szCs w:val="24"/>
        </w:rPr>
        <w:t>s</w:t>
      </w:r>
      <w:r w:rsidR="00E269D0" w:rsidRPr="00936E59">
        <w:rPr>
          <w:rFonts w:ascii="Times New Roman" w:hAnsi="Times New Roman" w:cs="Times New Roman"/>
          <w:sz w:val="24"/>
          <w:szCs w:val="24"/>
        </w:rPr>
        <w:t xml:space="preserve"> as </w:t>
      </w:r>
      <w:r w:rsidR="00501A5B" w:rsidRPr="00936E59">
        <w:rPr>
          <w:rFonts w:ascii="Times New Roman" w:hAnsi="Times New Roman" w:cs="Times New Roman"/>
          <w:sz w:val="24"/>
          <w:szCs w:val="24"/>
        </w:rPr>
        <w:t>follows: -</w:t>
      </w:r>
    </w:p>
    <w:p w:rsidR="00F34E43" w:rsidRPr="00936E59" w:rsidRDefault="00F34E43" w:rsidP="00454581">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t>“The defendant (respondent) shall have a period of 7 working days to rectify any default or delay by it in effecting payments in terms of th</w:t>
      </w:r>
      <w:r w:rsidR="00454581" w:rsidRPr="00936E59">
        <w:rPr>
          <w:rFonts w:ascii="Times New Roman" w:hAnsi="Times New Roman" w:cs="Times New Roman"/>
          <w:sz w:val="24"/>
          <w:szCs w:val="24"/>
        </w:rPr>
        <w:t>is Deed. In the event that the d</w:t>
      </w:r>
      <w:r w:rsidRPr="00936E59">
        <w:rPr>
          <w:rFonts w:ascii="Times New Roman" w:hAnsi="Times New Roman" w:cs="Times New Roman"/>
          <w:sz w:val="24"/>
          <w:szCs w:val="24"/>
        </w:rPr>
        <w:t>efendant fa</w:t>
      </w:r>
      <w:r w:rsidR="00454581" w:rsidRPr="00936E59">
        <w:rPr>
          <w:rFonts w:ascii="Times New Roman" w:hAnsi="Times New Roman" w:cs="Times New Roman"/>
          <w:sz w:val="24"/>
          <w:szCs w:val="24"/>
        </w:rPr>
        <w:t>ils to rectify its default the p</w:t>
      </w:r>
      <w:r w:rsidRPr="00936E59">
        <w:rPr>
          <w:rFonts w:ascii="Times New Roman" w:hAnsi="Times New Roman" w:cs="Times New Roman"/>
          <w:sz w:val="24"/>
          <w:szCs w:val="24"/>
        </w:rPr>
        <w:t>laintiff shall be entitled to file</w:t>
      </w:r>
      <w:r w:rsidR="006B2341">
        <w:rPr>
          <w:rFonts w:ascii="Times New Roman" w:hAnsi="Times New Roman" w:cs="Times New Roman"/>
          <w:sz w:val="24"/>
          <w:szCs w:val="24"/>
        </w:rPr>
        <w:t xml:space="preserve"> a c</w:t>
      </w:r>
      <w:r w:rsidR="00454581" w:rsidRPr="00936E59">
        <w:rPr>
          <w:rFonts w:ascii="Times New Roman" w:hAnsi="Times New Roman" w:cs="Times New Roman"/>
          <w:sz w:val="24"/>
          <w:szCs w:val="24"/>
        </w:rPr>
        <w:t>hamber a</w:t>
      </w:r>
      <w:r w:rsidRPr="00936E59">
        <w:rPr>
          <w:rFonts w:ascii="Times New Roman" w:hAnsi="Times New Roman" w:cs="Times New Roman"/>
          <w:sz w:val="24"/>
          <w:szCs w:val="24"/>
        </w:rPr>
        <w:t>pplication for default judgment, on 2 wo</w:t>
      </w:r>
      <w:r w:rsidR="00454581" w:rsidRPr="00936E59">
        <w:rPr>
          <w:rFonts w:ascii="Times New Roman" w:hAnsi="Times New Roman" w:cs="Times New Roman"/>
          <w:sz w:val="24"/>
          <w:szCs w:val="24"/>
        </w:rPr>
        <w:t xml:space="preserve">rking </w:t>
      </w:r>
      <w:r w:rsidR="00501A5B" w:rsidRPr="00936E59">
        <w:rPr>
          <w:rFonts w:ascii="Times New Roman" w:hAnsi="Times New Roman" w:cs="Times New Roman"/>
          <w:sz w:val="24"/>
          <w:szCs w:val="24"/>
        </w:rPr>
        <w:t>days’</w:t>
      </w:r>
      <w:r w:rsidR="00454581" w:rsidRPr="00936E59">
        <w:rPr>
          <w:rFonts w:ascii="Times New Roman" w:hAnsi="Times New Roman" w:cs="Times New Roman"/>
          <w:sz w:val="24"/>
          <w:szCs w:val="24"/>
        </w:rPr>
        <w:t xml:space="preserve"> prior notice to the d</w:t>
      </w:r>
      <w:r w:rsidRPr="00936E59">
        <w:rPr>
          <w:rFonts w:ascii="Times New Roman" w:hAnsi="Times New Roman" w:cs="Times New Roman"/>
          <w:sz w:val="24"/>
          <w:szCs w:val="24"/>
        </w:rPr>
        <w:t>efendant, for payment of the full amount then outstanding, together with accrued interest and costs of suit on an attorney and client scale.”</w:t>
      </w:r>
    </w:p>
    <w:p w:rsidR="00707BCE" w:rsidRPr="00936E59" w:rsidRDefault="00F34E43" w:rsidP="008E75AA">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ab/>
      </w:r>
    </w:p>
    <w:p w:rsidR="00F34E43" w:rsidRPr="00936E59" w:rsidRDefault="00F34E43" w:rsidP="00707BCE">
      <w:pPr>
        <w:spacing w:line="480" w:lineRule="auto"/>
        <w:ind w:left="720"/>
        <w:jc w:val="both"/>
        <w:rPr>
          <w:rFonts w:ascii="Times New Roman" w:hAnsi="Times New Roman" w:cs="Times New Roman"/>
          <w:sz w:val="24"/>
          <w:szCs w:val="24"/>
        </w:rPr>
      </w:pPr>
      <w:r w:rsidRPr="00936E59">
        <w:rPr>
          <w:rFonts w:ascii="Times New Roman" w:hAnsi="Times New Roman" w:cs="Times New Roman"/>
          <w:sz w:val="24"/>
          <w:szCs w:val="24"/>
        </w:rPr>
        <w:t xml:space="preserve">This clause </w:t>
      </w:r>
      <w:r w:rsidR="003E392F" w:rsidRPr="00936E59">
        <w:rPr>
          <w:rFonts w:ascii="Times New Roman" w:hAnsi="Times New Roman" w:cs="Times New Roman"/>
          <w:sz w:val="24"/>
          <w:szCs w:val="24"/>
        </w:rPr>
        <w:t xml:space="preserve">clearly </w:t>
      </w:r>
      <w:r w:rsidRPr="00936E59">
        <w:rPr>
          <w:rFonts w:ascii="Times New Roman" w:hAnsi="Times New Roman" w:cs="Times New Roman"/>
          <w:sz w:val="24"/>
          <w:szCs w:val="24"/>
        </w:rPr>
        <w:t xml:space="preserve">defined the </w:t>
      </w:r>
      <w:r w:rsidR="00C728D9" w:rsidRPr="00936E59">
        <w:rPr>
          <w:rFonts w:ascii="Times New Roman" w:hAnsi="Times New Roman" w:cs="Times New Roman"/>
          <w:sz w:val="24"/>
          <w:szCs w:val="24"/>
        </w:rPr>
        <w:t xml:space="preserve">cause of action as well as </w:t>
      </w:r>
      <w:r w:rsidR="001B4210" w:rsidRPr="00936E59">
        <w:rPr>
          <w:rFonts w:ascii="Times New Roman" w:hAnsi="Times New Roman" w:cs="Times New Roman"/>
          <w:sz w:val="24"/>
          <w:szCs w:val="24"/>
        </w:rPr>
        <w:t xml:space="preserve">the </w:t>
      </w:r>
      <w:r w:rsidRPr="00936E59">
        <w:rPr>
          <w:rFonts w:ascii="Times New Roman" w:hAnsi="Times New Roman" w:cs="Times New Roman"/>
          <w:sz w:val="24"/>
          <w:szCs w:val="24"/>
        </w:rPr>
        <w:t>parameters</w:t>
      </w:r>
      <w:r w:rsidR="001B4210" w:rsidRPr="00936E59">
        <w:rPr>
          <w:rFonts w:ascii="Times New Roman" w:hAnsi="Times New Roman" w:cs="Times New Roman"/>
          <w:sz w:val="24"/>
          <w:szCs w:val="24"/>
        </w:rPr>
        <w:t xml:space="preserve"> for a successful filing and prosecution of the </w:t>
      </w:r>
      <w:r w:rsidRPr="00936E59">
        <w:rPr>
          <w:rFonts w:ascii="Times New Roman" w:hAnsi="Times New Roman" w:cs="Times New Roman"/>
          <w:sz w:val="24"/>
          <w:szCs w:val="24"/>
        </w:rPr>
        <w:t>chamber application concerned</w:t>
      </w:r>
      <w:r w:rsidR="001B4210" w:rsidRPr="00936E59">
        <w:rPr>
          <w:rFonts w:ascii="Times New Roman" w:hAnsi="Times New Roman" w:cs="Times New Roman"/>
          <w:sz w:val="24"/>
          <w:szCs w:val="24"/>
        </w:rPr>
        <w:t xml:space="preserve">. </w:t>
      </w:r>
      <w:r w:rsidRPr="00936E59">
        <w:rPr>
          <w:rFonts w:ascii="Times New Roman" w:hAnsi="Times New Roman" w:cs="Times New Roman"/>
          <w:sz w:val="24"/>
          <w:szCs w:val="24"/>
        </w:rPr>
        <w:t>My analysis of these parame</w:t>
      </w:r>
      <w:r w:rsidR="00454581" w:rsidRPr="00936E59">
        <w:rPr>
          <w:rFonts w:ascii="Times New Roman" w:hAnsi="Times New Roman" w:cs="Times New Roman"/>
          <w:sz w:val="24"/>
          <w:szCs w:val="24"/>
        </w:rPr>
        <w:t xml:space="preserve">ters would entail the </w:t>
      </w:r>
      <w:r w:rsidR="005877E6" w:rsidRPr="00936E59">
        <w:rPr>
          <w:rFonts w:ascii="Times New Roman" w:hAnsi="Times New Roman" w:cs="Times New Roman"/>
          <w:sz w:val="24"/>
          <w:szCs w:val="24"/>
        </w:rPr>
        <w:t>following: -</w:t>
      </w:r>
      <w:r w:rsidR="00454581" w:rsidRPr="00936E59">
        <w:rPr>
          <w:rFonts w:ascii="Times New Roman" w:hAnsi="Times New Roman" w:cs="Times New Roman"/>
          <w:sz w:val="24"/>
          <w:szCs w:val="24"/>
        </w:rPr>
        <w:t xml:space="preserve"> </w:t>
      </w:r>
    </w:p>
    <w:p w:rsidR="00C728D9" w:rsidRPr="00936E59" w:rsidRDefault="004A6A25" w:rsidP="00454581">
      <w:pPr>
        <w:spacing w:after="0" w:line="240" w:lineRule="auto"/>
        <w:ind w:left="2160" w:hanging="720"/>
        <w:jc w:val="both"/>
        <w:rPr>
          <w:rFonts w:ascii="Times New Roman" w:hAnsi="Times New Roman" w:cs="Times New Roman"/>
          <w:sz w:val="24"/>
          <w:szCs w:val="24"/>
        </w:rPr>
      </w:pPr>
      <w:r w:rsidRPr="00936E59">
        <w:rPr>
          <w:rFonts w:ascii="Times New Roman" w:hAnsi="Times New Roman" w:cs="Times New Roman"/>
          <w:sz w:val="24"/>
          <w:szCs w:val="24"/>
        </w:rPr>
        <w:t xml:space="preserve">i. </w:t>
      </w:r>
      <w:r w:rsidRPr="00936E59">
        <w:rPr>
          <w:rFonts w:ascii="Times New Roman" w:hAnsi="Times New Roman" w:cs="Times New Roman"/>
          <w:sz w:val="24"/>
          <w:szCs w:val="24"/>
        </w:rPr>
        <w:tab/>
      </w:r>
      <w:r w:rsidR="00C728D9" w:rsidRPr="00936E59">
        <w:rPr>
          <w:rFonts w:ascii="Times New Roman" w:hAnsi="Times New Roman" w:cs="Times New Roman"/>
          <w:sz w:val="24"/>
          <w:szCs w:val="24"/>
        </w:rPr>
        <w:t xml:space="preserve">default </w:t>
      </w:r>
      <w:r w:rsidR="00ED4EF9" w:rsidRPr="00936E59">
        <w:rPr>
          <w:rFonts w:ascii="Times New Roman" w:hAnsi="Times New Roman" w:cs="Times New Roman"/>
          <w:sz w:val="24"/>
          <w:szCs w:val="24"/>
        </w:rPr>
        <w:t xml:space="preserve">or delay </w:t>
      </w:r>
      <w:r w:rsidR="00C728D9" w:rsidRPr="00936E59">
        <w:rPr>
          <w:rFonts w:ascii="Times New Roman" w:hAnsi="Times New Roman" w:cs="Times New Roman"/>
          <w:sz w:val="24"/>
          <w:szCs w:val="24"/>
        </w:rPr>
        <w:t>by the respondent in</w:t>
      </w:r>
      <w:r w:rsidR="00C728D9" w:rsidRPr="00936E59">
        <w:rPr>
          <w:rFonts w:ascii="Times New Roman" w:hAnsi="Times New Roman" w:cs="Times New Roman"/>
        </w:rPr>
        <w:t xml:space="preserve"> </w:t>
      </w:r>
      <w:r w:rsidR="00C728D9" w:rsidRPr="00936E59">
        <w:rPr>
          <w:rFonts w:ascii="Times New Roman" w:hAnsi="Times New Roman" w:cs="Times New Roman"/>
          <w:sz w:val="24"/>
          <w:szCs w:val="24"/>
        </w:rPr>
        <w:t>making any payment in terms of the Deed</w:t>
      </w:r>
      <w:r w:rsidR="00E269D0" w:rsidRPr="00936E59">
        <w:rPr>
          <w:rFonts w:ascii="Times New Roman" w:hAnsi="Times New Roman" w:cs="Times New Roman"/>
          <w:sz w:val="24"/>
          <w:szCs w:val="24"/>
        </w:rPr>
        <w:t>;</w:t>
      </w:r>
      <w:r w:rsidR="00C728D9" w:rsidRPr="00936E59">
        <w:rPr>
          <w:rFonts w:ascii="Times New Roman" w:hAnsi="Times New Roman" w:cs="Times New Roman"/>
          <w:sz w:val="24"/>
          <w:szCs w:val="24"/>
        </w:rPr>
        <w:t xml:space="preserve"> </w:t>
      </w:r>
    </w:p>
    <w:p w:rsidR="004A6A25" w:rsidRPr="00936E59" w:rsidRDefault="00C728D9" w:rsidP="00454581">
      <w:pPr>
        <w:spacing w:after="0" w:line="240" w:lineRule="auto"/>
        <w:ind w:left="720" w:firstLine="720"/>
        <w:jc w:val="both"/>
        <w:rPr>
          <w:rFonts w:ascii="Times New Roman" w:hAnsi="Times New Roman" w:cs="Times New Roman"/>
          <w:sz w:val="24"/>
          <w:szCs w:val="24"/>
        </w:rPr>
      </w:pPr>
      <w:r w:rsidRPr="00936E59">
        <w:rPr>
          <w:rFonts w:ascii="Times New Roman" w:hAnsi="Times New Roman" w:cs="Times New Roman"/>
          <w:sz w:val="24"/>
          <w:szCs w:val="24"/>
        </w:rPr>
        <w:t>ii</w:t>
      </w:r>
      <w:r w:rsidRPr="00936E59">
        <w:rPr>
          <w:rFonts w:ascii="Times New Roman" w:hAnsi="Times New Roman" w:cs="Times New Roman"/>
          <w:sz w:val="24"/>
          <w:szCs w:val="24"/>
        </w:rPr>
        <w:tab/>
      </w:r>
      <w:r w:rsidR="004A6A25" w:rsidRPr="00936E59">
        <w:rPr>
          <w:rFonts w:ascii="Times New Roman" w:hAnsi="Times New Roman" w:cs="Times New Roman"/>
          <w:sz w:val="24"/>
          <w:szCs w:val="24"/>
        </w:rPr>
        <w:t xml:space="preserve">7 days </w:t>
      </w:r>
      <w:r w:rsidR="00ED4EF9" w:rsidRPr="00936E59">
        <w:rPr>
          <w:rFonts w:ascii="Times New Roman" w:hAnsi="Times New Roman" w:cs="Times New Roman"/>
          <w:sz w:val="24"/>
          <w:szCs w:val="24"/>
        </w:rPr>
        <w:t xml:space="preserve">allowed to </w:t>
      </w:r>
      <w:r w:rsidR="004A6A25" w:rsidRPr="00936E59">
        <w:rPr>
          <w:rFonts w:ascii="Times New Roman" w:hAnsi="Times New Roman" w:cs="Times New Roman"/>
          <w:sz w:val="24"/>
          <w:szCs w:val="24"/>
        </w:rPr>
        <w:t xml:space="preserve">the respondent to rectify </w:t>
      </w:r>
      <w:r w:rsidRPr="00936E59">
        <w:rPr>
          <w:rFonts w:ascii="Times New Roman" w:hAnsi="Times New Roman" w:cs="Times New Roman"/>
          <w:sz w:val="24"/>
          <w:szCs w:val="24"/>
        </w:rPr>
        <w:t xml:space="preserve">such </w:t>
      </w:r>
      <w:r w:rsidR="004A6A25" w:rsidRPr="00936E59">
        <w:rPr>
          <w:rFonts w:ascii="Times New Roman" w:hAnsi="Times New Roman" w:cs="Times New Roman"/>
          <w:sz w:val="24"/>
          <w:szCs w:val="24"/>
        </w:rPr>
        <w:t>default</w:t>
      </w:r>
      <w:r w:rsidRPr="00936E59">
        <w:rPr>
          <w:rFonts w:ascii="Times New Roman" w:hAnsi="Times New Roman" w:cs="Times New Roman"/>
          <w:sz w:val="24"/>
          <w:szCs w:val="24"/>
        </w:rPr>
        <w:t>,</w:t>
      </w:r>
      <w:r w:rsidR="004A6A25" w:rsidRPr="00936E59">
        <w:rPr>
          <w:rFonts w:ascii="Times New Roman" w:hAnsi="Times New Roman" w:cs="Times New Roman"/>
          <w:sz w:val="24"/>
          <w:szCs w:val="24"/>
        </w:rPr>
        <w:t xml:space="preserve"> </w:t>
      </w:r>
      <w:r w:rsidRPr="00936E59">
        <w:rPr>
          <w:rFonts w:ascii="Times New Roman" w:hAnsi="Times New Roman" w:cs="Times New Roman"/>
          <w:sz w:val="24"/>
          <w:szCs w:val="24"/>
        </w:rPr>
        <w:t>failing which</w:t>
      </w:r>
      <w:r w:rsidR="00ED4EF9" w:rsidRPr="00936E59">
        <w:rPr>
          <w:rFonts w:ascii="Times New Roman" w:hAnsi="Times New Roman" w:cs="Times New Roman"/>
          <w:sz w:val="24"/>
          <w:szCs w:val="24"/>
        </w:rPr>
        <w:t>;</w:t>
      </w:r>
    </w:p>
    <w:p w:rsidR="004A6A25" w:rsidRPr="00936E59" w:rsidRDefault="004A6A25" w:rsidP="00454581">
      <w:pPr>
        <w:spacing w:after="0" w:line="240" w:lineRule="auto"/>
        <w:ind w:left="2160" w:hanging="720"/>
        <w:jc w:val="both"/>
        <w:rPr>
          <w:rFonts w:ascii="Times New Roman" w:hAnsi="Times New Roman" w:cs="Times New Roman"/>
          <w:sz w:val="24"/>
          <w:szCs w:val="24"/>
        </w:rPr>
      </w:pPr>
      <w:r w:rsidRPr="00936E59">
        <w:rPr>
          <w:rFonts w:ascii="Times New Roman" w:hAnsi="Times New Roman" w:cs="Times New Roman"/>
          <w:sz w:val="24"/>
          <w:szCs w:val="24"/>
        </w:rPr>
        <w:t>ii</w:t>
      </w:r>
      <w:r w:rsidR="00C728D9" w:rsidRPr="00936E59">
        <w:rPr>
          <w:rFonts w:ascii="Times New Roman" w:hAnsi="Times New Roman" w:cs="Times New Roman"/>
          <w:sz w:val="24"/>
          <w:szCs w:val="24"/>
        </w:rPr>
        <w:t>i</w:t>
      </w:r>
      <w:r w:rsidRPr="00936E59">
        <w:rPr>
          <w:rFonts w:ascii="Times New Roman" w:hAnsi="Times New Roman" w:cs="Times New Roman"/>
          <w:sz w:val="24"/>
          <w:szCs w:val="24"/>
        </w:rPr>
        <w:tab/>
        <w:t>2 days’ notice to the respondent of the filing of a chamber application for default judgment</w:t>
      </w:r>
      <w:r w:rsidR="00716180" w:rsidRPr="00936E59">
        <w:rPr>
          <w:rFonts w:ascii="Times New Roman" w:hAnsi="Times New Roman" w:cs="Times New Roman"/>
          <w:sz w:val="24"/>
          <w:szCs w:val="24"/>
        </w:rPr>
        <w:t xml:space="preserve"> against it</w:t>
      </w:r>
      <w:r w:rsidRPr="00936E59">
        <w:rPr>
          <w:rFonts w:ascii="Times New Roman" w:hAnsi="Times New Roman" w:cs="Times New Roman"/>
          <w:sz w:val="24"/>
          <w:szCs w:val="24"/>
        </w:rPr>
        <w:t>;</w:t>
      </w:r>
    </w:p>
    <w:p w:rsidR="001B4210" w:rsidRPr="00936E59" w:rsidRDefault="00C728D9" w:rsidP="00454581">
      <w:pPr>
        <w:spacing w:after="0" w:line="240" w:lineRule="auto"/>
        <w:ind w:left="2160" w:hanging="720"/>
        <w:jc w:val="both"/>
        <w:rPr>
          <w:rFonts w:ascii="Times New Roman" w:hAnsi="Times New Roman" w:cs="Times New Roman"/>
          <w:sz w:val="24"/>
          <w:szCs w:val="24"/>
        </w:rPr>
      </w:pPr>
      <w:r w:rsidRPr="00936E59">
        <w:rPr>
          <w:rFonts w:ascii="Times New Roman" w:hAnsi="Times New Roman" w:cs="Times New Roman"/>
          <w:sz w:val="24"/>
          <w:szCs w:val="24"/>
        </w:rPr>
        <w:t>iv</w:t>
      </w:r>
      <w:r w:rsidR="004A6A25" w:rsidRPr="00936E59">
        <w:rPr>
          <w:rFonts w:ascii="Times New Roman" w:hAnsi="Times New Roman" w:cs="Times New Roman"/>
          <w:sz w:val="24"/>
          <w:szCs w:val="24"/>
        </w:rPr>
        <w:tab/>
        <w:t>filing by</w:t>
      </w:r>
      <w:r w:rsidR="00E269D0" w:rsidRPr="00936E59">
        <w:rPr>
          <w:rFonts w:ascii="Times New Roman" w:hAnsi="Times New Roman" w:cs="Times New Roman"/>
          <w:sz w:val="24"/>
          <w:szCs w:val="24"/>
        </w:rPr>
        <w:t xml:space="preserve"> the appellant of the c</w:t>
      </w:r>
      <w:r w:rsidR="004A6A25" w:rsidRPr="00936E59">
        <w:rPr>
          <w:rFonts w:ascii="Times New Roman" w:hAnsi="Times New Roman" w:cs="Times New Roman"/>
          <w:sz w:val="24"/>
          <w:szCs w:val="24"/>
        </w:rPr>
        <w:t xml:space="preserve">hamber application referred to in </w:t>
      </w:r>
      <w:r w:rsidR="001B4210" w:rsidRPr="00936E59">
        <w:rPr>
          <w:rFonts w:ascii="Times New Roman" w:hAnsi="Times New Roman" w:cs="Times New Roman"/>
          <w:sz w:val="24"/>
          <w:szCs w:val="24"/>
        </w:rPr>
        <w:t>(iii) above;</w:t>
      </w:r>
    </w:p>
    <w:p w:rsidR="00F910B5" w:rsidRPr="00B76F55" w:rsidRDefault="001B4210" w:rsidP="002F1789">
      <w:pPr>
        <w:spacing w:after="0" w:line="240" w:lineRule="auto"/>
        <w:ind w:left="2160" w:hanging="720"/>
        <w:jc w:val="both"/>
        <w:rPr>
          <w:rFonts w:ascii="Times New Roman" w:hAnsi="Times New Roman" w:cs="Times New Roman"/>
          <w:b/>
          <w:sz w:val="24"/>
          <w:szCs w:val="24"/>
        </w:rPr>
      </w:pPr>
      <w:r w:rsidRPr="00936E59">
        <w:rPr>
          <w:rFonts w:ascii="Times New Roman" w:hAnsi="Times New Roman" w:cs="Times New Roman"/>
          <w:sz w:val="24"/>
          <w:szCs w:val="24"/>
        </w:rPr>
        <w:t>v</w:t>
      </w:r>
      <w:r w:rsidR="00C728D9" w:rsidRPr="00936E59">
        <w:rPr>
          <w:rFonts w:ascii="Times New Roman" w:hAnsi="Times New Roman" w:cs="Times New Roman"/>
          <w:sz w:val="24"/>
          <w:szCs w:val="24"/>
        </w:rPr>
        <w:t>i</w:t>
      </w:r>
      <w:r w:rsidRPr="00936E59">
        <w:rPr>
          <w:rFonts w:ascii="Times New Roman" w:hAnsi="Times New Roman" w:cs="Times New Roman"/>
          <w:sz w:val="24"/>
          <w:szCs w:val="24"/>
        </w:rPr>
        <w:tab/>
        <w:t xml:space="preserve">proof by the appellant that the amount claimed constituted the full outstanding amount, plus interest, </w:t>
      </w:r>
      <w:r w:rsidRPr="00936E59">
        <w:rPr>
          <w:rFonts w:ascii="Times New Roman" w:hAnsi="Times New Roman" w:cs="Times New Roman"/>
          <w:b/>
          <w:sz w:val="24"/>
          <w:szCs w:val="24"/>
        </w:rPr>
        <w:t>in terms of the Deed</w:t>
      </w:r>
      <w:r w:rsidR="00E269D0" w:rsidRPr="00936E59">
        <w:rPr>
          <w:rFonts w:ascii="Times New Roman" w:hAnsi="Times New Roman" w:cs="Times New Roman"/>
          <w:b/>
          <w:sz w:val="24"/>
          <w:szCs w:val="24"/>
        </w:rPr>
        <w:t>.</w:t>
      </w:r>
    </w:p>
    <w:p w:rsidR="009518D2" w:rsidRDefault="00C728D9" w:rsidP="00C121EC">
      <w:pPr>
        <w:spacing w:after="0" w:line="480" w:lineRule="auto"/>
        <w:ind w:firstLine="720"/>
        <w:jc w:val="both"/>
        <w:rPr>
          <w:rFonts w:ascii="Times New Roman" w:hAnsi="Times New Roman" w:cs="Times New Roman"/>
          <w:sz w:val="24"/>
          <w:szCs w:val="24"/>
        </w:rPr>
      </w:pPr>
      <w:r w:rsidRPr="00936E59">
        <w:rPr>
          <w:rFonts w:ascii="Times New Roman" w:hAnsi="Times New Roman" w:cs="Times New Roman"/>
          <w:sz w:val="24"/>
          <w:szCs w:val="24"/>
        </w:rPr>
        <w:lastRenderedPageBreak/>
        <w:t xml:space="preserve">In the event of success in the application, the court </w:t>
      </w:r>
      <w:r w:rsidR="0012744C" w:rsidRPr="00936E59">
        <w:rPr>
          <w:rFonts w:ascii="Times New Roman" w:hAnsi="Times New Roman" w:cs="Times New Roman"/>
          <w:sz w:val="24"/>
          <w:szCs w:val="24"/>
        </w:rPr>
        <w:t xml:space="preserve">was to </w:t>
      </w:r>
      <w:r w:rsidRPr="00936E59">
        <w:rPr>
          <w:rFonts w:ascii="Times New Roman" w:hAnsi="Times New Roman" w:cs="Times New Roman"/>
          <w:sz w:val="24"/>
          <w:szCs w:val="24"/>
        </w:rPr>
        <w:t xml:space="preserve">award to the appellant </w:t>
      </w:r>
      <w:r w:rsidR="001B4210" w:rsidRPr="00936E59">
        <w:rPr>
          <w:rFonts w:ascii="Times New Roman" w:hAnsi="Times New Roman" w:cs="Times New Roman"/>
          <w:sz w:val="24"/>
          <w:szCs w:val="24"/>
        </w:rPr>
        <w:t xml:space="preserve">costs </w:t>
      </w:r>
      <w:r w:rsidR="00501A5B">
        <w:rPr>
          <w:rFonts w:ascii="Times New Roman" w:hAnsi="Times New Roman" w:cs="Times New Roman"/>
          <w:sz w:val="24"/>
          <w:szCs w:val="24"/>
        </w:rPr>
        <w:tab/>
      </w:r>
      <w:r w:rsidR="001B4210" w:rsidRPr="00936E59">
        <w:rPr>
          <w:rFonts w:ascii="Times New Roman" w:hAnsi="Times New Roman" w:cs="Times New Roman"/>
          <w:sz w:val="24"/>
          <w:szCs w:val="24"/>
        </w:rPr>
        <w:t>of suit against the respondent, on an attorney and client scale</w:t>
      </w:r>
      <w:r w:rsidRPr="00936E59">
        <w:rPr>
          <w:rFonts w:ascii="Times New Roman" w:hAnsi="Times New Roman" w:cs="Times New Roman"/>
          <w:sz w:val="24"/>
          <w:szCs w:val="24"/>
        </w:rPr>
        <w:t>.</w:t>
      </w:r>
    </w:p>
    <w:p w:rsidR="002F1789" w:rsidRPr="00C121EC" w:rsidRDefault="002F1789" w:rsidP="00C121EC">
      <w:pPr>
        <w:spacing w:after="0" w:line="480" w:lineRule="auto"/>
        <w:ind w:firstLine="720"/>
        <w:jc w:val="both"/>
        <w:rPr>
          <w:rFonts w:ascii="Times New Roman" w:hAnsi="Times New Roman" w:cs="Times New Roman"/>
          <w:sz w:val="24"/>
          <w:szCs w:val="24"/>
        </w:rPr>
      </w:pPr>
    </w:p>
    <w:p w:rsidR="00A971AE" w:rsidRPr="00936E59" w:rsidRDefault="00C728D9" w:rsidP="009518D2">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w:t>
      </w:r>
      <w:r w:rsidR="005874BF" w:rsidRPr="00936E59">
        <w:rPr>
          <w:rFonts w:ascii="Times New Roman" w:hAnsi="Times New Roman" w:cs="Times New Roman"/>
          <w:sz w:val="24"/>
          <w:szCs w:val="24"/>
        </w:rPr>
        <w:t>1</w:t>
      </w:r>
      <w:r w:rsidR="003E392F" w:rsidRPr="00936E59">
        <w:rPr>
          <w:rFonts w:ascii="Times New Roman" w:hAnsi="Times New Roman" w:cs="Times New Roman"/>
          <w:sz w:val="24"/>
          <w:szCs w:val="24"/>
        </w:rPr>
        <w:t>8</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B2795D" w:rsidRPr="00936E59">
        <w:rPr>
          <w:rFonts w:ascii="Times New Roman" w:hAnsi="Times New Roman" w:cs="Times New Roman"/>
          <w:sz w:val="24"/>
          <w:szCs w:val="24"/>
        </w:rPr>
        <w:t xml:space="preserve">In the light of the above, the </w:t>
      </w:r>
      <w:r w:rsidR="001B4210" w:rsidRPr="00936E59">
        <w:rPr>
          <w:rFonts w:ascii="Times New Roman" w:hAnsi="Times New Roman" w:cs="Times New Roman"/>
          <w:sz w:val="24"/>
          <w:szCs w:val="24"/>
        </w:rPr>
        <w:t xml:space="preserve">court </w:t>
      </w:r>
      <w:r w:rsidR="001B4210" w:rsidRPr="00936E59">
        <w:rPr>
          <w:rFonts w:ascii="Times New Roman" w:hAnsi="Times New Roman" w:cs="Times New Roman"/>
          <w:i/>
          <w:sz w:val="24"/>
          <w:szCs w:val="24"/>
        </w:rPr>
        <w:t>a q</w:t>
      </w:r>
      <w:r w:rsidR="00716180" w:rsidRPr="00936E59">
        <w:rPr>
          <w:rFonts w:ascii="Times New Roman" w:hAnsi="Times New Roman" w:cs="Times New Roman"/>
          <w:i/>
          <w:sz w:val="24"/>
          <w:szCs w:val="24"/>
        </w:rPr>
        <w:t>uo</w:t>
      </w:r>
      <w:r w:rsidR="00716180" w:rsidRPr="00936E59">
        <w:rPr>
          <w:rFonts w:ascii="Times New Roman" w:hAnsi="Times New Roman" w:cs="Times New Roman"/>
          <w:sz w:val="24"/>
          <w:szCs w:val="24"/>
        </w:rPr>
        <w:t xml:space="preserve"> was enjoined to determine the chamber application before it, within the parameters outlined above. </w:t>
      </w:r>
      <w:r w:rsidR="003E392F" w:rsidRPr="00936E59">
        <w:rPr>
          <w:rFonts w:ascii="Times New Roman" w:hAnsi="Times New Roman" w:cs="Times New Roman"/>
          <w:sz w:val="24"/>
          <w:szCs w:val="24"/>
        </w:rPr>
        <w:t>The respondent in its defence to the claim should have properly attempted to show a</w:t>
      </w:r>
      <w:r w:rsidR="00B2795D" w:rsidRPr="00936E59">
        <w:rPr>
          <w:rFonts w:ascii="Times New Roman" w:hAnsi="Times New Roman" w:cs="Times New Roman"/>
          <w:sz w:val="24"/>
          <w:szCs w:val="24"/>
        </w:rPr>
        <w:t>nd therefore satisfy the court,</w:t>
      </w:r>
      <w:r w:rsidR="00707BCE" w:rsidRPr="00936E59">
        <w:rPr>
          <w:rFonts w:ascii="Times New Roman" w:hAnsi="Times New Roman" w:cs="Times New Roman"/>
          <w:sz w:val="24"/>
          <w:szCs w:val="24"/>
        </w:rPr>
        <w:t xml:space="preserve"> </w:t>
      </w:r>
      <w:r w:rsidR="003E392F" w:rsidRPr="00936E59">
        <w:rPr>
          <w:rFonts w:ascii="Times New Roman" w:hAnsi="Times New Roman" w:cs="Times New Roman"/>
          <w:sz w:val="24"/>
          <w:szCs w:val="24"/>
        </w:rPr>
        <w:t xml:space="preserve">that it had </w:t>
      </w:r>
      <w:r w:rsidRPr="00936E59">
        <w:rPr>
          <w:rFonts w:ascii="Times New Roman" w:hAnsi="Times New Roman" w:cs="Times New Roman"/>
          <w:sz w:val="24"/>
          <w:szCs w:val="24"/>
        </w:rPr>
        <w:t>not defaulted in making any payment in</w:t>
      </w:r>
      <w:r w:rsidR="00E269D0" w:rsidRPr="00936E59">
        <w:rPr>
          <w:rFonts w:ascii="Times New Roman" w:hAnsi="Times New Roman" w:cs="Times New Roman"/>
          <w:sz w:val="24"/>
          <w:szCs w:val="24"/>
        </w:rPr>
        <w:t xml:space="preserve"> terms of the Deed</w:t>
      </w:r>
      <w:r w:rsidRPr="00936E59">
        <w:rPr>
          <w:rFonts w:ascii="Times New Roman" w:hAnsi="Times New Roman" w:cs="Times New Roman"/>
          <w:sz w:val="24"/>
          <w:szCs w:val="24"/>
        </w:rPr>
        <w:t xml:space="preserve">. Further, </w:t>
      </w:r>
      <w:r w:rsidR="00ED4EF9" w:rsidRPr="00936E59">
        <w:rPr>
          <w:rFonts w:ascii="Times New Roman" w:hAnsi="Times New Roman" w:cs="Times New Roman"/>
          <w:sz w:val="24"/>
          <w:szCs w:val="24"/>
        </w:rPr>
        <w:t xml:space="preserve">and in any case, </w:t>
      </w:r>
      <w:r w:rsidR="009518D2" w:rsidRPr="00936E59">
        <w:rPr>
          <w:rFonts w:ascii="Times New Roman" w:hAnsi="Times New Roman" w:cs="Times New Roman"/>
          <w:sz w:val="24"/>
          <w:szCs w:val="24"/>
        </w:rPr>
        <w:t>that the appellant had: -</w:t>
      </w:r>
      <w:r w:rsidR="00716180" w:rsidRPr="00936E59">
        <w:rPr>
          <w:rFonts w:ascii="Times New Roman" w:hAnsi="Times New Roman" w:cs="Times New Roman"/>
          <w:sz w:val="24"/>
          <w:szCs w:val="24"/>
        </w:rPr>
        <w:t xml:space="preserve"> </w:t>
      </w:r>
    </w:p>
    <w:p w:rsidR="00F7678B" w:rsidRPr="00936E59" w:rsidRDefault="00ED4EF9" w:rsidP="009518D2">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t>i)</w:t>
      </w:r>
      <w:r w:rsidRPr="00936E59">
        <w:rPr>
          <w:rFonts w:ascii="Times New Roman" w:hAnsi="Times New Roman" w:cs="Times New Roman"/>
          <w:sz w:val="24"/>
          <w:szCs w:val="24"/>
        </w:rPr>
        <w:tab/>
      </w:r>
      <w:r w:rsidR="00F7678B" w:rsidRPr="00936E59">
        <w:rPr>
          <w:rFonts w:ascii="Times New Roman" w:hAnsi="Times New Roman" w:cs="Times New Roman"/>
          <w:sz w:val="24"/>
          <w:szCs w:val="24"/>
        </w:rPr>
        <w:t>n</w:t>
      </w:r>
      <w:r w:rsidR="00A971AE" w:rsidRPr="00936E59">
        <w:rPr>
          <w:rFonts w:ascii="Times New Roman" w:hAnsi="Times New Roman" w:cs="Times New Roman"/>
          <w:sz w:val="24"/>
          <w:szCs w:val="24"/>
        </w:rPr>
        <w:t xml:space="preserve">ot </w:t>
      </w:r>
      <w:r w:rsidR="00716180" w:rsidRPr="00936E59">
        <w:rPr>
          <w:rFonts w:ascii="Times New Roman" w:hAnsi="Times New Roman" w:cs="Times New Roman"/>
          <w:sz w:val="24"/>
          <w:szCs w:val="24"/>
        </w:rPr>
        <w:t xml:space="preserve">given </w:t>
      </w:r>
      <w:r w:rsidR="00F7678B" w:rsidRPr="00936E59">
        <w:rPr>
          <w:rFonts w:ascii="Times New Roman" w:hAnsi="Times New Roman" w:cs="Times New Roman"/>
          <w:sz w:val="24"/>
          <w:szCs w:val="24"/>
        </w:rPr>
        <w:t xml:space="preserve">the respondent </w:t>
      </w:r>
      <w:r w:rsidR="00716180" w:rsidRPr="00936E59">
        <w:rPr>
          <w:rFonts w:ascii="Times New Roman" w:hAnsi="Times New Roman" w:cs="Times New Roman"/>
          <w:sz w:val="24"/>
          <w:szCs w:val="24"/>
        </w:rPr>
        <w:t>7 days’ notice to rectify an</w:t>
      </w:r>
      <w:r w:rsidR="00A971AE" w:rsidRPr="00936E59">
        <w:rPr>
          <w:rFonts w:ascii="Times New Roman" w:hAnsi="Times New Roman" w:cs="Times New Roman"/>
          <w:sz w:val="24"/>
          <w:szCs w:val="24"/>
        </w:rPr>
        <w:t>y</w:t>
      </w:r>
      <w:r w:rsidR="00716180" w:rsidRPr="00936E59">
        <w:rPr>
          <w:rFonts w:ascii="Times New Roman" w:hAnsi="Times New Roman" w:cs="Times New Roman"/>
          <w:sz w:val="24"/>
          <w:szCs w:val="24"/>
        </w:rPr>
        <w:t xml:space="preserve"> </w:t>
      </w:r>
      <w:r w:rsidRPr="00936E59">
        <w:rPr>
          <w:rFonts w:ascii="Times New Roman" w:hAnsi="Times New Roman" w:cs="Times New Roman"/>
          <w:sz w:val="24"/>
          <w:szCs w:val="24"/>
        </w:rPr>
        <w:t xml:space="preserve">alleged </w:t>
      </w:r>
      <w:r w:rsidR="00E269D0" w:rsidRPr="00936E59">
        <w:rPr>
          <w:rFonts w:ascii="Times New Roman" w:hAnsi="Times New Roman" w:cs="Times New Roman"/>
          <w:sz w:val="24"/>
          <w:szCs w:val="24"/>
        </w:rPr>
        <w:t>default;</w:t>
      </w:r>
      <w:r w:rsidR="00716180" w:rsidRPr="00936E59">
        <w:rPr>
          <w:rFonts w:ascii="Times New Roman" w:hAnsi="Times New Roman" w:cs="Times New Roman"/>
          <w:sz w:val="24"/>
          <w:szCs w:val="24"/>
        </w:rPr>
        <w:t xml:space="preserve"> </w:t>
      </w:r>
    </w:p>
    <w:p w:rsidR="00707BCE" w:rsidRPr="00936E59" w:rsidRDefault="00F7678B" w:rsidP="009518D2">
      <w:pPr>
        <w:pStyle w:val="ListParagraph"/>
        <w:numPr>
          <w:ilvl w:val="0"/>
          <w:numId w:val="9"/>
        </w:numPr>
        <w:spacing w:after="0" w:line="240" w:lineRule="auto"/>
        <w:jc w:val="both"/>
        <w:rPr>
          <w:rFonts w:ascii="Times New Roman" w:hAnsi="Times New Roman" w:cs="Times New Roman"/>
          <w:sz w:val="24"/>
          <w:szCs w:val="24"/>
        </w:rPr>
      </w:pPr>
      <w:r w:rsidRPr="00936E59">
        <w:rPr>
          <w:rFonts w:ascii="Times New Roman" w:hAnsi="Times New Roman" w:cs="Times New Roman"/>
          <w:sz w:val="24"/>
          <w:szCs w:val="24"/>
        </w:rPr>
        <w:t xml:space="preserve">not given the respondent </w:t>
      </w:r>
      <w:r w:rsidR="00716180" w:rsidRPr="00936E59">
        <w:rPr>
          <w:rFonts w:ascii="Times New Roman" w:hAnsi="Times New Roman" w:cs="Times New Roman"/>
          <w:sz w:val="24"/>
          <w:szCs w:val="24"/>
        </w:rPr>
        <w:t>2 days’ notice of the fi</w:t>
      </w:r>
      <w:r w:rsidR="00E269D0" w:rsidRPr="00936E59">
        <w:rPr>
          <w:rFonts w:ascii="Times New Roman" w:hAnsi="Times New Roman" w:cs="Times New Roman"/>
          <w:sz w:val="24"/>
          <w:szCs w:val="24"/>
        </w:rPr>
        <w:t>ling of the chamber application;</w:t>
      </w:r>
      <w:r w:rsidR="00716180" w:rsidRPr="00936E59">
        <w:rPr>
          <w:rFonts w:ascii="Times New Roman" w:hAnsi="Times New Roman" w:cs="Times New Roman"/>
          <w:sz w:val="24"/>
          <w:szCs w:val="24"/>
        </w:rPr>
        <w:t xml:space="preserve"> </w:t>
      </w:r>
      <w:r w:rsidR="00707BCE" w:rsidRPr="00936E59">
        <w:rPr>
          <w:rFonts w:ascii="Times New Roman" w:hAnsi="Times New Roman" w:cs="Times New Roman"/>
          <w:sz w:val="24"/>
          <w:szCs w:val="24"/>
        </w:rPr>
        <w:t>or</w:t>
      </w:r>
    </w:p>
    <w:p w:rsidR="001B4210" w:rsidRPr="00936E59" w:rsidRDefault="00F7678B" w:rsidP="009518D2">
      <w:pPr>
        <w:pStyle w:val="ListParagraph"/>
        <w:numPr>
          <w:ilvl w:val="0"/>
          <w:numId w:val="9"/>
        </w:numPr>
        <w:spacing w:after="0" w:line="240" w:lineRule="auto"/>
        <w:jc w:val="both"/>
        <w:rPr>
          <w:rFonts w:ascii="Times New Roman" w:hAnsi="Times New Roman" w:cs="Times New Roman"/>
          <w:sz w:val="24"/>
          <w:szCs w:val="24"/>
        </w:rPr>
      </w:pPr>
      <w:r w:rsidRPr="00936E59">
        <w:rPr>
          <w:rFonts w:ascii="Times New Roman" w:hAnsi="Times New Roman" w:cs="Times New Roman"/>
          <w:sz w:val="24"/>
          <w:szCs w:val="24"/>
        </w:rPr>
        <w:t>not substantiated or proved the outstanding balance and int</w:t>
      </w:r>
      <w:r w:rsidR="00E269D0" w:rsidRPr="00936E59">
        <w:rPr>
          <w:rFonts w:ascii="Times New Roman" w:hAnsi="Times New Roman" w:cs="Times New Roman"/>
          <w:sz w:val="24"/>
          <w:szCs w:val="24"/>
        </w:rPr>
        <w:t>erest claimed, based on the Deed</w:t>
      </w:r>
      <w:r w:rsidRPr="00936E59">
        <w:rPr>
          <w:rFonts w:ascii="Times New Roman" w:hAnsi="Times New Roman" w:cs="Times New Roman"/>
          <w:sz w:val="24"/>
          <w:szCs w:val="24"/>
        </w:rPr>
        <w:t>.</w:t>
      </w:r>
    </w:p>
    <w:p w:rsidR="009518D2" w:rsidRPr="006B2341" w:rsidRDefault="009518D2" w:rsidP="006B2341">
      <w:pPr>
        <w:spacing w:after="0" w:line="480" w:lineRule="auto"/>
        <w:jc w:val="both"/>
        <w:rPr>
          <w:rFonts w:ascii="Times New Roman" w:hAnsi="Times New Roman" w:cs="Times New Roman"/>
          <w:sz w:val="24"/>
          <w:szCs w:val="24"/>
        </w:rPr>
      </w:pPr>
    </w:p>
    <w:p w:rsidR="00056579" w:rsidRPr="00936E59" w:rsidRDefault="00B2795D" w:rsidP="009518D2">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[19]</w:t>
      </w:r>
      <w:r w:rsidRPr="00936E59">
        <w:rPr>
          <w:rFonts w:ascii="Times New Roman" w:hAnsi="Times New Roman" w:cs="Times New Roman"/>
          <w:sz w:val="24"/>
          <w:szCs w:val="24"/>
        </w:rPr>
        <w:tab/>
        <w:t xml:space="preserve">The respondent in its opposing affidavit did not </w:t>
      </w:r>
      <w:r w:rsidR="008F347E" w:rsidRPr="00936E59">
        <w:rPr>
          <w:rFonts w:ascii="Times New Roman" w:hAnsi="Times New Roman" w:cs="Times New Roman"/>
          <w:sz w:val="24"/>
          <w:szCs w:val="24"/>
        </w:rPr>
        <w:t xml:space="preserve">confine its opposition to the defence available to it in terms of clause 2 of the Deed. </w:t>
      </w:r>
      <w:r w:rsidR="00285789" w:rsidRPr="00936E59">
        <w:rPr>
          <w:rFonts w:ascii="Times New Roman" w:hAnsi="Times New Roman" w:cs="Times New Roman"/>
          <w:sz w:val="24"/>
          <w:szCs w:val="24"/>
        </w:rPr>
        <w:t xml:space="preserve">Instead, </w:t>
      </w:r>
      <w:r w:rsidR="009125EA" w:rsidRPr="00936E59">
        <w:rPr>
          <w:rFonts w:ascii="Times New Roman" w:hAnsi="Times New Roman" w:cs="Times New Roman"/>
          <w:sz w:val="24"/>
          <w:szCs w:val="24"/>
        </w:rPr>
        <w:t xml:space="preserve">and without filing a counter application for the setting aside of the Deed, </w:t>
      </w:r>
      <w:r w:rsidR="00285789" w:rsidRPr="00936E59">
        <w:rPr>
          <w:rFonts w:ascii="Times New Roman" w:hAnsi="Times New Roman" w:cs="Times New Roman"/>
          <w:sz w:val="24"/>
          <w:szCs w:val="24"/>
        </w:rPr>
        <w:t>the respondent</w:t>
      </w:r>
      <w:r w:rsidR="008F347E" w:rsidRPr="00936E59">
        <w:rPr>
          <w:rFonts w:ascii="Times New Roman" w:hAnsi="Times New Roman" w:cs="Times New Roman"/>
          <w:sz w:val="24"/>
          <w:szCs w:val="24"/>
        </w:rPr>
        <w:t xml:space="preserve"> launched an attack on the </w:t>
      </w:r>
      <w:r w:rsidR="00710B12" w:rsidRPr="00936E59">
        <w:rPr>
          <w:rFonts w:ascii="Times New Roman" w:hAnsi="Times New Roman" w:cs="Times New Roman"/>
          <w:sz w:val="24"/>
          <w:szCs w:val="24"/>
        </w:rPr>
        <w:t xml:space="preserve">application and sought to have it </w:t>
      </w:r>
      <w:r w:rsidR="00285789" w:rsidRPr="00936E59">
        <w:rPr>
          <w:rFonts w:ascii="Times New Roman" w:hAnsi="Times New Roman" w:cs="Times New Roman"/>
          <w:sz w:val="24"/>
          <w:szCs w:val="24"/>
        </w:rPr>
        <w:t xml:space="preserve">dismissed on the basis of an alleged </w:t>
      </w:r>
      <w:r w:rsidR="001D1AD9" w:rsidRPr="00936E59">
        <w:rPr>
          <w:rFonts w:ascii="Times New Roman" w:hAnsi="Times New Roman" w:cs="Times New Roman"/>
          <w:sz w:val="24"/>
          <w:szCs w:val="24"/>
        </w:rPr>
        <w:t xml:space="preserve">common </w:t>
      </w:r>
      <w:r w:rsidR="00285789" w:rsidRPr="00936E59">
        <w:rPr>
          <w:rFonts w:ascii="Times New Roman" w:hAnsi="Times New Roman" w:cs="Times New Roman"/>
          <w:sz w:val="24"/>
          <w:szCs w:val="24"/>
        </w:rPr>
        <w:t xml:space="preserve">error pertaining to </w:t>
      </w:r>
      <w:r w:rsidR="001D1AD9" w:rsidRPr="00936E59">
        <w:rPr>
          <w:rFonts w:ascii="Times New Roman" w:hAnsi="Times New Roman" w:cs="Times New Roman"/>
          <w:sz w:val="24"/>
          <w:szCs w:val="24"/>
        </w:rPr>
        <w:t>calculations that resulted in the amount</w:t>
      </w:r>
      <w:r w:rsidR="00710B12" w:rsidRPr="00936E59">
        <w:rPr>
          <w:rFonts w:ascii="Times New Roman" w:hAnsi="Times New Roman" w:cs="Times New Roman"/>
          <w:sz w:val="24"/>
          <w:szCs w:val="24"/>
        </w:rPr>
        <w:t xml:space="preserve"> reflected in </w:t>
      </w:r>
      <w:r w:rsidR="001D1AD9" w:rsidRPr="00936E59">
        <w:rPr>
          <w:rFonts w:ascii="Times New Roman" w:hAnsi="Times New Roman" w:cs="Times New Roman"/>
          <w:sz w:val="24"/>
          <w:szCs w:val="24"/>
        </w:rPr>
        <w:t>the Deed</w:t>
      </w:r>
      <w:r w:rsidR="0075155E" w:rsidRPr="00936E59">
        <w:rPr>
          <w:rFonts w:ascii="Times New Roman" w:hAnsi="Times New Roman" w:cs="Times New Roman"/>
        </w:rPr>
        <w:t xml:space="preserve"> </w:t>
      </w:r>
      <w:r w:rsidR="001D1AD9" w:rsidRPr="00936E59">
        <w:rPr>
          <w:rFonts w:ascii="Times New Roman" w:hAnsi="Times New Roman" w:cs="Times New Roman"/>
          <w:sz w:val="24"/>
          <w:szCs w:val="24"/>
        </w:rPr>
        <w:t>as the outstanding amount.</w:t>
      </w:r>
      <w:r w:rsidR="00710B12" w:rsidRPr="00936E59">
        <w:rPr>
          <w:rFonts w:ascii="Times New Roman" w:hAnsi="Times New Roman" w:cs="Times New Roman"/>
          <w:sz w:val="24"/>
          <w:szCs w:val="24"/>
        </w:rPr>
        <w:t xml:space="preserve"> The respondent’s attack had the hallmarks of a counter claim.</w:t>
      </w:r>
      <w:r w:rsidR="001D1AD9" w:rsidRPr="00936E59">
        <w:rPr>
          <w:rFonts w:ascii="Times New Roman" w:hAnsi="Times New Roman" w:cs="Times New Roman"/>
          <w:sz w:val="24"/>
          <w:szCs w:val="24"/>
        </w:rPr>
        <w:t xml:space="preserve"> </w:t>
      </w:r>
      <w:r w:rsidR="00710B12" w:rsidRPr="00936E59">
        <w:rPr>
          <w:rFonts w:ascii="Times New Roman" w:hAnsi="Times New Roman" w:cs="Times New Roman"/>
          <w:sz w:val="24"/>
          <w:szCs w:val="24"/>
        </w:rPr>
        <w:t xml:space="preserve">It </w:t>
      </w:r>
      <w:r w:rsidR="00285789" w:rsidRPr="00936E59">
        <w:rPr>
          <w:rFonts w:ascii="Times New Roman" w:hAnsi="Times New Roman" w:cs="Times New Roman"/>
          <w:sz w:val="24"/>
          <w:szCs w:val="24"/>
        </w:rPr>
        <w:t xml:space="preserve">thus </w:t>
      </w:r>
      <w:r w:rsidR="00142424" w:rsidRPr="00936E59">
        <w:rPr>
          <w:rFonts w:ascii="Times New Roman" w:hAnsi="Times New Roman" w:cs="Times New Roman"/>
          <w:sz w:val="24"/>
          <w:szCs w:val="24"/>
        </w:rPr>
        <w:t xml:space="preserve">used its opposing affidavit as a ‘sword’ instead of the ‘shield’ that it was supposed to be. </w:t>
      </w:r>
      <w:r w:rsidR="00056579" w:rsidRPr="00936E59">
        <w:rPr>
          <w:rFonts w:ascii="Times New Roman" w:hAnsi="Times New Roman" w:cs="Times New Roman"/>
          <w:sz w:val="24"/>
          <w:szCs w:val="24"/>
        </w:rPr>
        <w:t xml:space="preserve">The impropriety of this approach was highlighted by </w:t>
      </w:r>
      <w:r w:rsidR="009518D2" w:rsidRPr="00936E59">
        <w:rPr>
          <w:rFonts w:ascii="Times New Roman" w:hAnsi="Times New Roman" w:cs="Times New Roman"/>
          <w:sz w:val="24"/>
          <w:szCs w:val="24"/>
        </w:rPr>
        <w:t xml:space="preserve">MALABA DCJ </w:t>
      </w:r>
      <w:r w:rsidR="00056579" w:rsidRPr="00936E59">
        <w:rPr>
          <w:rFonts w:ascii="Times New Roman" w:hAnsi="Times New Roman" w:cs="Times New Roman"/>
          <w:sz w:val="24"/>
          <w:szCs w:val="24"/>
        </w:rPr>
        <w:t>(</w:t>
      </w:r>
      <w:r w:rsidR="00056579" w:rsidRPr="00936E59">
        <w:rPr>
          <w:rFonts w:ascii="Times New Roman" w:hAnsi="Times New Roman" w:cs="Times New Roman"/>
          <w:i/>
          <w:sz w:val="24"/>
          <w:szCs w:val="24"/>
        </w:rPr>
        <w:t>as he then was</w:t>
      </w:r>
      <w:r w:rsidR="00056579" w:rsidRPr="00936E59">
        <w:rPr>
          <w:rFonts w:ascii="Times New Roman" w:hAnsi="Times New Roman" w:cs="Times New Roman"/>
          <w:sz w:val="24"/>
          <w:szCs w:val="24"/>
        </w:rPr>
        <w:t xml:space="preserve">) as follows in </w:t>
      </w:r>
      <w:r w:rsidR="00056579" w:rsidRPr="00936E59">
        <w:rPr>
          <w:rFonts w:ascii="Times New Roman" w:hAnsi="Times New Roman" w:cs="Times New Roman"/>
          <w:i/>
          <w:sz w:val="24"/>
          <w:szCs w:val="24"/>
        </w:rPr>
        <w:t>Dimbi v R</w:t>
      </w:r>
      <w:r w:rsidR="008F347E" w:rsidRPr="00936E59">
        <w:rPr>
          <w:rFonts w:ascii="Times New Roman" w:hAnsi="Times New Roman" w:cs="Times New Roman"/>
          <w:i/>
          <w:sz w:val="24"/>
          <w:szCs w:val="24"/>
        </w:rPr>
        <w:t>o</w:t>
      </w:r>
      <w:r w:rsidR="00056579" w:rsidRPr="00936E59">
        <w:rPr>
          <w:rFonts w:ascii="Times New Roman" w:hAnsi="Times New Roman" w:cs="Times New Roman"/>
          <w:i/>
          <w:sz w:val="24"/>
          <w:szCs w:val="24"/>
        </w:rPr>
        <w:t>nwen</w:t>
      </w:r>
      <w:r w:rsidR="008F347E" w:rsidRPr="00936E59">
        <w:rPr>
          <w:rFonts w:ascii="Times New Roman" w:hAnsi="Times New Roman" w:cs="Times New Roman"/>
          <w:i/>
          <w:sz w:val="24"/>
          <w:szCs w:val="24"/>
        </w:rPr>
        <w:t xml:space="preserve"> Investment </w:t>
      </w:r>
      <w:r w:rsidR="00056579" w:rsidRPr="00936E59">
        <w:rPr>
          <w:rFonts w:ascii="Times New Roman" w:hAnsi="Times New Roman" w:cs="Times New Roman"/>
          <w:i/>
          <w:sz w:val="24"/>
          <w:szCs w:val="24"/>
        </w:rPr>
        <w:t>(Pvt)</w:t>
      </w:r>
      <w:r w:rsidR="008F347E" w:rsidRPr="00936E59">
        <w:rPr>
          <w:rFonts w:ascii="Times New Roman" w:hAnsi="Times New Roman" w:cs="Times New Roman"/>
          <w:i/>
          <w:sz w:val="24"/>
          <w:szCs w:val="24"/>
        </w:rPr>
        <w:t xml:space="preserve"> Ltd</w:t>
      </w:r>
      <w:r w:rsidR="00707BCE" w:rsidRPr="00936E59">
        <w:rPr>
          <w:rFonts w:ascii="Times New Roman" w:hAnsi="Times New Roman" w:cs="Times New Roman"/>
          <w:i/>
          <w:sz w:val="24"/>
          <w:szCs w:val="24"/>
        </w:rPr>
        <w:t xml:space="preserve"> </w:t>
      </w:r>
      <w:r w:rsidR="0066085E" w:rsidRPr="00936E59">
        <w:rPr>
          <w:rFonts w:ascii="Times New Roman" w:hAnsi="Times New Roman" w:cs="Times New Roman"/>
          <w:sz w:val="24"/>
          <w:szCs w:val="24"/>
        </w:rPr>
        <w:t>SC 8-</w:t>
      </w:r>
      <w:r w:rsidR="00FB333C" w:rsidRPr="00936E59">
        <w:rPr>
          <w:rFonts w:ascii="Times New Roman" w:hAnsi="Times New Roman" w:cs="Times New Roman"/>
          <w:sz w:val="24"/>
          <w:szCs w:val="24"/>
        </w:rPr>
        <w:t>13</w:t>
      </w:r>
      <w:r w:rsidR="00B76F55">
        <w:rPr>
          <w:rFonts w:ascii="Times New Roman" w:hAnsi="Times New Roman" w:cs="Times New Roman"/>
          <w:i/>
          <w:sz w:val="24"/>
          <w:szCs w:val="24"/>
        </w:rPr>
        <w:t>:</w:t>
      </w:r>
      <w:r w:rsidR="00FB333C" w:rsidRPr="00936E59">
        <w:rPr>
          <w:rFonts w:ascii="Times New Roman" w:hAnsi="Times New Roman" w:cs="Times New Roman"/>
          <w:i/>
          <w:sz w:val="24"/>
          <w:szCs w:val="24"/>
        </w:rPr>
        <w:t xml:space="preserve"> -</w:t>
      </w:r>
    </w:p>
    <w:p w:rsidR="0012744C" w:rsidRPr="00936E59" w:rsidRDefault="009518D2" w:rsidP="00F910B5">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i/>
          <w:sz w:val="24"/>
          <w:szCs w:val="24"/>
        </w:rPr>
        <w:t>“</w:t>
      </w:r>
      <w:r w:rsidR="00056579" w:rsidRPr="00936E59">
        <w:rPr>
          <w:rFonts w:ascii="Times New Roman" w:hAnsi="Times New Roman" w:cs="Times New Roman"/>
          <w:sz w:val="24"/>
          <w:szCs w:val="24"/>
        </w:rPr>
        <w:t xml:space="preserve">In </w:t>
      </w:r>
      <w:r w:rsidR="00056579" w:rsidRPr="00936E59">
        <w:rPr>
          <w:rFonts w:ascii="Times New Roman" w:hAnsi="Times New Roman" w:cs="Times New Roman"/>
          <w:i/>
          <w:sz w:val="24"/>
          <w:szCs w:val="24"/>
        </w:rPr>
        <w:t>Sumbureru v Chirunda 1992(</w:t>
      </w:r>
      <w:r w:rsidRPr="00936E59">
        <w:rPr>
          <w:rFonts w:ascii="Times New Roman" w:hAnsi="Times New Roman" w:cs="Times New Roman"/>
          <w:i/>
          <w:sz w:val="24"/>
          <w:szCs w:val="24"/>
        </w:rPr>
        <w:t>1) ZLR</w:t>
      </w:r>
      <w:r w:rsidR="00707BCE" w:rsidRPr="00936E59">
        <w:rPr>
          <w:rFonts w:ascii="Times New Roman" w:hAnsi="Times New Roman" w:cs="Times New Roman"/>
          <w:i/>
          <w:sz w:val="24"/>
          <w:szCs w:val="24"/>
        </w:rPr>
        <w:t xml:space="preserve"> </w:t>
      </w:r>
      <w:r w:rsidR="00056579" w:rsidRPr="00936E59">
        <w:rPr>
          <w:rFonts w:ascii="Times New Roman" w:hAnsi="Times New Roman" w:cs="Times New Roman"/>
          <w:i/>
          <w:sz w:val="24"/>
          <w:szCs w:val="24"/>
        </w:rPr>
        <w:t>240(H)</w:t>
      </w:r>
      <w:r w:rsidR="00056579" w:rsidRPr="00936E59">
        <w:rPr>
          <w:rFonts w:ascii="Times New Roman" w:hAnsi="Times New Roman" w:cs="Times New Roman"/>
          <w:sz w:val="24"/>
          <w:szCs w:val="24"/>
        </w:rPr>
        <w:t xml:space="preserve"> it is stated that opposition to an application on notice of motion is a shield of defence not a sword of attack. </w:t>
      </w:r>
      <w:r w:rsidR="00056579" w:rsidRPr="00936E59">
        <w:rPr>
          <w:rFonts w:ascii="Times New Roman" w:hAnsi="Times New Roman" w:cs="Times New Roman"/>
          <w:b/>
          <w:sz w:val="24"/>
          <w:szCs w:val="24"/>
          <w:u w:val="single"/>
        </w:rPr>
        <w:t>A respondent who has an att</w:t>
      </w:r>
      <w:r w:rsidR="0012744C" w:rsidRPr="00936E59">
        <w:rPr>
          <w:rFonts w:ascii="Times New Roman" w:hAnsi="Times New Roman" w:cs="Times New Roman"/>
          <w:b/>
          <w:sz w:val="24"/>
          <w:szCs w:val="24"/>
          <w:u w:val="single"/>
        </w:rPr>
        <w:t>a</w:t>
      </w:r>
      <w:r w:rsidR="00056579" w:rsidRPr="00936E59">
        <w:rPr>
          <w:rFonts w:ascii="Times New Roman" w:hAnsi="Times New Roman" w:cs="Times New Roman"/>
          <w:b/>
          <w:sz w:val="24"/>
          <w:szCs w:val="24"/>
          <w:u w:val="single"/>
        </w:rPr>
        <w:t>ck</w:t>
      </w:r>
      <w:r w:rsidR="0012744C" w:rsidRPr="00936E59">
        <w:rPr>
          <w:rFonts w:ascii="Times New Roman" w:hAnsi="Times New Roman" w:cs="Times New Roman"/>
          <w:b/>
          <w:sz w:val="24"/>
          <w:szCs w:val="24"/>
          <w:u w:val="single"/>
        </w:rPr>
        <w:t xml:space="preserve"> (</w:t>
      </w:r>
      <w:r w:rsidR="0012744C" w:rsidRPr="00936E59">
        <w:rPr>
          <w:rFonts w:ascii="Times New Roman" w:hAnsi="Times New Roman" w:cs="Times New Roman"/>
          <w:b/>
          <w:i/>
          <w:sz w:val="24"/>
          <w:szCs w:val="24"/>
          <w:u w:val="single"/>
        </w:rPr>
        <w:t>sic</w:t>
      </w:r>
      <w:r w:rsidR="0012744C" w:rsidRPr="00936E59">
        <w:rPr>
          <w:rFonts w:ascii="Times New Roman" w:hAnsi="Times New Roman" w:cs="Times New Roman"/>
          <w:b/>
          <w:sz w:val="24"/>
          <w:szCs w:val="24"/>
          <w:u w:val="single"/>
        </w:rPr>
        <w:t>)</w:t>
      </w:r>
      <w:r w:rsidR="00056579" w:rsidRPr="00936E59">
        <w:rPr>
          <w:rFonts w:ascii="Times New Roman" w:hAnsi="Times New Roman" w:cs="Times New Roman"/>
          <w:b/>
          <w:sz w:val="24"/>
          <w:szCs w:val="24"/>
          <w:u w:val="single"/>
        </w:rPr>
        <w:t xml:space="preserve"> must mount a counter application </w:t>
      </w:r>
      <w:r w:rsidR="00056579" w:rsidRPr="00936E59">
        <w:rPr>
          <w:rFonts w:ascii="Times New Roman" w:hAnsi="Times New Roman" w:cs="Times New Roman"/>
          <w:sz w:val="24"/>
          <w:szCs w:val="24"/>
        </w:rPr>
        <w:t>in terms of R</w:t>
      </w:r>
      <w:r w:rsidRPr="00936E59">
        <w:rPr>
          <w:rFonts w:ascii="Times New Roman" w:hAnsi="Times New Roman" w:cs="Times New Roman"/>
          <w:sz w:val="24"/>
          <w:szCs w:val="24"/>
        </w:rPr>
        <w:t xml:space="preserve"> 229A of the High Court Rules.”</w:t>
      </w:r>
      <w:r w:rsidR="00170154" w:rsidRPr="00936E59">
        <w:rPr>
          <w:rFonts w:ascii="Times New Roman" w:hAnsi="Times New Roman" w:cs="Times New Roman"/>
          <w:sz w:val="24"/>
          <w:szCs w:val="24"/>
        </w:rPr>
        <w:t xml:space="preserve"> </w:t>
      </w:r>
      <w:r w:rsidR="00170154" w:rsidRPr="00936E59">
        <w:rPr>
          <w:rFonts w:ascii="Times New Roman" w:hAnsi="Times New Roman" w:cs="Times New Roman"/>
          <w:i/>
          <w:sz w:val="24"/>
          <w:szCs w:val="24"/>
        </w:rPr>
        <w:t>(my emphasis)</w:t>
      </w:r>
    </w:p>
    <w:p w:rsidR="002F1789" w:rsidRDefault="009125EA" w:rsidP="008E75AA">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ab/>
      </w:r>
    </w:p>
    <w:p w:rsidR="009125EA" w:rsidRPr="00936E59" w:rsidRDefault="009125EA" w:rsidP="00E269D0">
      <w:pPr>
        <w:spacing w:line="24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Rule 2</w:t>
      </w:r>
      <w:r w:rsidR="00F346D8">
        <w:rPr>
          <w:rFonts w:ascii="Times New Roman" w:hAnsi="Times New Roman" w:cs="Times New Roman"/>
          <w:sz w:val="24"/>
          <w:szCs w:val="24"/>
        </w:rPr>
        <w:t>2</w:t>
      </w:r>
      <w:r w:rsidRPr="00936E59">
        <w:rPr>
          <w:rFonts w:ascii="Times New Roman" w:hAnsi="Times New Roman" w:cs="Times New Roman"/>
          <w:sz w:val="24"/>
          <w:szCs w:val="24"/>
        </w:rPr>
        <w:t>9A</w:t>
      </w:r>
      <w:r w:rsidR="009518D2" w:rsidRPr="00936E59">
        <w:rPr>
          <w:rFonts w:ascii="Times New Roman" w:hAnsi="Times New Roman" w:cs="Times New Roman"/>
          <w:sz w:val="24"/>
          <w:szCs w:val="24"/>
        </w:rPr>
        <w:t xml:space="preserve"> </w:t>
      </w:r>
      <w:r w:rsidRPr="00936E59">
        <w:rPr>
          <w:rFonts w:ascii="Times New Roman" w:hAnsi="Times New Roman" w:cs="Times New Roman"/>
          <w:sz w:val="24"/>
          <w:szCs w:val="24"/>
        </w:rPr>
        <w:t xml:space="preserve">(1) of the High Court Rules </w:t>
      </w:r>
      <w:r w:rsidR="005C4430" w:rsidRPr="00936E59">
        <w:rPr>
          <w:rFonts w:ascii="Times New Roman" w:hAnsi="Times New Roman" w:cs="Times New Roman"/>
          <w:sz w:val="24"/>
          <w:szCs w:val="24"/>
        </w:rPr>
        <w:t xml:space="preserve">stipulates </w:t>
      </w:r>
      <w:r w:rsidR="009518D2" w:rsidRPr="00936E59">
        <w:rPr>
          <w:rFonts w:ascii="Times New Roman" w:hAnsi="Times New Roman" w:cs="Times New Roman"/>
          <w:sz w:val="24"/>
          <w:szCs w:val="24"/>
        </w:rPr>
        <w:t xml:space="preserve">as </w:t>
      </w:r>
      <w:r w:rsidR="00E269D0" w:rsidRPr="00936E59">
        <w:rPr>
          <w:rFonts w:ascii="Times New Roman" w:hAnsi="Times New Roman" w:cs="Times New Roman"/>
          <w:sz w:val="24"/>
          <w:szCs w:val="24"/>
        </w:rPr>
        <w:t>follows: -</w:t>
      </w:r>
    </w:p>
    <w:p w:rsidR="009125EA" w:rsidRPr="00936E59" w:rsidRDefault="00E269D0" w:rsidP="00E269D0">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lastRenderedPageBreak/>
        <w:t>“</w:t>
      </w:r>
      <w:r w:rsidR="009125EA" w:rsidRPr="00936E59">
        <w:rPr>
          <w:rFonts w:ascii="Times New Roman" w:hAnsi="Times New Roman" w:cs="Times New Roman"/>
          <w:sz w:val="24"/>
          <w:szCs w:val="24"/>
        </w:rPr>
        <w:t xml:space="preserve">Where a respondent files a notice of opposition and opposing affidavit, he may file, together with those documents, a counter application against the applicant in the form, </w:t>
      </w:r>
      <w:r w:rsidR="009125EA" w:rsidRPr="00936E59">
        <w:rPr>
          <w:rFonts w:ascii="Times New Roman" w:hAnsi="Times New Roman" w:cs="Times New Roman"/>
          <w:i/>
          <w:sz w:val="24"/>
          <w:szCs w:val="24"/>
        </w:rPr>
        <w:t>mutatis mutandis</w:t>
      </w:r>
      <w:r w:rsidR="009125EA" w:rsidRPr="00936E59">
        <w:rPr>
          <w:rFonts w:ascii="Times New Roman" w:hAnsi="Times New Roman" w:cs="Times New Roman"/>
          <w:sz w:val="24"/>
          <w:szCs w:val="24"/>
        </w:rPr>
        <w:t>, of a court application or a chamber application, whichever is appropriate.</w:t>
      </w:r>
      <w:r w:rsidR="00D85044" w:rsidRPr="00936E59">
        <w:rPr>
          <w:rFonts w:ascii="Times New Roman" w:hAnsi="Times New Roman" w:cs="Times New Roman"/>
          <w:sz w:val="24"/>
          <w:szCs w:val="24"/>
        </w:rPr>
        <w:t>”</w:t>
      </w:r>
    </w:p>
    <w:p w:rsidR="009125EA" w:rsidRPr="00936E59" w:rsidRDefault="009125EA" w:rsidP="008E75AA">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ab/>
      </w:r>
      <w:r w:rsidRPr="00936E59">
        <w:rPr>
          <w:rFonts w:ascii="Times New Roman" w:hAnsi="Times New Roman" w:cs="Times New Roman"/>
          <w:sz w:val="24"/>
          <w:szCs w:val="24"/>
        </w:rPr>
        <w:tab/>
      </w:r>
    </w:p>
    <w:p w:rsidR="00920906" w:rsidRPr="00936E59" w:rsidRDefault="00170154" w:rsidP="0012744C">
      <w:pPr>
        <w:spacing w:line="480" w:lineRule="auto"/>
        <w:ind w:left="720"/>
        <w:jc w:val="both"/>
        <w:rPr>
          <w:rFonts w:ascii="Times New Roman" w:hAnsi="Times New Roman" w:cs="Times New Roman"/>
          <w:sz w:val="24"/>
          <w:szCs w:val="24"/>
        </w:rPr>
      </w:pPr>
      <w:r w:rsidRPr="00936E59">
        <w:rPr>
          <w:rFonts w:ascii="Times New Roman" w:hAnsi="Times New Roman" w:cs="Times New Roman"/>
          <w:i/>
          <w:sz w:val="24"/>
          <w:szCs w:val="24"/>
        </w:rPr>
        <w:t>In casu</w:t>
      </w:r>
      <w:r w:rsidRPr="00936E59">
        <w:rPr>
          <w:rFonts w:ascii="Times New Roman" w:hAnsi="Times New Roman" w:cs="Times New Roman"/>
          <w:sz w:val="24"/>
          <w:szCs w:val="24"/>
        </w:rPr>
        <w:t xml:space="preserve"> the respondent clearly had ‘an attack’ </w:t>
      </w:r>
      <w:r w:rsidR="00D85044" w:rsidRPr="00936E59">
        <w:rPr>
          <w:rFonts w:ascii="Times New Roman" w:hAnsi="Times New Roman" w:cs="Times New Roman"/>
          <w:sz w:val="24"/>
          <w:szCs w:val="24"/>
        </w:rPr>
        <w:t>to aim at the Deed</w:t>
      </w:r>
      <w:r w:rsidRPr="00936E59">
        <w:rPr>
          <w:rFonts w:ascii="Times New Roman" w:hAnsi="Times New Roman" w:cs="Times New Roman"/>
          <w:sz w:val="24"/>
          <w:szCs w:val="24"/>
        </w:rPr>
        <w:t>. It attempted to launch the attack through the medium of its opposition to the application before the court</w:t>
      </w:r>
      <w:r w:rsidR="00707BCE" w:rsidRPr="00936E59">
        <w:rPr>
          <w:rFonts w:ascii="Times New Roman" w:hAnsi="Times New Roman" w:cs="Times New Roman"/>
          <w:sz w:val="24"/>
          <w:szCs w:val="24"/>
        </w:rPr>
        <w:t xml:space="preserve"> </w:t>
      </w:r>
      <w:r w:rsidR="00707BCE" w:rsidRPr="00936E59">
        <w:rPr>
          <w:rFonts w:ascii="Times New Roman" w:hAnsi="Times New Roman" w:cs="Times New Roman"/>
          <w:i/>
          <w:sz w:val="24"/>
          <w:szCs w:val="24"/>
        </w:rPr>
        <w:t>a</w:t>
      </w:r>
      <w:r w:rsidR="009364FC">
        <w:rPr>
          <w:rFonts w:ascii="Times New Roman" w:hAnsi="Times New Roman" w:cs="Times New Roman"/>
          <w:i/>
          <w:sz w:val="24"/>
          <w:szCs w:val="24"/>
        </w:rPr>
        <w:t> </w:t>
      </w:r>
      <w:r w:rsidR="00707BCE" w:rsidRPr="00936E59">
        <w:rPr>
          <w:rFonts w:ascii="Times New Roman" w:hAnsi="Times New Roman" w:cs="Times New Roman"/>
          <w:i/>
          <w:sz w:val="24"/>
          <w:szCs w:val="24"/>
        </w:rPr>
        <w:t>quo</w:t>
      </w:r>
      <w:r w:rsidRPr="00936E59">
        <w:rPr>
          <w:rFonts w:ascii="Times New Roman" w:hAnsi="Times New Roman" w:cs="Times New Roman"/>
          <w:sz w:val="24"/>
          <w:szCs w:val="24"/>
        </w:rPr>
        <w:t xml:space="preserve">. On the basis of the authority just cited, the respondent could not </w:t>
      </w:r>
      <w:r w:rsidR="0012744C" w:rsidRPr="00936E59">
        <w:rPr>
          <w:rFonts w:ascii="Times New Roman" w:hAnsi="Times New Roman" w:cs="Times New Roman"/>
          <w:sz w:val="24"/>
          <w:szCs w:val="24"/>
        </w:rPr>
        <w:t xml:space="preserve">properly </w:t>
      </w:r>
      <w:r w:rsidRPr="00936E59">
        <w:rPr>
          <w:rFonts w:ascii="Times New Roman" w:hAnsi="Times New Roman" w:cs="Times New Roman"/>
          <w:sz w:val="24"/>
          <w:szCs w:val="24"/>
        </w:rPr>
        <w:t xml:space="preserve">do </w:t>
      </w:r>
      <w:r w:rsidR="0012744C" w:rsidRPr="00936E59">
        <w:rPr>
          <w:rFonts w:ascii="Times New Roman" w:hAnsi="Times New Roman" w:cs="Times New Roman"/>
          <w:sz w:val="24"/>
          <w:szCs w:val="24"/>
        </w:rPr>
        <w:t>so</w:t>
      </w:r>
      <w:r w:rsidR="00707BCE" w:rsidRPr="00936E59">
        <w:rPr>
          <w:rFonts w:ascii="Times New Roman" w:hAnsi="Times New Roman" w:cs="Times New Roman"/>
          <w:sz w:val="24"/>
          <w:szCs w:val="24"/>
        </w:rPr>
        <w:t>.</w:t>
      </w:r>
      <w:r w:rsidR="0012744C" w:rsidRPr="00936E59">
        <w:rPr>
          <w:rFonts w:ascii="Times New Roman" w:hAnsi="Times New Roman" w:cs="Times New Roman"/>
          <w:sz w:val="24"/>
          <w:szCs w:val="24"/>
        </w:rPr>
        <w:t xml:space="preserve"> </w:t>
      </w:r>
      <w:r w:rsidR="009125EA" w:rsidRPr="00936E59">
        <w:rPr>
          <w:rFonts w:ascii="Times New Roman" w:hAnsi="Times New Roman" w:cs="Times New Roman"/>
          <w:sz w:val="24"/>
          <w:szCs w:val="24"/>
        </w:rPr>
        <w:t>The option, which it did not take</w:t>
      </w:r>
      <w:r w:rsidR="005C4430" w:rsidRPr="00936E59">
        <w:rPr>
          <w:rFonts w:ascii="Times New Roman" w:hAnsi="Times New Roman" w:cs="Times New Roman"/>
          <w:sz w:val="24"/>
          <w:szCs w:val="24"/>
        </w:rPr>
        <w:t xml:space="preserve"> up</w:t>
      </w:r>
      <w:r w:rsidR="0066085E" w:rsidRPr="00936E59">
        <w:rPr>
          <w:rFonts w:ascii="Times New Roman" w:hAnsi="Times New Roman" w:cs="Times New Roman"/>
          <w:sz w:val="24"/>
          <w:szCs w:val="24"/>
        </w:rPr>
        <w:t>, of resorting to r</w:t>
      </w:r>
      <w:r w:rsidR="009125EA" w:rsidRPr="00936E59">
        <w:rPr>
          <w:rFonts w:ascii="Times New Roman" w:hAnsi="Times New Roman" w:cs="Times New Roman"/>
          <w:sz w:val="24"/>
          <w:szCs w:val="24"/>
        </w:rPr>
        <w:t xml:space="preserve"> 229A (1) </w:t>
      </w:r>
      <w:r w:rsidR="00F346D8">
        <w:rPr>
          <w:rFonts w:ascii="Times New Roman" w:hAnsi="Times New Roman" w:cs="Times New Roman"/>
          <w:sz w:val="24"/>
          <w:szCs w:val="24"/>
        </w:rPr>
        <w:t xml:space="preserve">of the High Court Rules, 1971 </w:t>
      </w:r>
      <w:r w:rsidR="009125EA" w:rsidRPr="00936E59">
        <w:rPr>
          <w:rFonts w:ascii="Times New Roman" w:hAnsi="Times New Roman" w:cs="Times New Roman"/>
          <w:sz w:val="24"/>
          <w:szCs w:val="24"/>
        </w:rPr>
        <w:t xml:space="preserve">was clearly available to the respondent. </w:t>
      </w:r>
    </w:p>
    <w:p w:rsidR="009518D2" w:rsidRPr="00936E59" w:rsidRDefault="009518D2" w:rsidP="00F910B5">
      <w:pPr>
        <w:spacing w:after="0" w:line="240" w:lineRule="auto"/>
        <w:ind w:left="720"/>
        <w:jc w:val="both"/>
        <w:rPr>
          <w:rFonts w:ascii="Times New Roman" w:hAnsi="Times New Roman" w:cs="Times New Roman"/>
          <w:sz w:val="24"/>
          <w:szCs w:val="24"/>
        </w:rPr>
      </w:pPr>
    </w:p>
    <w:p w:rsidR="00920906" w:rsidRPr="00936E59" w:rsidRDefault="00920906" w:rsidP="009518D2">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[20]</w:t>
      </w:r>
      <w:r w:rsidRPr="00936E59">
        <w:rPr>
          <w:rFonts w:ascii="Times New Roman" w:hAnsi="Times New Roman" w:cs="Times New Roman"/>
          <w:sz w:val="24"/>
          <w:szCs w:val="24"/>
        </w:rPr>
        <w:tab/>
      </w:r>
      <w:r w:rsidR="003A3589" w:rsidRPr="00936E59">
        <w:rPr>
          <w:rFonts w:ascii="Times New Roman" w:hAnsi="Times New Roman" w:cs="Times New Roman"/>
          <w:sz w:val="24"/>
          <w:szCs w:val="24"/>
        </w:rPr>
        <w:t xml:space="preserve">In addition to this, a number of case authorities emphasise the fact that </w:t>
      </w:r>
      <w:r w:rsidR="00D85044" w:rsidRPr="00936E59">
        <w:rPr>
          <w:rFonts w:ascii="Times New Roman" w:hAnsi="Times New Roman" w:cs="Times New Roman"/>
          <w:sz w:val="24"/>
          <w:szCs w:val="24"/>
        </w:rPr>
        <w:t>the validity or otherwise of a deed of s</w:t>
      </w:r>
      <w:r w:rsidR="003A3589" w:rsidRPr="00936E59">
        <w:rPr>
          <w:rFonts w:ascii="Times New Roman" w:hAnsi="Times New Roman" w:cs="Times New Roman"/>
          <w:sz w:val="24"/>
          <w:szCs w:val="24"/>
        </w:rPr>
        <w:t xml:space="preserve">ettlement has to be challenged in proceedings specifically instituted for that purpose. </w:t>
      </w:r>
      <w:r w:rsidRPr="00936E59">
        <w:rPr>
          <w:rFonts w:ascii="Times New Roman" w:hAnsi="Times New Roman" w:cs="Times New Roman"/>
          <w:sz w:val="24"/>
          <w:szCs w:val="24"/>
        </w:rPr>
        <w:t xml:space="preserve">The appellant correctly argued that the Deed </w:t>
      </w:r>
      <w:r w:rsidR="00D85044" w:rsidRPr="00936E59">
        <w:rPr>
          <w:rFonts w:ascii="Times New Roman" w:hAnsi="Times New Roman" w:cs="Times New Roman"/>
          <w:sz w:val="24"/>
          <w:szCs w:val="24"/>
        </w:rPr>
        <w:t>was a compromise</w:t>
      </w:r>
      <w:r w:rsidRPr="00936E59">
        <w:rPr>
          <w:rFonts w:ascii="Times New Roman" w:hAnsi="Times New Roman" w:cs="Times New Roman"/>
          <w:sz w:val="24"/>
          <w:szCs w:val="24"/>
        </w:rPr>
        <w:t xml:space="preserve"> or </w:t>
      </w:r>
      <w:r w:rsidRPr="00936E59">
        <w:rPr>
          <w:rFonts w:ascii="Times New Roman" w:hAnsi="Times New Roman" w:cs="Times New Roman"/>
          <w:i/>
          <w:sz w:val="24"/>
          <w:szCs w:val="24"/>
        </w:rPr>
        <w:t>transactio</w:t>
      </w:r>
      <w:r w:rsidRPr="00936E59">
        <w:rPr>
          <w:rFonts w:ascii="Times New Roman" w:hAnsi="Times New Roman" w:cs="Times New Roman"/>
          <w:sz w:val="24"/>
          <w:szCs w:val="24"/>
        </w:rPr>
        <w:t xml:space="preserve"> entered into between the parties. A compromise was defined in the </w:t>
      </w:r>
      <w:r w:rsidRPr="00936E59">
        <w:rPr>
          <w:rFonts w:ascii="Times New Roman" w:hAnsi="Times New Roman" w:cs="Times New Roman"/>
          <w:i/>
          <w:sz w:val="24"/>
          <w:szCs w:val="24"/>
        </w:rPr>
        <w:t>Georgias &amp; Anor case (supra)</w:t>
      </w:r>
      <w:r w:rsidRPr="00936E59">
        <w:rPr>
          <w:rFonts w:ascii="Times New Roman" w:hAnsi="Times New Roman" w:cs="Times New Roman"/>
          <w:sz w:val="24"/>
          <w:szCs w:val="24"/>
        </w:rPr>
        <w:t xml:space="preserve"> at 496D in the following </w:t>
      </w:r>
      <w:r w:rsidR="005877E6" w:rsidRPr="00936E59">
        <w:rPr>
          <w:rFonts w:ascii="Times New Roman" w:hAnsi="Times New Roman" w:cs="Times New Roman"/>
          <w:sz w:val="24"/>
          <w:szCs w:val="24"/>
        </w:rPr>
        <w:t>words: -</w:t>
      </w:r>
    </w:p>
    <w:p w:rsidR="00920906" w:rsidRPr="00936E59" w:rsidRDefault="00920906" w:rsidP="009518D2">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t xml:space="preserve">“Compromise, or </w:t>
      </w:r>
      <w:r w:rsidRPr="00936E59">
        <w:rPr>
          <w:rFonts w:ascii="Times New Roman" w:hAnsi="Times New Roman" w:cs="Times New Roman"/>
          <w:i/>
          <w:sz w:val="24"/>
          <w:szCs w:val="24"/>
        </w:rPr>
        <w:t>transactio,</w:t>
      </w:r>
      <w:r w:rsidRPr="00936E59">
        <w:rPr>
          <w:rFonts w:ascii="Times New Roman" w:hAnsi="Times New Roman" w:cs="Times New Roman"/>
          <w:sz w:val="24"/>
          <w:szCs w:val="24"/>
        </w:rPr>
        <w:t xml:space="preserve"> is the settlement by agreement of disputed obligations, or of a lawsuit the issue of which is uncertain. The parties agree to regulate their intention in a particular way, each receding from his previous position and conceding something - either diminishing his claim or increasing his liability.” </w:t>
      </w:r>
    </w:p>
    <w:p w:rsidR="009518D2" w:rsidRPr="00936E59" w:rsidRDefault="009518D2" w:rsidP="006B2341">
      <w:pPr>
        <w:spacing w:after="0" w:line="480" w:lineRule="auto"/>
        <w:jc w:val="both"/>
        <w:rPr>
          <w:rFonts w:ascii="Times New Roman" w:hAnsi="Times New Roman" w:cs="Times New Roman"/>
          <w:sz w:val="24"/>
          <w:szCs w:val="24"/>
        </w:rPr>
      </w:pPr>
    </w:p>
    <w:p w:rsidR="00920906" w:rsidRPr="00936E59" w:rsidRDefault="0066085E" w:rsidP="004536F4">
      <w:pPr>
        <w:spacing w:line="240" w:lineRule="auto"/>
        <w:jc w:val="both"/>
        <w:rPr>
          <w:rFonts w:ascii="Times New Roman" w:hAnsi="Times New Roman" w:cs="Times New Roman"/>
          <w:sz w:val="24"/>
          <w:szCs w:val="24"/>
        </w:rPr>
      </w:pPr>
      <w:r w:rsidRPr="00936E59">
        <w:rPr>
          <w:rFonts w:ascii="Times New Roman" w:hAnsi="Times New Roman" w:cs="Times New Roman"/>
          <w:sz w:val="24"/>
          <w:szCs w:val="24"/>
        </w:rPr>
        <w:tab/>
      </w:r>
      <w:r w:rsidR="00920906" w:rsidRPr="00936E59">
        <w:rPr>
          <w:rFonts w:ascii="Times New Roman" w:hAnsi="Times New Roman" w:cs="Times New Roman"/>
          <w:sz w:val="24"/>
          <w:szCs w:val="24"/>
        </w:rPr>
        <w:t xml:space="preserve">At page 496E-G, </w:t>
      </w:r>
      <w:r w:rsidR="009364FC">
        <w:rPr>
          <w:rFonts w:ascii="Times New Roman" w:hAnsi="Times New Roman" w:cs="Times New Roman"/>
          <w:sz w:val="24"/>
          <w:szCs w:val="24"/>
        </w:rPr>
        <w:t>the c</w:t>
      </w:r>
      <w:r w:rsidR="00920906" w:rsidRPr="00936E59">
        <w:rPr>
          <w:rFonts w:ascii="Times New Roman" w:hAnsi="Times New Roman" w:cs="Times New Roman"/>
          <w:sz w:val="24"/>
          <w:szCs w:val="24"/>
        </w:rPr>
        <w:t>ourt in the same case further stated</w:t>
      </w:r>
      <w:r w:rsidR="004536F4" w:rsidRPr="00936E59">
        <w:rPr>
          <w:rFonts w:ascii="Times New Roman" w:hAnsi="Times New Roman" w:cs="Times New Roman"/>
          <w:sz w:val="24"/>
          <w:szCs w:val="24"/>
        </w:rPr>
        <w:t xml:space="preserve"> </w:t>
      </w:r>
      <w:r w:rsidR="00D85044" w:rsidRPr="00936E59">
        <w:rPr>
          <w:rFonts w:ascii="Times New Roman" w:hAnsi="Times New Roman" w:cs="Times New Roman"/>
          <w:sz w:val="24"/>
          <w:szCs w:val="24"/>
        </w:rPr>
        <w:t>that: -</w:t>
      </w:r>
      <w:r w:rsidRPr="00936E59">
        <w:rPr>
          <w:rFonts w:ascii="Times New Roman" w:hAnsi="Times New Roman" w:cs="Times New Roman"/>
          <w:sz w:val="24"/>
          <w:szCs w:val="24"/>
        </w:rPr>
        <w:t xml:space="preserve"> </w:t>
      </w:r>
    </w:p>
    <w:p w:rsidR="006B2341" w:rsidRDefault="00920906" w:rsidP="006B2341">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t xml:space="preserve">“The purpose of compromise is to end doubt and to avoid the inconvenience and risk inherent in resorting to the methods of resolving disputes.  Its effect is the same as </w:t>
      </w:r>
      <w:r w:rsidRPr="00B76F55">
        <w:rPr>
          <w:rFonts w:ascii="Times New Roman" w:hAnsi="Times New Roman" w:cs="Times New Roman"/>
          <w:i/>
          <w:sz w:val="24"/>
          <w:szCs w:val="24"/>
        </w:rPr>
        <w:t>res judicata</w:t>
      </w:r>
      <w:r w:rsidRPr="00936E59">
        <w:rPr>
          <w:rFonts w:ascii="Times New Roman" w:hAnsi="Times New Roman" w:cs="Times New Roman"/>
          <w:sz w:val="24"/>
          <w:szCs w:val="24"/>
        </w:rPr>
        <w:t xml:space="preserve"> on a judgment given by consent.  </w:t>
      </w:r>
      <w:r w:rsidRPr="00936E59">
        <w:rPr>
          <w:rFonts w:ascii="Times New Roman" w:hAnsi="Times New Roman" w:cs="Times New Roman"/>
          <w:b/>
          <w:sz w:val="24"/>
          <w:szCs w:val="24"/>
          <w:u w:val="single"/>
        </w:rPr>
        <w:t xml:space="preserve">It extinguishes </w:t>
      </w:r>
      <w:r w:rsidRPr="00936E59">
        <w:rPr>
          <w:rFonts w:ascii="Times New Roman" w:hAnsi="Times New Roman" w:cs="Times New Roman"/>
          <w:b/>
          <w:i/>
          <w:sz w:val="24"/>
          <w:szCs w:val="24"/>
          <w:u w:val="single"/>
        </w:rPr>
        <w:t>ipso jure</w:t>
      </w:r>
      <w:r w:rsidRPr="00936E59">
        <w:rPr>
          <w:rFonts w:ascii="Times New Roman" w:hAnsi="Times New Roman" w:cs="Times New Roman"/>
          <w:b/>
          <w:sz w:val="24"/>
          <w:szCs w:val="24"/>
          <w:u w:val="single"/>
        </w:rPr>
        <w:t xml:space="preserve"> any cause of action that previously may have existed between the parties, unless the right to rely thereon was reserved See </w:t>
      </w:r>
      <w:r w:rsidRPr="00B76F55">
        <w:rPr>
          <w:rFonts w:ascii="Times New Roman" w:hAnsi="Times New Roman" w:cs="Times New Roman"/>
          <w:b/>
          <w:i/>
          <w:sz w:val="24"/>
          <w:szCs w:val="24"/>
          <w:u w:val="single"/>
        </w:rPr>
        <w:t xml:space="preserve">Nagar v Nagar </w:t>
      </w:r>
      <w:r w:rsidRPr="00936E59">
        <w:rPr>
          <w:rFonts w:ascii="Times New Roman" w:hAnsi="Times New Roman" w:cs="Times New Roman"/>
          <w:b/>
          <w:sz w:val="24"/>
          <w:szCs w:val="24"/>
          <w:u w:val="single"/>
        </w:rPr>
        <w:t>1982 (2) SA 263 (ZH) at 268E-H.</w:t>
      </w:r>
      <w:r w:rsidRPr="00936E59">
        <w:rPr>
          <w:rFonts w:ascii="Times New Roman" w:hAnsi="Times New Roman" w:cs="Times New Roman"/>
          <w:sz w:val="24"/>
          <w:szCs w:val="24"/>
        </w:rPr>
        <w:t xml:space="preserve"> As it brings legal proceedings already instituted to an end, a party sued on a compromise </w:t>
      </w:r>
      <w:r w:rsidRPr="00936E59">
        <w:rPr>
          <w:rFonts w:ascii="Times New Roman" w:hAnsi="Times New Roman" w:cs="Times New Roman"/>
          <w:b/>
          <w:sz w:val="24"/>
          <w:szCs w:val="24"/>
        </w:rPr>
        <w:t xml:space="preserve">is not entitled to raise defences to the original cause of action. See </w:t>
      </w:r>
      <w:r w:rsidRPr="00B76F55">
        <w:rPr>
          <w:rFonts w:ascii="Times New Roman" w:hAnsi="Times New Roman" w:cs="Times New Roman"/>
          <w:b/>
          <w:i/>
          <w:sz w:val="24"/>
          <w:szCs w:val="24"/>
        </w:rPr>
        <w:t>Hamilton v van Zyl</w:t>
      </w:r>
      <w:r w:rsidRPr="00936E59">
        <w:rPr>
          <w:rFonts w:ascii="Times New Roman" w:hAnsi="Times New Roman" w:cs="Times New Roman"/>
          <w:b/>
          <w:sz w:val="24"/>
          <w:szCs w:val="24"/>
        </w:rPr>
        <w:t xml:space="preserve"> 1983 (4) SA 379 (E) at 383H. </w:t>
      </w:r>
      <w:r w:rsidRPr="00936E59">
        <w:rPr>
          <w:rFonts w:ascii="Times New Roman" w:hAnsi="Times New Roman" w:cs="Times New Roman"/>
          <w:sz w:val="24"/>
          <w:szCs w:val="24"/>
        </w:rPr>
        <w:t xml:space="preserve">But a compromise induced by fraud, duress, error, misrepresentation, or some other ground for rescission, </w:t>
      </w:r>
      <w:r w:rsidRPr="00936E59">
        <w:rPr>
          <w:rFonts w:ascii="Times New Roman" w:hAnsi="Times New Roman" w:cs="Times New Roman"/>
          <w:b/>
          <w:sz w:val="24"/>
          <w:szCs w:val="24"/>
          <w:u w:val="single"/>
        </w:rPr>
        <w:t>is voidable at the instance of the aggrieved party, even if made an order of court</w:t>
      </w:r>
      <w:r w:rsidR="004536F4" w:rsidRPr="00936E59">
        <w:rPr>
          <w:rFonts w:ascii="Times New Roman" w:hAnsi="Times New Roman" w:cs="Times New Roman"/>
          <w:b/>
          <w:sz w:val="24"/>
          <w:szCs w:val="24"/>
          <w:u w:val="single"/>
        </w:rPr>
        <w:t>.”</w:t>
      </w:r>
      <w:r w:rsidRPr="00936E59">
        <w:rPr>
          <w:rFonts w:ascii="Times New Roman" w:hAnsi="Times New Roman" w:cs="Times New Roman"/>
          <w:sz w:val="24"/>
          <w:szCs w:val="24"/>
        </w:rPr>
        <w:t xml:space="preserve"> </w:t>
      </w:r>
    </w:p>
    <w:p w:rsidR="00C121EC" w:rsidRDefault="00920906" w:rsidP="002F1789">
      <w:pPr>
        <w:spacing w:after="0" w:line="240" w:lineRule="auto"/>
        <w:ind w:left="1440"/>
        <w:jc w:val="both"/>
        <w:rPr>
          <w:rFonts w:ascii="Times New Roman" w:hAnsi="Times New Roman" w:cs="Times New Roman"/>
          <w:i/>
          <w:sz w:val="24"/>
          <w:szCs w:val="24"/>
        </w:rPr>
      </w:pPr>
      <w:r w:rsidRPr="00936E59">
        <w:rPr>
          <w:rFonts w:ascii="Times New Roman" w:hAnsi="Times New Roman" w:cs="Times New Roman"/>
          <w:i/>
          <w:sz w:val="24"/>
          <w:szCs w:val="24"/>
        </w:rPr>
        <w:t>(my emphasis)</w:t>
      </w:r>
      <w:r w:rsidR="00C121EC">
        <w:rPr>
          <w:rFonts w:ascii="Times New Roman" w:hAnsi="Times New Roman" w:cs="Times New Roman"/>
          <w:i/>
          <w:sz w:val="24"/>
          <w:szCs w:val="24"/>
        </w:rPr>
        <w:t>.</w:t>
      </w:r>
    </w:p>
    <w:p w:rsidR="008E75AA" w:rsidRPr="008E75AA" w:rsidRDefault="008E75AA" w:rsidP="008E75AA">
      <w:pPr>
        <w:spacing w:after="0" w:line="480" w:lineRule="auto"/>
        <w:ind w:left="1440"/>
        <w:jc w:val="both"/>
        <w:rPr>
          <w:rFonts w:ascii="Times New Roman" w:hAnsi="Times New Roman" w:cs="Times New Roman"/>
          <w:sz w:val="24"/>
          <w:szCs w:val="24"/>
        </w:rPr>
      </w:pPr>
    </w:p>
    <w:p w:rsidR="00920906" w:rsidRPr="00936E59" w:rsidRDefault="00920906" w:rsidP="004536F4">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lastRenderedPageBreak/>
        <w:t>[21]</w:t>
      </w:r>
      <w:r w:rsidRPr="00936E59">
        <w:rPr>
          <w:rFonts w:ascii="Times New Roman" w:hAnsi="Times New Roman" w:cs="Times New Roman"/>
          <w:sz w:val="24"/>
          <w:szCs w:val="24"/>
        </w:rPr>
        <w:tab/>
        <w:t xml:space="preserve">The </w:t>
      </w:r>
      <w:r w:rsidRPr="00936E59">
        <w:rPr>
          <w:rFonts w:ascii="Times New Roman" w:hAnsi="Times New Roman" w:cs="Times New Roman"/>
          <w:i/>
          <w:sz w:val="24"/>
          <w:szCs w:val="24"/>
        </w:rPr>
        <w:t>dictum</w:t>
      </w:r>
      <w:r w:rsidRPr="00936E59">
        <w:rPr>
          <w:rFonts w:ascii="Times New Roman" w:hAnsi="Times New Roman" w:cs="Times New Roman"/>
          <w:sz w:val="24"/>
          <w:szCs w:val="24"/>
        </w:rPr>
        <w:t xml:space="preserve"> in</w:t>
      </w:r>
      <w:r w:rsidRPr="00936E59">
        <w:rPr>
          <w:rFonts w:ascii="Times New Roman" w:hAnsi="Times New Roman" w:cs="Times New Roman"/>
          <w:i/>
          <w:sz w:val="24"/>
          <w:szCs w:val="24"/>
        </w:rPr>
        <w:t xml:space="preserve"> Kinch v Walcott </w:t>
      </w:r>
      <w:r w:rsidR="00D85044" w:rsidRPr="00936E59">
        <w:rPr>
          <w:rFonts w:ascii="Times New Roman" w:hAnsi="Times New Roman" w:cs="Times New Roman"/>
          <w:sz w:val="24"/>
          <w:szCs w:val="24"/>
        </w:rPr>
        <w:t>1929</w:t>
      </w:r>
      <w:r w:rsidRPr="00936E59">
        <w:rPr>
          <w:rFonts w:ascii="Times New Roman" w:hAnsi="Times New Roman" w:cs="Times New Roman"/>
          <w:sz w:val="24"/>
          <w:szCs w:val="24"/>
        </w:rPr>
        <w:t xml:space="preserve"> AC</w:t>
      </w:r>
      <w:r w:rsidR="00D85044" w:rsidRPr="00936E59">
        <w:rPr>
          <w:rFonts w:ascii="Times New Roman" w:hAnsi="Times New Roman" w:cs="Times New Roman"/>
          <w:sz w:val="24"/>
          <w:szCs w:val="24"/>
        </w:rPr>
        <w:t>,</w:t>
      </w:r>
      <w:r w:rsidRPr="00936E59">
        <w:rPr>
          <w:rFonts w:ascii="Times New Roman" w:hAnsi="Times New Roman" w:cs="Times New Roman"/>
          <w:i/>
          <w:sz w:val="24"/>
          <w:szCs w:val="24"/>
        </w:rPr>
        <w:t xml:space="preserve"> </w:t>
      </w:r>
      <w:r w:rsidRPr="00936E59">
        <w:rPr>
          <w:rFonts w:ascii="Times New Roman" w:hAnsi="Times New Roman" w:cs="Times New Roman"/>
          <w:sz w:val="24"/>
          <w:szCs w:val="24"/>
        </w:rPr>
        <w:t xml:space="preserve">at p 493 articulates the last point made above, in </w:t>
      </w:r>
      <w:r w:rsidR="004536F4" w:rsidRPr="00936E59">
        <w:rPr>
          <w:rFonts w:ascii="Times New Roman" w:hAnsi="Times New Roman" w:cs="Times New Roman"/>
          <w:sz w:val="24"/>
          <w:szCs w:val="24"/>
        </w:rPr>
        <w:t>more definite terms, as follows: -</w:t>
      </w:r>
    </w:p>
    <w:p w:rsidR="00920906" w:rsidRPr="00936E59" w:rsidRDefault="00920906" w:rsidP="004536F4">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t xml:space="preserve">“For such a purpose an order by consent, not discharged by mutual agreement, and remaining unreduced, is as effective as an order of the court made otherwise than by consent and not discharged on appeal.  A party bound by a consent order … must, when once it has been completed, obey it, </w:t>
      </w:r>
      <w:r w:rsidRPr="00936E59">
        <w:rPr>
          <w:rFonts w:ascii="Times New Roman" w:hAnsi="Times New Roman" w:cs="Times New Roman"/>
          <w:b/>
          <w:sz w:val="24"/>
          <w:szCs w:val="24"/>
          <w:u w:val="single"/>
        </w:rPr>
        <w:t>unless and until he can get it set aside in proceedings duly instituted for the purpose.</w:t>
      </w:r>
      <w:r w:rsidR="004536F4" w:rsidRPr="00936E59">
        <w:rPr>
          <w:rFonts w:ascii="Times New Roman" w:hAnsi="Times New Roman" w:cs="Times New Roman"/>
          <w:b/>
          <w:sz w:val="24"/>
          <w:szCs w:val="24"/>
          <w:u w:val="single"/>
        </w:rPr>
        <w:t>”</w:t>
      </w:r>
      <w:r w:rsidRPr="00936E59">
        <w:rPr>
          <w:rFonts w:ascii="Times New Roman" w:hAnsi="Times New Roman" w:cs="Times New Roman"/>
          <w:b/>
          <w:sz w:val="24"/>
          <w:szCs w:val="24"/>
          <w:u w:val="single"/>
        </w:rPr>
        <w:t xml:space="preserve">  </w:t>
      </w:r>
      <w:r w:rsidRPr="00936E59">
        <w:rPr>
          <w:rFonts w:ascii="Times New Roman" w:hAnsi="Times New Roman" w:cs="Times New Roman"/>
          <w:sz w:val="24"/>
          <w:szCs w:val="24"/>
        </w:rPr>
        <w:t>(</w:t>
      </w:r>
      <w:r w:rsidRPr="00936E59">
        <w:rPr>
          <w:rFonts w:ascii="Times New Roman" w:hAnsi="Times New Roman" w:cs="Times New Roman"/>
          <w:i/>
          <w:sz w:val="24"/>
          <w:szCs w:val="24"/>
        </w:rPr>
        <w:t>my emphasis</w:t>
      </w:r>
      <w:r w:rsidRPr="00936E59">
        <w:rPr>
          <w:rFonts w:ascii="Times New Roman" w:hAnsi="Times New Roman" w:cs="Times New Roman"/>
          <w:sz w:val="24"/>
          <w:szCs w:val="24"/>
        </w:rPr>
        <w:t xml:space="preserve">) </w:t>
      </w:r>
    </w:p>
    <w:p w:rsidR="009A7092" w:rsidRPr="00936E59" w:rsidRDefault="009A7092" w:rsidP="00F910B5">
      <w:pPr>
        <w:spacing w:after="0" w:line="480" w:lineRule="auto"/>
        <w:jc w:val="both"/>
        <w:rPr>
          <w:rFonts w:ascii="Times New Roman" w:hAnsi="Times New Roman" w:cs="Times New Roman"/>
          <w:sz w:val="24"/>
          <w:szCs w:val="24"/>
        </w:rPr>
      </w:pPr>
    </w:p>
    <w:p w:rsidR="004F7DC3" w:rsidRPr="00936E59" w:rsidRDefault="009A7092" w:rsidP="009A7092">
      <w:pPr>
        <w:spacing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ab/>
        <w:t xml:space="preserve">That a </w:t>
      </w:r>
      <w:r w:rsidRPr="00936E59">
        <w:rPr>
          <w:rFonts w:ascii="Times New Roman" w:hAnsi="Times New Roman" w:cs="Times New Roman"/>
          <w:i/>
          <w:sz w:val="24"/>
          <w:szCs w:val="24"/>
        </w:rPr>
        <w:t xml:space="preserve">transactio </w:t>
      </w:r>
      <w:r w:rsidRPr="00936E59">
        <w:rPr>
          <w:rFonts w:ascii="Times New Roman" w:hAnsi="Times New Roman" w:cs="Times New Roman"/>
          <w:sz w:val="24"/>
          <w:szCs w:val="24"/>
        </w:rPr>
        <w:t xml:space="preserve">is akin to an order by consent is highlighted in </w:t>
      </w:r>
      <w:r w:rsidR="00C121EC">
        <w:rPr>
          <w:rFonts w:ascii="Times New Roman" w:hAnsi="Times New Roman" w:cs="Times New Roman"/>
          <w:i/>
          <w:sz w:val="24"/>
          <w:szCs w:val="24"/>
        </w:rPr>
        <w:t xml:space="preserve">Gollach &amp; Gomperts (1967) </w:t>
      </w:r>
      <w:r w:rsidR="00DD4311">
        <w:rPr>
          <w:rFonts w:ascii="Times New Roman" w:hAnsi="Times New Roman" w:cs="Times New Roman"/>
          <w:i/>
          <w:sz w:val="24"/>
          <w:szCs w:val="24"/>
        </w:rPr>
        <w:t>(Pty</w:t>
      </w:r>
      <w:r w:rsidR="00F15D2B">
        <w:rPr>
          <w:rFonts w:ascii="Times New Roman" w:hAnsi="Times New Roman" w:cs="Times New Roman"/>
          <w:i/>
          <w:sz w:val="24"/>
          <w:szCs w:val="24"/>
        </w:rPr>
        <w:t>.</w:t>
      </w:r>
      <w:r w:rsidR="00DD4311">
        <w:rPr>
          <w:rFonts w:ascii="Times New Roman" w:hAnsi="Times New Roman" w:cs="Times New Roman"/>
          <w:i/>
          <w:sz w:val="24"/>
          <w:szCs w:val="24"/>
        </w:rPr>
        <w:t xml:space="preserve">) Ltd v Universal Mills &amp; Produce </w:t>
      </w:r>
      <w:r w:rsidR="00E73374">
        <w:rPr>
          <w:rFonts w:ascii="Times New Roman" w:hAnsi="Times New Roman" w:cs="Times New Roman"/>
          <w:i/>
          <w:sz w:val="24"/>
          <w:szCs w:val="24"/>
        </w:rPr>
        <w:t>Co.(Pty</w:t>
      </w:r>
      <w:r w:rsidR="00A6690F">
        <w:rPr>
          <w:rFonts w:ascii="Times New Roman" w:hAnsi="Times New Roman" w:cs="Times New Roman"/>
          <w:i/>
          <w:sz w:val="24"/>
          <w:szCs w:val="24"/>
        </w:rPr>
        <w:t>.</w:t>
      </w:r>
      <w:r w:rsidR="00E73374">
        <w:rPr>
          <w:rFonts w:ascii="Times New Roman" w:hAnsi="Times New Roman" w:cs="Times New Roman"/>
          <w:i/>
          <w:sz w:val="24"/>
          <w:szCs w:val="24"/>
        </w:rPr>
        <w:t>) Ltd</w:t>
      </w:r>
      <w:r w:rsidR="00DD4311">
        <w:rPr>
          <w:rFonts w:ascii="Times New Roman" w:hAnsi="Times New Roman" w:cs="Times New Roman"/>
          <w:i/>
          <w:sz w:val="24"/>
          <w:szCs w:val="24"/>
        </w:rPr>
        <w:t xml:space="preserve"> </w:t>
      </w:r>
      <w:r w:rsidR="00DD4311" w:rsidRPr="00936E59">
        <w:rPr>
          <w:rFonts w:ascii="Times New Roman" w:hAnsi="Times New Roman" w:cs="Times New Roman"/>
          <w:i/>
          <w:sz w:val="24"/>
          <w:szCs w:val="24"/>
        </w:rPr>
        <w:t>&amp;</w:t>
      </w:r>
      <w:r w:rsidR="00DD4311">
        <w:rPr>
          <w:rFonts w:ascii="Times New Roman" w:hAnsi="Times New Roman" w:cs="Times New Roman"/>
          <w:i/>
          <w:sz w:val="24"/>
          <w:szCs w:val="24"/>
        </w:rPr>
        <w:t xml:space="preserve"> ORS </w:t>
      </w:r>
      <w:r w:rsidRPr="00936E59">
        <w:rPr>
          <w:rFonts w:ascii="Times New Roman" w:hAnsi="Times New Roman" w:cs="Times New Roman"/>
          <w:sz w:val="24"/>
          <w:szCs w:val="24"/>
        </w:rPr>
        <w:t>1978(</w:t>
      </w:r>
      <w:r w:rsidR="00DD4311">
        <w:rPr>
          <w:rFonts w:ascii="Times New Roman" w:hAnsi="Times New Roman" w:cs="Times New Roman"/>
          <w:sz w:val="24"/>
          <w:szCs w:val="24"/>
        </w:rPr>
        <w:t>1) SA 914</w:t>
      </w:r>
      <w:r w:rsidR="004536F4" w:rsidRPr="00936E59">
        <w:rPr>
          <w:rFonts w:ascii="Times New Roman" w:hAnsi="Times New Roman" w:cs="Times New Roman"/>
          <w:sz w:val="24"/>
          <w:szCs w:val="24"/>
        </w:rPr>
        <w:t xml:space="preserve">, as </w:t>
      </w:r>
      <w:r w:rsidR="00AB1CEB" w:rsidRPr="00936E59">
        <w:rPr>
          <w:rFonts w:ascii="Times New Roman" w:hAnsi="Times New Roman" w:cs="Times New Roman"/>
          <w:sz w:val="24"/>
          <w:szCs w:val="24"/>
        </w:rPr>
        <w:t>follows: -</w:t>
      </w:r>
    </w:p>
    <w:p w:rsidR="004F7DC3" w:rsidRPr="00936E59" w:rsidRDefault="004536F4" w:rsidP="004536F4">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t>“</w:t>
      </w:r>
      <w:r w:rsidR="004F7DC3" w:rsidRPr="00936E59">
        <w:rPr>
          <w:rFonts w:ascii="Times New Roman" w:hAnsi="Times New Roman" w:cs="Times New Roman"/>
          <w:sz w:val="24"/>
          <w:szCs w:val="24"/>
        </w:rPr>
        <w:t xml:space="preserve">It appears to me that a </w:t>
      </w:r>
      <w:r w:rsidR="004F7DC3" w:rsidRPr="00936E59">
        <w:rPr>
          <w:rFonts w:ascii="Times New Roman" w:hAnsi="Times New Roman" w:cs="Times New Roman"/>
          <w:i/>
          <w:sz w:val="24"/>
          <w:szCs w:val="24"/>
        </w:rPr>
        <w:t>transactio</w:t>
      </w:r>
      <w:r w:rsidR="004F7DC3" w:rsidRPr="00936E59">
        <w:rPr>
          <w:rFonts w:ascii="Times New Roman" w:hAnsi="Times New Roman" w:cs="Times New Roman"/>
          <w:sz w:val="24"/>
          <w:szCs w:val="24"/>
        </w:rPr>
        <w:t xml:space="preserve"> is most closely equivalent t</w:t>
      </w:r>
      <w:r w:rsidR="005953E5" w:rsidRPr="00936E59">
        <w:rPr>
          <w:rFonts w:ascii="Times New Roman" w:hAnsi="Times New Roman" w:cs="Times New Roman"/>
          <w:sz w:val="24"/>
          <w:szCs w:val="24"/>
        </w:rPr>
        <w:t>o</w:t>
      </w:r>
      <w:r w:rsidR="004F7DC3" w:rsidRPr="00936E59">
        <w:rPr>
          <w:rFonts w:ascii="Times New Roman" w:hAnsi="Times New Roman" w:cs="Times New Roman"/>
          <w:sz w:val="24"/>
          <w:szCs w:val="24"/>
        </w:rPr>
        <w:t xml:space="preserve"> a consent judgment….</w:t>
      </w:r>
      <w:r w:rsidRPr="00936E59">
        <w:rPr>
          <w:rFonts w:ascii="Times New Roman" w:hAnsi="Times New Roman" w:cs="Times New Roman"/>
          <w:sz w:val="24"/>
          <w:szCs w:val="24"/>
        </w:rPr>
        <w:t xml:space="preserve"> </w:t>
      </w:r>
      <w:r w:rsidR="004F7DC3" w:rsidRPr="00936E59">
        <w:rPr>
          <w:rFonts w:ascii="Times New Roman" w:hAnsi="Times New Roman" w:cs="Times New Roman"/>
          <w:sz w:val="24"/>
          <w:szCs w:val="24"/>
        </w:rPr>
        <w:t>Such a judgment could be successfully attacked on the very grounds which would justify rescission of the a</w:t>
      </w:r>
      <w:r w:rsidRPr="00936E59">
        <w:rPr>
          <w:rFonts w:ascii="Times New Roman" w:hAnsi="Times New Roman" w:cs="Times New Roman"/>
          <w:sz w:val="24"/>
          <w:szCs w:val="24"/>
        </w:rPr>
        <w:t>greement to consent to judgment.”</w:t>
      </w:r>
    </w:p>
    <w:p w:rsidR="004F7DC3" w:rsidRPr="00936E59" w:rsidRDefault="004F7DC3" w:rsidP="004536F4">
      <w:pPr>
        <w:spacing w:after="0" w:line="480" w:lineRule="auto"/>
        <w:jc w:val="both"/>
        <w:rPr>
          <w:rFonts w:ascii="Times New Roman" w:hAnsi="Times New Roman" w:cs="Times New Roman"/>
          <w:sz w:val="24"/>
          <w:szCs w:val="24"/>
        </w:rPr>
      </w:pPr>
    </w:p>
    <w:p w:rsidR="004536F4" w:rsidRDefault="004F7DC3" w:rsidP="008E75AA">
      <w:pPr>
        <w:spacing w:after="0" w:line="480" w:lineRule="auto"/>
        <w:ind w:left="720" w:hanging="720"/>
        <w:jc w:val="both"/>
        <w:rPr>
          <w:rFonts w:ascii="Times New Roman" w:hAnsi="Times New Roman" w:cs="Times New Roman"/>
          <w:i/>
          <w:sz w:val="24"/>
          <w:szCs w:val="24"/>
        </w:rPr>
      </w:pPr>
      <w:r w:rsidRPr="00936E59">
        <w:rPr>
          <w:rFonts w:ascii="Times New Roman" w:hAnsi="Times New Roman" w:cs="Times New Roman"/>
          <w:sz w:val="24"/>
          <w:szCs w:val="24"/>
        </w:rPr>
        <w:t>[</w:t>
      </w:r>
      <w:r w:rsidR="00920906" w:rsidRPr="00936E59">
        <w:rPr>
          <w:rFonts w:ascii="Times New Roman" w:hAnsi="Times New Roman" w:cs="Times New Roman"/>
          <w:sz w:val="24"/>
          <w:szCs w:val="24"/>
        </w:rPr>
        <w:t>2</w:t>
      </w:r>
      <w:r w:rsidR="005953E5" w:rsidRPr="00936E59">
        <w:rPr>
          <w:rFonts w:ascii="Times New Roman" w:hAnsi="Times New Roman" w:cs="Times New Roman"/>
          <w:sz w:val="24"/>
          <w:szCs w:val="24"/>
        </w:rPr>
        <w:t>2</w:t>
      </w:r>
      <w:r w:rsidR="00920906" w:rsidRPr="00936E59">
        <w:rPr>
          <w:rFonts w:ascii="Times New Roman" w:hAnsi="Times New Roman" w:cs="Times New Roman"/>
          <w:sz w:val="24"/>
          <w:szCs w:val="24"/>
        </w:rPr>
        <w:t>]</w:t>
      </w:r>
      <w:r w:rsidR="00920906" w:rsidRPr="00936E59">
        <w:rPr>
          <w:rFonts w:ascii="Times New Roman" w:hAnsi="Times New Roman" w:cs="Times New Roman"/>
          <w:sz w:val="24"/>
          <w:szCs w:val="24"/>
        </w:rPr>
        <w:tab/>
        <w:t xml:space="preserve">As is evident </w:t>
      </w:r>
      <w:r w:rsidR="00920906" w:rsidRPr="00936E59">
        <w:rPr>
          <w:rFonts w:ascii="Times New Roman" w:hAnsi="Times New Roman" w:cs="Times New Roman"/>
          <w:i/>
          <w:sz w:val="24"/>
          <w:szCs w:val="24"/>
        </w:rPr>
        <w:t>in casu</w:t>
      </w:r>
      <w:r w:rsidR="00920906" w:rsidRPr="00936E59">
        <w:rPr>
          <w:rFonts w:ascii="Times New Roman" w:hAnsi="Times New Roman" w:cs="Times New Roman"/>
          <w:sz w:val="24"/>
          <w:szCs w:val="24"/>
        </w:rPr>
        <w:t xml:space="preserve"> the respondent, who clearly was the aggrieved party in relation to the validity or otherwise of the Deed, sought to challenge its validity in an affidavit meant to oppose the chamber application for a default judgment against it. The respondent thus did not seek to have the Deed set aside in proceedings duly instituted for th</w:t>
      </w:r>
      <w:r w:rsidR="005953E5" w:rsidRPr="00936E59">
        <w:rPr>
          <w:rFonts w:ascii="Times New Roman" w:hAnsi="Times New Roman" w:cs="Times New Roman"/>
          <w:sz w:val="24"/>
          <w:szCs w:val="24"/>
        </w:rPr>
        <w:t>at</w:t>
      </w:r>
      <w:r w:rsidR="00920906" w:rsidRPr="00936E59">
        <w:rPr>
          <w:rFonts w:ascii="Times New Roman" w:hAnsi="Times New Roman" w:cs="Times New Roman"/>
          <w:sz w:val="24"/>
          <w:szCs w:val="24"/>
        </w:rPr>
        <w:t xml:space="preserve"> purpose. It also improperly sought to raise defences to the original and extinguished cause of action between the parties. It was th</w:t>
      </w:r>
      <w:r w:rsidR="00710B12" w:rsidRPr="00936E59">
        <w:rPr>
          <w:rFonts w:ascii="Times New Roman" w:hAnsi="Times New Roman" w:cs="Times New Roman"/>
          <w:sz w:val="24"/>
          <w:szCs w:val="24"/>
        </w:rPr>
        <w:t>erefore</w:t>
      </w:r>
      <w:r w:rsidR="00920906" w:rsidRPr="00936E59">
        <w:rPr>
          <w:rFonts w:ascii="Times New Roman" w:hAnsi="Times New Roman" w:cs="Times New Roman"/>
          <w:sz w:val="24"/>
          <w:szCs w:val="24"/>
        </w:rPr>
        <w:t xml:space="preserve"> a mis</w:t>
      </w:r>
      <w:r w:rsidR="005C4430" w:rsidRPr="00936E59">
        <w:rPr>
          <w:rFonts w:ascii="Times New Roman" w:hAnsi="Times New Roman" w:cs="Times New Roman"/>
          <w:sz w:val="24"/>
          <w:szCs w:val="24"/>
        </w:rPr>
        <w:t>-</w:t>
      </w:r>
      <w:r w:rsidR="00920906" w:rsidRPr="00936E59">
        <w:rPr>
          <w:rFonts w:ascii="Times New Roman" w:hAnsi="Times New Roman" w:cs="Times New Roman"/>
          <w:sz w:val="24"/>
          <w:szCs w:val="24"/>
        </w:rPr>
        <w:t xml:space="preserve">direction for the court to allow the respondent to do so against the dictates of </w:t>
      </w:r>
      <w:r w:rsidRPr="00936E59">
        <w:rPr>
          <w:rFonts w:ascii="Times New Roman" w:hAnsi="Times New Roman" w:cs="Times New Roman"/>
          <w:sz w:val="24"/>
          <w:szCs w:val="24"/>
        </w:rPr>
        <w:t xml:space="preserve">procedural law and </w:t>
      </w:r>
      <w:r w:rsidR="00920906" w:rsidRPr="00936E59">
        <w:rPr>
          <w:rFonts w:ascii="Times New Roman" w:hAnsi="Times New Roman" w:cs="Times New Roman"/>
          <w:sz w:val="24"/>
          <w:szCs w:val="24"/>
        </w:rPr>
        <w:t xml:space="preserve">authorities on the matter </w:t>
      </w:r>
      <w:r w:rsidR="005C4430" w:rsidRPr="00936E59">
        <w:rPr>
          <w:rFonts w:ascii="Times New Roman" w:hAnsi="Times New Roman" w:cs="Times New Roman"/>
          <w:sz w:val="24"/>
          <w:szCs w:val="24"/>
        </w:rPr>
        <w:t xml:space="preserve">(See </w:t>
      </w:r>
      <w:r w:rsidR="002C5D0B" w:rsidRPr="00936E59">
        <w:rPr>
          <w:rFonts w:ascii="Times New Roman" w:hAnsi="Times New Roman" w:cs="Times New Roman"/>
          <w:i/>
          <w:sz w:val="24"/>
          <w:szCs w:val="24"/>
        </w:rPr>
        <w:t>Hamilton and Van Zyl</w:t>
      </w:r>
      <w:r w:rsidR="002C5D0B" w:rsidRPr="00936E59">
        <w:rPr>
          <w:rFonts w:ascii="Times New Roman" w:hAnsi="Times New Roman" w:cs="Times New Roman"/>
          <w:sz w:val="24"/>
          <w:szCs w:val="24"/>
        </w:rPr>
        <w:t xml:space="preserve"> </w:t>
      </w:r>
      <w:r w:rsidR="005C4430" w:rsidRPr="00936E59">
        <w:rPr>
          <w:rFonts w:ascii="Times New Roman" w:hAnsi="Times New Roman" w:cs="Times New Roman"/>
          <w:i/>
          <w:sz w:val="24"/>
          <w:szCs w:val="24"/>
        </w:rPr>
        <w:t>(supra))</w:t>
      </w:r>
    </w:p>
    <w:p w:rsidR="008E75AA" w:rsidRPr="008E75AA" w:rsidRDefault="008E75AA" w:rsidP="008E75AA">
      <w:pPr>
        <w:spacing w:after="0" w:line="480" w:lineRule="auto"/>
        <w:ind w:left="720" w:hanging="720"/>
        <w:jc w:val="both"/>
        <w:rPr>
          <w:rFonts w:ascii="Times New Roman" w:hAnsi="Times New Roman" w:cs="Times New Roman"/>
          <w:i/>
          <w:sz w:val="24"/>
          <w:szCs w:val="24"/>
        </w:rPr>
      </w:pPr>
    </w:p>
    <w:p w:rsidR="00F15D2B" w:rsidRDefault="004F7DC3" w:rsidP="00F15D2B">
      <w:pPr>
        <w:spacing w:after="0" w:line="480" w:lineRule="auto"/>
        <w:ind w:left="720" w:hanging="720"/>
        <w:jc w:val="both"/>
        <w:rPr>
          <w:rFonts w:ascii="Times New Roman" w:hAnsi="Times New Roman" w:cs="Times New Roman"/>
          <w:i/>
          <w:sz w:val="24"/>
          <w:szCs w:val="24"/>
        </w:rPr>
      </w:pPr>
      <w:r w:rsidRPr="00936E59">
        <w:rPr>
          <w:rFonts w:ascii="Times New Roman" w:hAnsi="Times New Roman" w:cs="Times New Roman"/>
          <w:sz w:val="24"/>
          <w:szCs w:val="24"/>
        </w:rPr>
        <w:t>[2</w:t>
      </w:r>
      <w:r w:rsidR="005953E5" w:rsidRPr="00936E59">
        <w:rPr>
          <w:rFonts w:ascii="Times New Roman" w:hAnsi="Times New Roman" w:cs="Times New Roman"/>
          <w:sz w:val="24"/>
          <w:szCs w:val="24"/>
        </w:rPr>
        <w:t>3</w:t>
      </w:r>
      <w:r w:rsidRPr="00936E59">
        <w:rPr>
          <w:rFonts w:ascii="Times New Roman" w:hAnsi="Times New Roman" w:cs="Times New Roman"/>
          <w:sz w:val="24"/>
          <w:szCs w:val="24"/>
        </w:rPr>
        <w:t>]</w:t>
      </w:r>
      <w:r w:rsidR="00920906" w:rsidRPr="00936E59">
        <w:rPr>
          <w:rFonts w:ascii="Times New Roman" w:hAnsi="Times New Roman" w:cs="Times New Roman"/>
          <w:sz w:val="24"/>
          <w:szCs w:val="24"/>
        </w:rPr>
        <w:t xml:space="preserve"> </w:t>
      </w:r>
      <w:r w:rsidR="00B76F55">
        <w:rPr>
          <w:rFonts w:ascii="Times New Roman" w:hAnsi="Times New Roman" w:cs="Times New Roman"/>
          <w:sz w:val="24"/>
          <w:szCs w:val="24"/>
        </w:rPr>
        <w:tab/>
      </w:r>
      <w:r w:rsidR="00920906" w:rsidRPr="00936E59">
        <w:rPr>
          <w:rFonts w:ascii="Times New Roman" w:hAnsi="Times New Roman" w:cs="Times New Roman"/>
          <w:sz w:val="24"/>
          <w:szCs w:val="24"/>
        </w:rPr>
        <w:t xml:space="preserve">The upshot of it all is that the respondent failed to </w:t>
      </w:r>
      <w:r w:rsidR="005C4430" w:rsidRPr="00936E59">
        <w:rPr>
          <w:rFonts w:ascii="Times New Roman" w:hAnsi="Times New Roman" w:cs="Times New Roman"/>
          <w:sz w:val="24"/>
          <w:szCs w:val="24"/>
        </w:rPr>
        <w:t xml:space="preserve">properly </w:t>
      </w:r>
      <w:r w:rsidR="00920906" w:rsidRPr="00936E59">
        <w:rPr>
          <w:rFonts w:ascii="Times New Roman" w:hAnsi="Times New Roman" w:cs="Times New Roman"/>
          <w:sz w:val="24"/>
          <w:szCs w:val="24"/>
        </w:rPr>
        <w:t xml:space="preserve">defend the case </w:t>
      </w:r>
      <w:r w:rsidR="005C4430" w:rsidRPr="00936E59">
        <w:rPr>
          <w:rFonts w:ascii="Times New Roman" w:hAnsi="Times New Roman" w:cs="Times New Roman"/>
          <w:sz w:val="24"/>
          <w:szCs w:val="24"/>
        </w:rPr>
        <w:t>that it had to meet.</w:t>
      </w:r>
      <w:r w:rsidR="00920906" w:rsidRPr="00936E59">
        <w:rPr>
          <w:rFonts w:ascii="Times New Roman" w:hAnsi="Times New Roman" w:cs="Times New Roman"/>
          <w:sz w:val="24"/>
          <w:szCs w:val="24"/>
        </w:rPr>
        <w:t xml:space="preserve"> </w:t>
      </w:r>
      <w:r w:rsidR="00B535DD" w:rsidRPr="00936E59">
        <w:rPr>
          <w:rFonts w:ascii="Times New Roman" w:hAnsi="Times New Roman" w:cs="Times New Roman"/>
          <w:sz w:val="24"/>
          <w:szCs w:val="24"/>
        </w:rPr>
        <w:t>The</w:t>
      </w:r>
      <w:r w:rsidR="00920906" w:rsidRPr="00936E59">
        <w:rPr>
          <w:rFonts w:ascii="Times New Roman" w:hAnsi="Times New Roman" w:cs="Times New Roman"/>
          <w:sz w:val="24"/>
          <w:szCs w:val="24"/>
        </w:rPr>
        <w:t xml:space="preserve"> defence it put up constituted matters that should have properly founded a counterclaim for the setting aside of the Deed in question. This approach was procedurally wrong, not least because it denied the appellant the opportunity to adduce </w:t>
      </w:r>
      <w:r w:rsidR="00920906" w:rsidRPr="00936E59">
        <w:rPr>
          <w:rFonts w:ascii="Times New Roman" w:hAnsi="Times New Roman" w:cs="Times New Roman"/>
          <w:sz w:val="24"/>
          <w:szCs w:val="24"/>
        </w:rPr>
        <w:lastRenderedPageBreak/>
        <w:t xml:space="preserve">evidence in a proper defence to what was effectively a counter claim mounted against it. </w:t>
      </w:r>
      <w:r w:rsidR="005C4430" w:rsidRPr="00936E59">
        <w:rPr>
          <w:rFonts w:ascii="Times New Roman" w:hAnsi="Times New Roman" w:cs="Times New Roman"/>
          <w:sz w:val="24"/>
          <w:szCs w:val="24"/>
        </w:rPr>
        <w:t>As already stated, the</w:t>
      </w:r>
      <w:r w:rsidR="00920906" w:rsidRPr="00936E59">
        <w:rPr>
          <w:rFonts w:ascii="Times New Roman" w:hAnsi="Times New Roman" w:cs="Times New Roman"/>
          <w:sz w:val="24"/>
          <w:szCs w:val="24"/>
        </w:rPr>
        <w:t xml:space="preserve"> respondent</w:t>
      </w:r>
      <w:r w:rsidR="00D85044" w:rsidRPr="00936E59">
        <w:rPr>
          <w:rFonts w:ascii="Times New Roman" w:hAnsi="Times New Roman" w:cs="Times New Roman"/>
          <w:sz w:val="24"/>
          <w:szCs w:val="24"/>
        </w:rPr>
        <w:t>,</w:t>
      </w:r>
      <w:r w:rsidR="00920906" w:rsidRPr="00936E59">
        <w:rPr>
          <w:rFonts w:ascii="Times New Roman" w:hAnsi="Times New Roman" w:cs="Times New Roman"/>
          <w:sz w:val="24"/>
          <w:szCs w:val="24"/>
        </w:rPr>
        <w:t xml:space="preserve"> after </w:t>
      </w:r>
      <w:r w:rsidR="005C4430" w:rsidRPr="00936E59">
        <w:rPr>
          <w:rFonts w:ascii="Times New Roman" w:hAnsi="Times New Roman" w:cs="Times New Roman"/>
          <w:sz w:val="24"/>
          <w:szCs w:val="24"/>
        </w:rPr>
        <w:t xml:space="preserve">properly </w:t>
      </w:r>
      <w:r w:rsidR="00920906" w:rsidRPr="00936E59">
        <w:rPr>
          <w:rFonts w:ascii="Times New Roman" w:hAnsi="Times New Roman" w:cs="Times New Roman"/>
          <w:sz w:val="24"/>
          <w:szCs w:val="24"/>
        </w:rPr>
        <w:t>opposing the c</w:t>
      </w:r>
      <w:r w:rsidR="005C4430" w:rsidRPr="00936E59">
        <w:rPr>
          <w:rFonts w:ascii="Times New Roman" w:hAnsi="Times New Roman" w:cs="Times New Roman"/>
          <w:sz w:val="24"/>
          <w:szCs w:val="24"/>
        </w:rPr>
        <w:t xml:space="preserve">hamber application in question, was at liberty to resort to </w:t>
      </w:r>
      <w:r w:rsidR="003437C3" w:rsidRPr="00936E59">
        <w:rPr>
          <w:rFonts w:ascii="Times New Roman" w:hAnsi="Times New Roman" w:cs="Times New Roman"/>
          <w:sz w:val="24"/>
          <w:szCs w:val="24"/>
        </w:rPr>
        <w:t>r</w:t>
      </w:r>
      <w:r w:rsidR="004536F4" w:rsidRPr="00936E59">
        <w:rPr>
          <w:rFonts w:ascii="Times New Roman" w:hAnsi="Times New Roman" w:cs="Times New Roman"/>
          <w:sz w:val="24"/>
          <w:szCs w:val="24"/>
        </w:rPr>
        <w:t xml:space="preserve"> </w:t>
      </w:r>
      <w:r w:rsidR="005C4430" w:rsidRPr="00936E59">
        <w:rPr>
          <w:rFonts w:ascii="Times New Roman" w:hAnsi="Times New Roman" w:cs="Times New Roman"/>
          <w:sz w:val="24"/>
          <w:szCs w:val="24"/>
        </w:rPr>
        <w:t>229A</w:t>
      </w:r>
      <w:r w:rsidR="004536F4" w:rsidRPr="00936E59">
        <w:rPr>
          <w:rFonts w:ascii="Times New Roman" w:hAnsi="Times New Roman" w:cs="Times New Roman"/>
          <w:sz w:val="24"/>
          <w:szCs w:val="24"/>
        </w:rPr>
        <w:t xml:space="preserve"> </w:t>
      </w:r>
      <w:r w:rsidR="005C4430" w:rsidRPr="00936E59">
        <w:rPr>
          <w:rFonts w:ascii="Times New Roman" w:hAnsi="Times New Roman" w:cs="Times New Roman"/>
          <w:sz w:val="24"/>
          <w:szCs w:val="24"/>
        </w:rPr>
        <w:t>(1) of the High Court Rules</w:t>
      </w:r>
      <w:r w:rsidR="00920906" w:rsidRPr="00936E59">
        <w:rPr>
          <w:rFonts w:ascii="Times New Roman" w:hAnsi="Times New Roman" w:cs="Times New Roman"/>
          <w:sz w:val="24"/>
          <w:szCs w:val="24"/>
        </w:rPr>
        <w:t xml:space="preserve"> </w:t>
      </w:r>
      <w:r w:rsidR="005C4430" w:rsidRPr="00936E59">
        <w:rPr>
          <w:rFonts w:ascii="Times New Roman" w:hAnsi="Times New Roman" w:cs="Times New Roman"/>
          <w:sz w:val="24"/>
          <w:szCs w:val="24"/>
        </w:rPr>
        <w:t xml:space="preserve">in seeking the setting aside of the Deed. </w:t>
      </w:r>
      <w:r w:rsidR="00920906" w:rsidRPr="00936E59">
        <w:rPr>
          <w:rFonts w:ascii="Times New Roman" w:hAnsi="Times New Roman" w:cs="Times New Roman"/>
          <w:sz w:val="24"/>
          <w:szCs w:val="24"/>
        </w:rPr>
        <w:t>Such claim would then have been seen in the light of having been formally and duly filed at the instance of the aggrieved pa</w:t>
      </w:r>
      <w:r w:rsidR="00D85044" w:rsidRPr="00936E59">
        <w:rPr>
          <w:rFonts w:ascii="Times New Roman" w:hAnsi="Times New Roman" w:cs="Times New Roman"/>
          <w:sz w:val="24"/>
          <w:szCs w:val="24"/>
        </w:rPr>
        <w:t>rty, that is, the respondent. (S</w:t>
      </w:r>
      <w:r w:rsidR="00920906" w:rsidRPr="00936E59">
        <w:rPr>
          <w:rFonts w:ascii="Times New Roman" w:hAnsi="Times New Roman" w:cs="Times New Roman"/>
          <w:sz w:val="24"/>
          <w:szCs w:val="24"/>
        </w:rPr>
        <w:t xml:space="preserve">ee </w:t>
      </w:r>
      <w:r w:rsidRPr="00936E59">
        <w:rPr>
          <w:rFonts w:ascii="Times New Roman" w:hAnsi="Times New Roman" w:cs="Times New Roman"/>
          <w:i/>
          <w:sz w:val="24"/>
          <w:szCs w:val="24"/>
        </w:rPr>
        <w:t>Georgias</w:t>
      </w:r>
      <w:r w:rsidR="00D85044" w:rsidRPr="00936E59">
        <w:rPr>
          <w:rFonts w:ascii="Times New Roman" w:hAnsi="Times New Roman" w:cs="Times New Roman"/>
          <w:i/>
          <w:sz w:val="24"/>
          <w:szCs w:val="24"/>
        </w:rPr>
        <w:t>’ case</w:t>
      </w:r>
      <w:r w:rsidRPr="00936E59">
        <w:rPr>
          <w:rFonts w:ascii="Times New Roman" w:hAnsi="Times New Roman" w:cs="Times New Roman"/>
          <w:i/>
          <w:sz w:val="24"/>
          <w:szCs w:val="24"/>
        </w:rPr>
        <w:t xml:space="preserve"> (supra))</w:t>
      </w:r>
      <w:r w:rsidR="002F1789">
        <w:rPr>
          <w:rFonts w:ascii="Times New Roman" w:hAnsi="Times New Roman" w:cs="Times New Roman"/>
          <w:i/>
          <w:sz w:val="24"/>
          <w:szCs w:val="24"/>
        </w:rPr>
        <w:t>.</w:t>
      </w:r>
    </w:p>
    <w:p w:rsidR="009364FC" w:rsidRPr="002F1789" w:rsidRDefault="009364FC" w:rsidP="002F1789">
      <w:pPr>
        <w:spacing w:after="0" w:line="480" w:lineRule="auto"/>
        <w:ind w:left="720" w:hanging="720"/>
        <w:jc w:val="both"/>
        <w:rPr>
          <w:rFonts w:ascii="Times New Roman" w:hAnsi="Times New Roman" w:cs="Times New Roman"/>
          <w:sz w:val="24"/>
          <w:szCs w:val="24"/>
        </w:rPr>
      </w:pPr>
    </w:p>
    <w:p w:rsidR="004536F4" w:rsidRPr="00936E59" w:rsidRDefault="004F7DC3" w:rsidP="004536F4">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[24]</w:t>
      </w:r>
      <w:r w:rsidRPr="00936E59">
        <w:rPr>
          <w:rFonts w:ascii="Times New Roman" w:hAnsi="Times New Roman" w:cs="Times New Roman"/>
          <w:sz w:val="24"/>
          <w:szCs w:val="24"/>
        </w:rPr>
        <w:tab/>
      </w:r>
      <w:r w:rsidR="00142424" w:rsidRPr="00936E59">
        <w:rPr>
          <w:rFonts w:ascii="Times New Roman" w:hAnsi="Times New Roman" w:cs="Times New Roman"/>
          <w:sz w:val="24"/>
          <w:szCs w:val="24"/>
        </w:rPr>
        <w:t xml:space="preserve">The court </w:t>
      </w:r>
      <w:r w:rsidR="00142424" w:rsidRPr="00936E59">
        <w:rPr>
          <w:rFonts w:ascii="Times New Roman" w:hAnsi="Times New Roman" w:cs="Times New Roman"/>
          <w:i/>
          <w:sz w:val="24"/>
          <w:szCs w:val="24"/>
        </w:rPr>
        <w:t>a quo</w:t>
      </w:r>
      <w:r w:rsidR="00142424" w:rsidRPr="00936E59">
        <w:rPr>
          <w:rFonts w:ascii="Times New Roman" w:hAnsi="Times New Roman" w:cs="Times New Roman"/>
          <w:sz w:val="24"/>
          <w:szCs w:val="24"/>
        </w:rPr>
        <w:t xml:space="preserve"> allowed</w:t>
      </w:r>
      <w:r w:rsidR="00285789" w:rsidRPr="00936E59">
        <w:rPr>
          <w:rFonts w:ascii="Times New Roman" w:hAnsi="Times New Roman" w:cs="Times New Roman"/>
          <w:sz w:val="24"/>
          <w:szCs w:val="24"/>
        </w:rPr>
        <w:t xml:space="preserve"> itself to be persuaded to find in favour of the respondent</w:t>
      </w:r>
      <w:r w:rsidR="00142424" w:rsidRPr="00936E59">
        <w:rPr>
          <w:rFonts w:ascii="Times New Roman" w:hAnsi="Times New Roman" w:cs="Times New Roman"/>
          <w:sz w:val="24"/>
          <w:szCs w:val="24"/>
        </w:rPr>
        <w:t xml:space="preserve">. This it did after making findings of fact to the effect that </w:t>
      </w:r>
      <w:r w:rsidR="001D1AD9" w:rsidRPr="00936E59">
        <w:rPr>
          <w:rFonts w:ascii="Times New Roman" w:hAnsi="Times New Roman" w:cs="Times New Roman"/>
          <w:sz w:val="24"/>
          <w:szCs w:val="24"/>
        </w:rPr>
        <w:t xml:space="preserve">the compromise was concluded on a mistaken basis, resulting in the respondent being overcharged on interest. </w:t>
      </w:r>
      <w:r w:rsidR="0075155E" w:rsidRPr="00936E59">
        <w:rPr>
          <w:rFonts w:ascii="Times New Roman" w:hAnsi="Times New Roman" w:cs="Times New Roman"/>
          <w:sz w:val="24"/>
          <w:szCs w:val="24"/>
        </w:rPr>
        <w:t xml:space="preserve">In terms </w:t>
      </w:r>
      <w:r w:rsidR="004536F4" w:rsidRPr="00936E59">
        <w:rPr>
          <w:rFonts w:ascii="Times New Roman" w:hAnsi="Times New Roman" w:cs="Times New Roman"/>
          <w:sz w:val="24"/>
          <w:szCs w:val="24"/>
        </w:rPr>
        <w:t>clause </w:t>
      </w:r>
      <w:r w:rsidR="001D1AD9" w:rsidRPr="00936E59">
        <w:rPr>
          <w:rFonts w:ascii="Times New Roman" w:hAnsi="Times New Roman" w:cs="Times New Roman"/>
          <w:sz w:val="24"/>
          <w:szCs w:val="24"/>
        </w:rPr>
        <w:t>2 of the</w:t>
      </w:r>
      <w:r w:rsidR="002C5D0B" w:rsidRPr="00936E59">
        <w:rPr>
          <w:rFonts w:ascii="Times New Roman" w:hAnsi="Times New Roman" w:cs="Times New Roman"/>
          <w:sz w:val="24"/>
          <w:szCs w:val="24"/>
        </w:rPr>
        <w:t xml:space="preserve"> </w:t>
      </w:r>
      <w:r w:rsidR="005953E5" w:rsidRPr="00936E59">
        <w:rPr>
          <w:rFonts w:ascii="Times New Roman" w:hAnsi="Times New Roman" w:cs="Times New Roman"/>
          <w:sz w:val="24"/>
          <w:szCs w:val="24"/>
        </w:rPr>
        <w:t>Deed</w:t>
      </w:r>
      <w:r w:rsidR="001D1AD9" w:rsidRPr="00936E59">
        <w:rPr>
          <w:rFonts w:ascii="Times New Roman" w:hAnsi="Times New Roman" w:cs="Times New Roman"/>
          <w:sz w:val="24"/>
          <w:szCs w:val="24"/>
        </w:rPr>
        <w:t xml:space="preserve">, the calculations of interest that the court was properly seized with were those based on the amount reflected in the Deed as outstanding, </w:t>
      </w:r>
      <w:r w:rsidR="001D1AD9" w:rsidRPr="00936E59">
        <w:rPr>
          <w:rFonts w:ascii="Times New Roman" w:hAnsi="Times New Roman" w:cs="Times New Roman"/>
          <w:i/>
          <w:sz w:val="24"/>
          <w:szCs w:val="24"/>
        </w:rPr>
        <w:t>minus</w:t>
      </w:r>
      <w:r w:rsidR="001D1AD9" w:rsidRPr="00936E59">
        <w:rPr>
          <w:rFonts w:ascii="Times New Roman" w:hAnsi="Times New Roman" w:cs="Times New Roman"/>
          <w:sz w:val="24"/>
          <w:szCs w:val="24"/>
        </w:rPr>
        <w:t xml:space="preserve"> the instalments paid by the respondent subsequent to the signing of the Deed. </w:t>
      </w:r>
      <w:r w:rsidR="0020484E" w:rsidRPr="00936E59">
        <w:rPr>
          <w:rFonts w:ascii="Times New Roman" w:hAnsi="Times New Roman" w:cs="Times New Roman"/>
          <w:sz w:val="24"/>
          <w:szCs w:val="24"/>
        </w:rPr>
        <w:t>Clause </w:t>
      </w:r>
      <w:r w:rsidR="00285789" w:rsidRPr="00936E59">
        <w:rPr>
          <w:rFonts w:ascii="Times New Roman" w:hAnsi="Times New Roman" w:cs="Times New Roman"/>
          <w:sz w:val="24"/>
          <w:szCs w:val="24"/>
        </w:rPr>
        <w:t xml:space="preserve">2, which formed the basis of the application before the court </w:t>
      </w:r>
      <w:r w:rsidR="00285789" w:rsidRPr="00936E59">
        <w:rPr>
          <w:rFonts w:ascii="Times New Roman" w:hAnsi="Times New Roman" w:cs="Times New Roman"/>
          <w:i/>
          <w:sz w:val="24"/>
          <w:szCs w:val="24"/>
        </w:rPr>
        <w:t>a quo</w:t>
      </w:r>
      <w:r w:rsidR="00285789" w:rsidRPr="00936E59">
        <w:rPr>
          <w:rFonts w:ascii="Times New Roman" w:hAnsi="Times New Roman" w:cs="Times New Roman"/>
          <w:sz w:val="24"/>
          <w:szCs w:val="24"/>
        </w:rPr>
        <w:t xml:space="preserve">, did not envisage a challenge to the validity of Deed. </w:t>
      </w:r>
      <w:r w:rsidR="003E392F" w:rsidRPr="00936E59">
        <w:rPr>
          <w:rFonts w:ascii="Times New Roman" w:hAnsi="Times New Roman" w:cs="Times New Roman"/>
          <w:sz w:val="24"/>
          <w:szCs w:val="24"/>
        </w:rPr>
        <w:t xml:space="preserve">In the absence of the respondent </w:t>
      </w:r>
      <w:r w:rsidR="0075155E" w:rsidRPr="00936E59">
        <w:rPr>
          <w:rFonts w:ascii="Times New Roman" w:hAnsi="Times New Roman" w:cs="Times New Roman"/>
          <w:sz w:val="24"/>
          <w:szCs w:val="24"/>
        </w:rPr>
        <w:t xml:space="preserve">having established </w:t>
      </w:r>
      <w:r w:rsidR="003E392F" w:rsidRPr="00936E59">
        <w:rPr>
          <w:rFonts w:ascii="Times New Roman" w:hAnsi="Times New Roman" w:cs="Times New Roman"/>
          <w:sz w:val="24"/>
          <w:szCs w:val="24"/>
        </w:rPr>
        <w:t xml:space="preserve">to </w:t>
      </w:r>
      <w:r w:rsidR="0075155E" w:rsidRPr="00936E59">
        <w:rPr>
          <w:rFonts w:ascii="Times New Roman" w:hAnsi="Times New Roman" w:cs="Times New Roman"/>
          <w:sz w:val="24"/>
          <w:szCs w:val="24"/>
        </w:rPr>
        <w:t xml:space="preserve">the court’s </w:t>
      </w:r>
      <w:r w:rsidR="003E392F" w:rsidRPr="00936E59">
        <w:rPr>
          <w:rFonts w:ascii="Times New Roman" w:hAnsi="Times New Roman" w:cs="Times New Roman"/>
          <w:sz w:val="24"/>
          <w:szCs w:val="24"/>
        </w:rPr>
        <w:t xml:space="preserve">satisfaction </w:t>
      </w:r>
      <w:r w:rsidR="0075155E" w:rsidRPr="00936E59">
        <w:rPr>
          <w:rFonts w:ascii="Times New Roman" w:hAnsi="Times New Roman" w:cs="Times New Roman"/>
          <w:sz w:val="24"/>
          <w:szCs w:val="24"/>
        </w:rPr>
        <w:t xml:space="preserve">that the appellant had not complied </w:t>
      </w:r>
      <w:r w:rsidR="004536F4" w:rsidRPr="00936E59">
        <w:rPr>
          <w:rFonts w:ascii="Times New Roman" w:hAnsi="Times New Roman" w:cs="Times New Roman"/>
          <w:sz w:val="24"/>
          <w:szCs w:val="24"/>
        </w:rPr>
        <w:t>with c</w:t>
      </w:r>
      <w:r w:rsidR="0075155E" w:rsidRPr="00936E59">
        <w:rPr>
          <w:rFonts w:ascii="Times New Roman" w:hAnsi="Times New Roman" w:cs="Times New Roman"/>
          <w:sz w:val="24"/>
          <w:szCs w:val="24"/>
        </w:rPr>
        <w:t xml:space="preserve">lause 2, </w:t>
      </w:r>
      <w:r w:rsidR="003E392F" w:rsidRPr="00936E59">
        <w:rPr>
          <w:rFonts w:ascii="Times New Roman" w:hAnsi="Times New Roman" w:cs="Times New Roman"/>
          <w:sz w:val="24"/>
          <w:szCs w:val="24"/>
        </w:rPr>
        <w:t>the court</w:t>
      </w:r>
      <w:r w:rsidR="00B06955" w:rsidRPr="00936E59">
        <w:rPr>
          <w:rFonts w:ascii="Times New Roman" w:hAnsi="Times New Roman" w:cs="Times New Roman"/>
          <w:sz w:val="24"/>
          <w:szCs w:val="24"/>
        </w:rPr>
        <w:t xml:space="preserve"> could not properly dismiss the application for the default judgment sought.</w:t>
      </w:r>
      <w:r w:rsidR="003E392F" w:rsidRPr="00936E59">
        <w:rPr>
          <w:rFonts w:ascii="Times New Roman" w:hAnsi="Times New Roman" w:cs="Times New Roman"/>
          <w:sz w:val="24"/>
          <w:szCs w:val="24"/>
        </w:rPr>
        <w:t xml:space="preserve"> </w:t>
      </w:r>
      <w:r w:rsidR="0093609F" w:rsidRPr="00936E59">
        <w:rPr>
          <w:rFonts w:ascii="Times New Roman" w:hAnsi="Times New Roman" w:cs="Times New Roman"/>
          <w:sz w:val="24"/>
          <w:szCs w:val="24"/>
        </w:rPr>
        <w:t>It follows from this that a determination of the matter</w:t>
      </w:r>
      <w:r w:rsidR="00BF77AD" w:rsidRPr="00936E59">
        <w:rPr>
          <w:rFonts w:ascii="Times New Roman" w:hAnsi="Times New Roman" w:cs="Times New Roman"/>
          <w:sz w:val="24"/>
          <w:szCs w:val="24"/>
        </w:rPr>
        <w:t>,</w:t>
      </w:r>
      <w:r w:rsidR="0093609F" w:rsidRPr="00936E59">
        <w:rPr>
          <w:rFonts w:ascii="Times New Roman" w:hAnsi="Times New Roman" w:cs="Times New Roman"/>
          <w:sz w:val="24"/>
          <w:szCs w:val="24"/>
        </w:rPr>
        <w:t xml:space="preserve"> on the basis of factors e</w:t>
      </w:r>
      <w:r w:rsidR="004536F4" w:rsidRPr="00936E59">
        <w:rPr>
          <w:rFonts w:ascii="Times New Roman" w:hAnsi="Times New Roman" w:cs="Times New Roman"/>
          <w:sz w:val="24"/>
          <w:szCs w:val="24"/>
        </w:rPr>
        <w:t>xtraneous to those outlined in c</w:t>
      </w:r>
      <w:r w:rsidR="0020484E" w:rsidRPr="00936E59">
        <w:rPr>
          <w:rFonts w:ascii="Times New Roman" w:hAnsi="Times New Roman" w:cs="Times New Roman"/>
          <w:sz w:val="24"/>
          <w:szCs w:val="24"/>
        </w:rPr>
        <w:t>lause </w:t>
      </w:r>
      <w:r w:rsidR="0093609F" w:rsidRPr="00936E59">
        <w:rPr>
          <w:rFonts w:ascii="Times New Roman" w:hAnsi="Times New Roman" w:cs="Times New Roman"/>
          <w:sz w:val="24"/>
          <w:szCs w:val="24"/>
        </w:rPr>
        <w:t>2 of the Deed, would</w:t>
      </w:r>
      <w:r w:rsidR="00BF77AD" w:rsidRPr="00936E59">
        <w:rPr>
          <w:rFonts w:ascii="Times New Roman" w:hAnsi="Times New Roman" w:cs="Times New Roman"/>
          <w:sz w:val="24"/>
          <w:szCs w:val="24"/>
        </w:rPr>
        <w:t xml:space="preserve"> and did</w:t>
      </w:r>
      <w:r w:rsidR="0093609F" w:rsidRPr="00936E59">
        <w:rPr>
          <w:rFonts w:ascii="Times New Roman" w:hAnsi="Times New Roman" w:cs="Times New Roman"/>
          <w:sz w:val="24"/>
          <w:szCs w:val="24"/>
        </w:rPr>
        <w:t xml:space="preserve"> </w:t>
      </w:r>
      <w:r w:rsidR="009E357E" w:rsidRPr="00936E59">
        <w:rPr>
          <w:rFonts w:ascii="Times New Roman" w:hAnsi="Times New Roman" w:cs="Times New Roman"/>
          <w:sz w:val="24"/>
          <w:szCs w:val="24"/>
        </w:rPr>
        <w:t xml:space="preserve">constitute the </w:t>
      </w:r>
      <w:r w:rsidR="00BF77AD" w:rsidRPr="00936E59">
        <w:rPr>
          <w:rFonts w:ascii="Times New Roman" w:hAnsi="Times New Roman" w:cs="Times New Roman"/>
          <w:sz w:val="24"/>
          <w:szCs w:val="24"/>
        </w:rPr>
        <w:t>determination by the court</w:t>
      </w:r>
      <w:r w:rsidR="009E357E" w:rsidRPr="00936E59">
        <w:rPr>
          <w:rFonts w:ascii="Times New Roman" w:hAnsi="Times New Roman" w:cs="Times New Roman"/>
          <w:sz w:val="24"/>
          <w:szCs w:val="24"/>
        </w:rPr>
        <w:t xml:space="preserve"> of a matter not properly before it.</w:t>
      </w:r>
    </w:p>
    <w:p w:rsidR="00F12F61" w:rsidRPr="00936E59" w:rsidRDefault="00F12F61" w:rsidP="004536F4">
      <w:pPr>
        <w:spacing w:after="0" w:line="480" w:lineRule="auto"/>
        <w:ind w:left="720" w:hanging="720"/>
        <w:jc w:val="both"/>
        <w:rPr>
          <w:rFonts w:ascii="Times New Roman" w:hAnsi="Times New Roman" w:cs="Times New Roman"/>
          <w:sz w:val="24"/>
          <w:szCs w:val="24"/>
        </w:rPr>
      </w:pPr>
    </w:p>
    <w:p w:rsidR="00170154" w:rsidRPr="00936E59" w:rsidRDefault="00F12F61" w:rsidP="004536F4">
      <w:pPr>
        <w:spacing w:line="480" w:lineRule="auto"/>
        <w:ind w:left="720" w:hanging="720"/>
        <w:jc w:val="both"/>
        <w:rPr>
          <w:rFonts w:ascii="Times New Roman" w:hAnsi="Times New Roman" w:cs="Times New Roman"/>
          <w:i/>
          <w:sz w:val="24"/>
          <w:szCs w:val="24"/>
        </w:rPr>
      </w:pPr>
      <w:r w:rsidRPr="00936E59">
        <w:rPr>
          <w:rFonts w:ascii="Times New Roman" w:hAnsi="Times New Roman" w:cs="Times New Roman"/>
          <w:sz w:val="24"/>
          <w:szCs w:val="24"/>
        </w:rPr>
        <w:t>[</w:t>
      </w:r>
      <w:r w:rsidR="004F7DC3" w:rsidRPr="00936E59">
        <w:rPr>
          <w:rFonts w:ascii="Times New Roman" w:hAnsi="Times New Roman" w:cs="Times New Roman"/>
          <w:sz w:val="24"/>
          <w:szCs w:val="24"/>
        </w:rPr>
        <w:t>25</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9E357E" w:rsidRPr="00936E59">
        <w:rPr>
          <w:rFonts w:ascii="Times New Roman" w:hAnsi="Times New Roman" w:cs="Times New Roman"/>
          <w:sz w:val="24"/>
          <w:szCs w:val="24"/>
        </w:rPr>
        <w:t xml:space="preserve">Courts are duty bound to determine matters placed before them, and not attempt to make a case for either side of the dispute. </w:t>
      </w:r>
      <w:r w:rsidR="004536F4" w:rsidRPr="00936E59">
        <w:rPr>
          <w:rFonts w:ascii="Times New Roman" w:hAnsi="Times New Roman" w:cs="Times New Roman"/>
          <w:sz w:val="24"/>
          <w:szCs w:val="24"/>
        </w:rPr>
        <w:t xml:space="preserve">GARWE JA </w:t>
      </w:r>
      <w:r w:rsidR="00B512F0" w:rsidRPr="00936E59">
        <w:rPr>
          <w:rFonts w:ascii="Times New Roman" w:hAnsi="Times New Roman" w:cs="Times New Roman"/>
          <w:sz w:val="24"/>
          <w:szCs w:val="24"/>
        </w:rPr>
        <w:t xml:space="preserve">quoting from the case of </w:t>
      </w:r>
      <w:r w:rsidR="00B512F0" w:rsidRPr="00936E59">
        <w:rPr>
          <w:rFonts w:ascii="Times New Roman" w:hAnsi="Times New Roman" w:cs="Times New Roman"/>
          <w:i/>
          <w:sz w:val="24"/>
          <w:szCs w:val="24"/>
        </w:rPr>
        <w:t>Jowell</w:t>
      </w:r>
      <w:r w:rsidR="009364FC">
        <w:rPr>
          <w:rFonts w:ascii="Times New Roman" w:hAnsi="Times New Roman" w:cs="Times New Roman"/>
          <w:i/>
          <w:sz w:val="24"/>
          <w:szCs w:val="24"/>
        </w:rPr>
        <w:t> </w:t>
      </w:r>
      <w:r w:rsidR="00B512F0" w:rsidRPr="00936E59">
        <w:rPr>
          <w:rFonts w:ascii="Times New Roman" w:hAnsi="Times New Roman" w:cs="Times New Roman"/>
          <w:i/>
          <w:sz w:val="24"/>
          <w:szCs w:val="24"/>
        </w:rPr>
        <w:t>v</w:t>
      </w:r>
      <w:r w:rsidR="004536F4" w:rsidRPr="00936E59">
        <w:rPr>
          <w:rFonts w:ascii="Times New Roman" w:hAnsi="Times New Roman" w:cs="Times New Roman"/>
          <w:i/>
          <w:sz w:val="24"/>
          <w:szCs w:val="24"/>
        </w:rPr>
        <w:t xml:space="preserve"> </w:t>
      </w:r>
      <w:r w:rsidR="00B512F0" w:rsidRPr="00936E59">
        <w:rPr>
          <w:rFonts w:ascii="Times New Roman" w:hAnsi="Times New Roman" w:cs="Times New Roman"/>
          <w:i/>
          <w:sz w:val="24"/>
          <w:szCs w:val="24"/>
        </w:rPr>
        <w:t>Bra</w:t>
      </w:r>
      <w:r w:rsidR="00B1038E" w:rsidRPr="00936E59">
        <w:rPr>
          <w:rFonts w:ascii="Times New Roman" w:hAnsi="Times New Roman" w:cs="Times New Roman"/>
          <w:i/>
          <w:sz w:val="24"/>
          <w:szCs w:val="24"/>
        </w:rPr>
        <w:t xml:space="preserve">mwell-Jones </w:t>
      </w:r>
      <w:r w:rsidR="00B1038E" w:rsidRPr="00936E59">
        <w:rPr>
          <w:rFonts w:ascii="Times New Roman" w:hAnsi="Times New Roman" w:cs="Times New Roman"/>
          <w:sz w:val="24"/>
          <w:szCs w:val="24"/>
        </w:rPr>
        <w:t>1998(</w:t>
      </w:r>
      <w:r w:rsidR="003437C3" w:rsidRPr="00936E59">
        <w:rPr>
          <w:rFonts w:ascii="Times New Roman" w:hAnsi="Times New Roman" w:cs="Times New Roman"/>
          <w:sz w:val="24"/>
          <w:szCs w:val="24"/>
        </w:rPr>
        <w:t>1) SA</w:t>
      </w:r>
      <w:r w:rsidR="00B1038E" w:rsidRPr="00936E59">
        <w:rPr>
          <w:rFonts w:ascii="Times New Roman" w:hAnsi="Times New Roman" w:cs="Times New Roman"/>
          <w:i/>
          <w:sz w:val="24"/>
          <w:szCs w:val="24"/>
        </w:rPr>
        <w:t xml:space="preserve"> </w:t>
      </w:r>
      <w:r w:rsidR="00B1038E" w:rsidRPr="00936E59">
        <w:rPr>
          <w:rFonts w:ascii="Times New Roman" w:hAnsi="Times New Roman" w:cs="Times New Roman"/>
          <w:sz w:val="24"/>
          <w:szCs w:val="24"/>
        </w:rPr>
        <w:t>836 at 898</w:t>
      </w:r>
      <w:r w:rsidR="00B512F0" w:rsidRPr="00936E59">
        <w:rPr>
          <w:rFonts w:ascii="Times New Roman" w:hAnsi="Times New Roman" w:cs="Times New Roman"/>
          <w:i/>
          <w:sz w:val="24"/>
          <w:szCs w:val="24"/>
        </w:rPr>
        <w:t>,</w:t>
      </w:r>
      <w:r w:rsidR="00B512F0" w:rsidRPr="00936E59">
        <w:rPr>
          <w:rFonts w:ascii="Times New Roman" w:hAnsi="Times New Roman" w:cs="Times New Roman"/>
          <w:sz w:val="24"/>
          <w:szCs w:val="24"/>
        </w:rPr>
        <w:t xml:space="preserve"> </w:t>
      </w:r>
      <w:r w:rsidR="00170154" w:rsidRPr="00936E59">
        <w:rPr>
          <w:rFonts w:ascii="Times New Roman" w:hAnsi="Times New Roman" w:cs="Times New Roman"/>
          <w:sz w:val="24"/>
          <w:szCs w:val="24"/>
        </w:rPr>
        <w:t>appositely emphasised this point thus in</w:t>
      </w:r>
      <w:r w:rsidR="004F7DC3" w:rsidRPr="00936E59">
        <w:rPr>
          <w:rFonts w:ascii="Times New Roman" w:hAnsi="Times New Roman" w:cs="Times New Roman"/>
          <w:sz w:val="24"/>
          <w:szCs w:val="24"/>
        </w:rPr>
        <w:t xml:space="preserve"> </w:t>
      </w:r>
      <w:r w:rsidR="004F7DC3" w:rsidRPr="00936E59">
        <w:rPr>
          <w:rFonts w:ascii="Times New Roman" w:hAnsi="Times New Roman" w:cs="Times New Roman"/>
          <w:i/>
          <w:sz w:val="24"/>
          <w:szCs w:val="24"/>
        </w:rPr>
        <w:t xml:space="preserve">Medlog Zimbabwe (Pvt) Ltd v Cost Benefit Holdings(Pvt)Ltd </w:t>
      </w:r>
      <w:r w:rsidR="004F7DC3" w:rsidRPr="00936E59">
        <w:rPr>
          <w:rFonts w:ascii="Times New Roman" w:hAnsi="Times New Roman" w:cs="Times New Roman"/>
          <w:sz w:val="24"/>
          <w:szCs w:val="24"/>
        </w:rPr>
        <w:t>SC 24-18</w:t>
      </w:r>
      <w:r w:rsidR="00B512F0" w:rsidRPr="00936E59">
        <w:rPr>
          <w:rFonts w:ascii="Times New Roman" w:hAnsi="Times New Roman" w:cs="Times New Roman"/>
          <w:sz w:val="24"/>
          <w:szCs w:val="24"/>
        </w:rPr>
        <w:t xml:space="preserve">, as </w:t>
      </w:r>
      <w:r w:rsidR="00380DBF" w:rsidRPr="00936E59">
        <w:rPr>
          <w:rFonts w:ascii="Times New Roman" w:hAnsi="Times New Roman" w:cs="Times New Roman"/>
          <w:sz w:val="24"/>
          <w:szCs w:val="24"/>
        </w:rPr>
        <w:t>follows</w:t>
      </w:r>
      <w:r w:rsidR="00380DBF" w:rsidRPr="00936E59">
        <w:rPr>
          <w:rFonts w:ascii="Times New Roman" w:hAnsi="Times New Roman" w:cs="Times New Roman"/>
          <w:i/>
          <w:sz w:val="24"/>
          <w:szCs w:val="24"/>
        </w:rPr>
        <w:t>: -</w:t>
      </w:r>
    </w:p>
    <w:p w:rsidR="00B512F0" w:rsidRPr="00936E59" w:rsidRDefault="002C0A94" w:rsidP="004536F4">
      <w:pPr>
        <w:spacing w:after="0" w:line="240" w:lineRule="auto"/>
        <w:ind w:left="1440"/>
        <w:jc w:val="both"/>
        <w:rPr>
          <w:rFonts w:ascii="Times New Roman" w:hAnsi="Times New Roman" w:cs="Times New Roman"/>
          <w:i/>
          <w:sz w:val="24"/>
          <w:szCs w:val="24"/>
        </w:rPr>
      </w:pPr>
      <w:r w:rsidRPr="00936E59">
        <w:rPr>
          <w:rFonts w:ascii="Times New Roman" w:hAnsi="Times New Roman" w:cs="Times New Roman"/>
          <w:sz w:val="24"/>
          <w:szCs w:val="24"/>
        </w:rPr>
        <w:lastRenderedPageBreak/>
        <w:t>“</w:t>
      </w:r>
      <w:r w:rsidR="00B512F0" w:rsidRPr="00936E59">
        <w:rPr>
          <w:rFonts w:ascii="Times New Roman" w:hAnsi="Times New Roman" w:cs="Times New Roman"/>
          <w:sz w:val="24"/>
          <w:szCs w:val="24"/>
        </w:rPr>
        <w:t>The court itself is as much bound by pleadings of the parties as they themselves. It is not part of the duty or function of the court to enter upon any enquiry into the case before it</w:t>
      </w:r>
      <w:r w:rsidR="00823108" w:rsidRPr="00936E59">
        <w:rPr>
          <w:rFonts w:ascii="Times New Roman" w:hAnsi="Times New Roman" w:cs="Times New Roman"/>
          <w:sz w:val="24"/>
          <w:szCs w:val="24"/>
        </w:rPr>
        <w:t xml:space="preserve"> </w:t>
      </w:r>
      <w:r w:rsidR="00B512F0" w:rsidRPr="00936E59">
        <w:rPr>
          <w:rFonts w:ascii="Times New Roman" w:hAnsi="Times New Roman" w:cs="Times New Roman"/>
          <w:sz w:val="24"/>
          <w:szCs w:val="24"/>
        </w:rPr>
        <w:t>other than to adjudicate</w:t>
      </w:r>
      <w:r w:rsidR="00823108" w:rsidRPr="00936E59">
        <w:rPr>
          <w:rFonts w:ascii="Times New Roman" w:hAnsi="Times New Roman" w:cs="Times New Roman"/>
          <w:sz w:val="24"/>
          <w:szCs w:val="24"/>
        </w:rPr>
        <w:t xml:space="preserve"> upon the specific matters in dispute which the parties have raised themselves by their pleadings. </w:t>
      </w:r>
      <w:r w:rsidRPr="00936E59">
        <w:rPr>
          <w:rFonts w:ascii="Times New Roman" w:hAnsi="Times New Roman" w:cs="Times New Roman"/>
          <w:b/>
          <w:sz w:val="24"/>
          <w:szCs w:val="24"/>
          <w:u w:val="single"/>
        </w:rPr>
        <w:t>Indeed,</w:t>
      </w:r>
      <w:r w:rsidR="00823108" w:rsidRPr="00936E59">
        <w:rPr>
          <w:rFonts w:ascii="Times New Roman" w:hAnsi="Times New Roman" w:cs="Times New Roman"/>
          <w:b/>
          <w:sz w:val="24"/>
          <w:szCs w:val="24"/>
          <w:u w:val="single"/>
        </w:rPr>
        <w:t xml:space="preserve"> the court would be acting contrary to its own character and nature if it were to pronounce upon any claim or defence not made by the parties</w:t>
      </w:r>
      <w:r w:rsidR="00B76F55" w:rsidRPr="00936E59">
        <w:rPr>
          <w:rFonts w:ascii="Times New Roman" w:hAnsi="Times New Roman" w:cs="Times New Roman"/>
          <w:i/>
          <w:sz w:val="24"/>
          <w:szCs w:val="24"/>
        </w:rPr>
        <w:t>.” (</w:t>
      </w:r>
      <w:r w:rsidR="00823108" w:rsidRPr="00936E59">
        <w:rPr>
          <w:rFonts w:ascii="Times New Roman" w:hAnsi="Times New Roman" w:cs="Times New Roman"/>
          <w:i/>
          <w:sz w:val="24"/>
          <w:szCs w:val="24"/>
        </w:rPr>
        <w:t>my emphasis)</w:t>
      </w:r>
    </w:p>
    <w:p w:rsidR="002C0A94" w:rsidRPr="00936E59" w:rsidRDefault="002C0A94" w:rsidP="002F1789">
      <w:pPr>
        <w:spacing w:after="0" w:line="480" w:lineRule="auto"/>
        <w:jc w:val="both"/>
        <w:rPr>
          <w:rFonts w:ascii="Times New Roman" w:hAnsi="Times New Roman" w:cs="Times New Roman"/>
          <w:b/>
          <w:sz w:val="24"/>
          <w:szCs w:val="24"/>
          <w:u w:val="single"/>
        </w:rPr>
      </w:pPr>
    </w:p>
    <w:p w:rsidR="00B75C0B" w:rsidRPr="00936E59" w:rsidRDefault="00270B58" w:rsidP="005953E5">
      <w:pPr>
        <w:spacing w:line="480" w:lineRule="auto"/>
        <w:ind w:left="720" w:hanging="720"/>
        <w:jc w:val="both"/>
        <w:rPr>
          <w:rFonts w:ascii="Times New Roman" w:hAnsi="Times New Roman" w:cs="Times New Roman"/>
          <w:sz w:val="24"/>
          <w:szCs w:val="24"/>
        </w:rPr>
      </w:pPr>
      <w:r w:rsidRPr="00936E59">
        <w:rPr>
          <w:rFonts w:ascii="Times New Roman" w:hAnsi="Times New Roman" w:cs="Times New Roman"/>
          <w:i/>
          <w:sz w:val="24"/>
          <w:szCs w:val="24"/>
        </w:rPr>
        <w:tab/>
      </w:r>
      <w:r w:rsidR="00F346D8">
        <w:rPr>
          <w:rFonts w:ascii="Times New Roman" w:hAnsi="Times New Roman" w:cs="Times New Roman"/>
          <w:sz w:val="24"/>
          <w:szCs w:val="24"/>
        </w:rPr>
        <w:t>The ‘defence’ put up by the</w:t>
      </w:r>
      <w:r w:rsidR="00C77F5B" w:rsidRPr="00936E59">
        <w:rPr>
          <w:rFonts w:ascii="Times New Roman" w:hAnsi="Times New Roman" w:cs="Times New Roman"/>
          <w:sz w:val="24"/>
          <w:szCs w:val="24"/>
        </w:rPr>
        <w:t xml:space="preserve"> respondent </w:t>
      </w:r>
      <w:r w:rsidR="00C77F5B" w:rsidRPr="00936E59">
        <w:rPr>
          <w:rFonts w:ascii="Times New Roman" w:hAnsi="Times New Roman" w:cs="Times New Roman"/>
          <w:i/>
          <w:sz w:val="24"/>
          <w:szCs w:val="24"/>
        </w:rPr>
        <w:t>in casu</w:t>
      </w:r>
      <w:r w:rsidR="00C77F5B" w:rsidRPr="00936E59">
        <w:rPr>
          <w:rFonts w:ascii="Times New Roman" w:hAnsi="Times New Roman" w:cs="Times New Roman"/>
          <w:sz w:val="24"/>
          <w:szCs w:val="24"/>
        </w:rPr>
        <w:t xml:space="preserve"> </w:t>
      </w:r>
      <w:r w:rsidR="00341530" w:rsidRPr="00936E59">
        <w:rPr>
          <w:rFonts w:ascii="Times New Roman" w:hAnsi="Times New Roman" w:cs="Times New Roman"/>
          <w:sz w:val="24"/>
          <w:szCs w:val="24"/>
        </w:rPr>
        <w:t xml:space="preserve">through the </w:t>
      </w:r>
      <w:r w:rsidR="00341530" w:rsidRPr="00045769">
        <w:rPr>
          <w:rFonts w:ascii="Times New Roman" w:hAnsi="Times New Roman" w:cs="Times New Roman"/>
          <w:i/>
          <w:sz w:val="24"/>
          <w:szCs w:val="24"/>
        </w:rPr>
        <w:t>medium</w:t>
      </w:r>
      <w:r w:rsidR="00341530" w:rsidRPr="00936E59">
        <w:rPr>
          <w:rFonts w:ascii="Times New Roman" w:hAnsi="Times New Roman" w:cs="Times New Roman"/>
          <w:sz w:val="24"/>
          <w:szCs w:val="24"/>
        </w:rPr>
        <w:t xml:space="preserve"> of its opposing papers</w:t>
      </w:r>
      <w:r w:rsidR="00F346D8">
        <w:rPr>
          <w:rFonts w:ascii="Times New Roman" w:hAnsi="Times New Roman" w:cs="Times New Roman"/>
          <w:sz w:val="24"/>
          <w:szCs w:val="24"/>
        </w:rPr>
        <w:t xml:space="preserve"> was in effect a counter claim for the setting aside of the Deed</w:t>
      </w:r>
      <w:r w:rsidR="00341530" w:rsidRPr="00936E59">
        <w:rPr>
          <w:rFonts w:ascii="Times New Roman" w:hAnsi="Times New Roman" w:cs="Times New Roman"/>
          <w:sz w:val="24"/>
          <w:szCs w:val="24"/>
        </w:rPr>
        <w:t xml:space="preserve">. The court went on to pronounce on the </w:t>
      </w:r>
      <w:r w:rsidR="00F346D8">
        <w:rPr>
          <w:rFonts w:ascii="Times New Roman" w:hAnsi="Times New Roman" w:cs="Times New Roman"/>
          <w:sz w:val="24"/>
          <w:szCs w:val="24"/>
        </w:rPr>
        <w:t xml:space="preserve">issues </w:t>
      </w:r>
      <w:r w:rsidR="00341530" w:rsidRPr="00936E59">
        <w:rPr>
          <w:rFonts w:ascii="Times New Roman" w:hAnsi="Times New Roman" w:cs="Times New Roman"/>
          <w:sz w:val="24"/>
          <w:szCs w:val="24"/>
        </w:rPr>
        <w:t xml:space="preserve">raised in that </w:t>
      </w:r>
      <w:r w:rsidR="00BD5228" w:rsidRPr="00936E59">
        <w:rPr>
          <w:rFonts w:ascii="Times New Roman" w:hAnsi="Times New Roman" w:cs="Times New Roman"/>
          <w:sz w:val="24"/>
          <w:szCs w:val="24"/>
        </w:rPr>
        <w:t>‘</w:t>
      </w:r>
      <w:r w:rsidR="00341530" w:rsidRPr="00936E59">
        <w:rPr>
          <w:rFonts w:ascii="Times New Roman" w:hAnsi="Times New Roman" w:cs="Times New Roman"/>
          <w:sz w:val="24"/>
          <w:szCs w:val="24"/>
        </w:rPr>
        <w:t>defence</w:t>
      </w:r>
      <w:r w:rsidR="00BD5228" w:rsidRPr="00936E59">
        <w:rPr>
          <w:rFonts w:ascii="Times New Roman" w:hAnsi="Times New Roman" w:cs="Times New Roman"/>
          <w:sz w:val="24"/>
          <w:szCs w:val="24"/>
        </w:rPr>
        <w:t>’</w:t>
      </w:r>
      <w:r w:rsidR="00341530" w:rsidRPr="00936E59">
        <w:rPr>
          <w:rFonts w:ascii="Times New Roman" w:hAnsi="Times New Roman" w:cs="Times New Roman"/>
          <w:sz w:val="24"/>
          <w:szCs w:val="24"/>
        </w:rPr>
        <w:t xml:space="preserve"> notwithstanding the fact that the dispute before it was not concerned with such matters. </w:t>
      </w:r>
      <w:r w:rsidR="004543BB" w:rsidRPr="00936E59">
        <w:rPr>
          <w:rFonts w:ascii="Times New Roman" w:hAnsi="Times New Roman" w:cs="Times New Roman"/>
          <w:sz w:val="24"/>
          <w:szCs w:val="24"/>
        </w:rPr>
        <w:t>Based on the authorities</w:t>
      </w:r>
      <w:r w:rsidR="00CE7737" w:rsidRPr="00936E59">
        <w:rPr>
          <w:rFonts w:ascii="Times New Roman" w:hAnsi="Times New Roman" w:cs="Times New Roman"/>
          <w:sz w:val="24"/>
          <w:szCs w:val="24"/>
        </w:rPr>
        <w:t xml:space="preserve"> cited in para 2</w:t>
      </w:r>
      <w:r w:rsidR="00B1038E" w:rsidRPr="00936E59">
        <w:rPr>
          <w:rFonts w:ascii="Times New Roman" w:hAnsi="Times New Roman" w:cs="Times New Roman"/>
          <w:sz w:val="24"/>
          <w:szCs w:val="24"/>
        </w:rPr>
        <w:t>5</w:t>
      </w:r>
      <w:r w:rsidR="00CE7737" w:rsidRPr="00936E59">
        <w:rPr>
          <w:rFonts w:ascii="Times New Roman" w:hAnsi="Times New Roman" w:cs="Times New Roman"/>
          <w:sz w:val="24"/>
          <w:szCs w:val="24"/>
        </w:rPr>
        <w:t xml:space="preserve"> above</w:t>
      </w:r>
      <w:r w:rsidR="00BF77AD" w:rsidRPr="00936E59">
        <w:rPr>
          <w:rFonts w:ascii="Times New Roman" w:hAnsi="Times New Roman" w:cs="Times New Roman"/>
          <w:sz w:val="24"/>
          <w:szCs w:val="24"/>
        </w:rPr>
        <w:t>,</w:t>
      </w:r>
      <w:r w:rsidR="004543BB" w:rsidRPr="00936E59">
        <w:rPr>
          <w:rFonts w:ascii="Times New Roman" w:hAnsi="Times New Roman" w:cs="Times New Roman"/>
          <w:sz w:val="24"/>
          <w:szCs w:val="24"/>
        </w:rPr>
        <w:t xml:space="preserve"> the court misdirected itself in that respect.</w:t>
      </w:r>
    </w:p>
    <w:p w:rsidR="002C0A94" w:rsidRPr="00936E59" w:rsidRDefault="002C0A94" w:rsidP="002C0A94">
      <w:pPr>
        <w:spacing w:after="0" w:line="480" w:lineRule="auto"/>
        <w:ind w:left="720" w:hanging="720"/>
        <w:jc w:val="both"/>
        <w:rPr>
          <w:rFonts w:ascii="Times New Roman" w:hAnsi="Times New Roman" w:cs="Times New Roman"/>
          <w:sz w:val="24"/>
          <w:szCs w:val="24"/>
        </w:rPr>
      </w:pPr>
    </w:p>
    <w:p w:rsidR="009364FC" w:rsidRDefault="002C0A94" w:rsidP="00BF77AD">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[26]</w:t>
      </w:r>
      <w:r w:rsidR="009364FC">
        <w:rPr>
          <w:rFonts w:ascii="Times New Roman" w:hAnsi="Times New Roman" w:cs="Times New Roman"/>
          <w:sz w:val="24"/>
          <w:szCs w:val="24"/>
        </w:rPr>
        <w:tab/>
      </w:r>
      <w:r w:rsidRPr="00936E59">
        <w:rPr>
          <w:rFonts w:ascii="Times New Roman" w:hAnsi="Times New Roman" w:cs="Times New Roman"/>
          <w:sz w:val="24"/>
          <w:szCs w:val="24"/>
        </w:rPr>
        <w:t xml:space="preserve"> </w:t>
      </w:r>
      <w:r w:rsidR="009E357E" w:rsidRPr="00936E59">
        <w:rPr>
          <w:rFonts w:ascii="Times New Roman" w:hAnsi="Times New Roman" w:cs="Times New Roman"/>
          <w:sz w:val="24"/>
          <w:szCs w:val="24"/>
        </w:rPr>
        <w:t xml:space="preserve">I find, </w:t>
      </w:r>
      <w:r w:rsidR="004A0796" w:rsidRPr="00936E59">
        <w:rPr>
          <w:rFonts w:ascii="Times New Roman" w:hAnsi="Times New Roman" w:cs="Times New Roman"/>
          <w:sz w:val="24"/>
          <w:szCs w:val="24"/>
        </w:rPr>
        <w:t xml:space="preserve">therefore, </w:t>
      </w:r>
      <w:r w:rsidR="009E357E" w:rsidRPr="00936E59">
        <w:rPr>
          <w:rFonts w:ascii="Times New Roman" w:hAnsi="Times New Roman" w:cs="Times New Roman"/>
          <w:sz w:val="24"/>
          <w:szCs w:val="24"/>
        </w:rPr>
        <w:t xml:space="preserve">that there is merit in the appellant’s submission that the court </w:t>
      </w:r>
      <w:r w:rsidR="009E357E" w:rsidRPr="00936E59">
        <w:rPr>
          <w:rFonts w:ascii="Times New Roman" w:hAnsi="Times New Roman" w:cs="Times New Roman"/>
          <w:i/>
          <w:sz w:val="24"/>
          <w:szCs w:val="24"/>
        </w:rPr>
        <w:t>a quo</w:t>
      </w:r>
      <w:r w:rsidR="009E357E" w:rsidRPr="00936E59">
        <w:rPr>
          <w:rFonts w:ascii="Times New Roman" w:hAnsi="Times New Roman" w:cs="Times New Roman"/>
          <w:sz w:val="24"/>
          <w:szCs w:val="24"/>
        </w:rPr>
        <w:t xml:space="preserve"> was only called upon to establish whether the respondent was in default of payment having regard to the </w:t>
      </w:r>
      <w:r w:rsidR="00F67E95" w:rsidRPr="00936E59">
        <w:rPr>
          <w:rFonts w:ascii="Times New Roman" w:hAnsi="Times New Roman" w:cs="Times New Roman"/>
          <w:sz w:val="24"/>
          <w:szCs w:val="24"/>
        </w:rPr>
        <w:t>D</w:t>
      </w:r>
      <w:r w:rsidR="009E357E" w:rsidRPr="00936E59">
        <w:rPr>
          <w:rFonts w:ascii="Times New Roman" w:hAnsi="Times New Roman" w:cs="Times New Roman"/>
          <w:sz w:val="24"/>
          <w:szCs w:val="24"/>
        </w:rPr>
        <w:t xml:space="preserve">eed and not to determine </w:t>
      </w:r>
      <w:r w:rsidR="00F67E95" w:rsidRPr="00936E59">
        <w:rPr>
          <w:rFonts w:ascii="Times New Roman" w:hAnsi="Times New Roman" w:cs="Times New Roman"/>
          <w:sz w:val="24"/>
          <w:szCs w:val="24"/>
        </w:rPr>
        <w:t xml:space="preserve">its </w:t>
      </w:r>
      <w:r w:rsidR="009E357E" w:rsidRPr="00936E59">
        <w:rPr>
          <w:rFonts w:ascii="Times New Roman" w:hAnsi="Times New Roman" w:cs="Times New Roman"/>
          <w:sz w:val="24"/>
          <w:szCs w:val="24"/>
        </w:rPr>
        <w:t>validity</w:t>
      </w:r>
      <w:r w:rsidR="00F67E95" w:rsidRPr="00936E59">
        <w:rPr>
          <w:rFonts w:ascii="Times New Roman" w:hAnsi="Times New Roman" w:cs="Times New Roman"/>
          <w:sz w:val="24"/>
          <w:szCs w:val="24"/>
        </w:rPr>
        <w:t>.</w:t>
      </w:r>
      <w:r w:rsidR="009E357E" w:rsidRPr="00936E59">
        <w:rPr>
          <w:rFonts w:ascii="Times New Roman" w:hAnsi="Times New Roman" w:cs="Times New Roman"/>
          <w:sz w:val="24"/>
          <w:szCs w:val="24"/>
        </w:rPr>
        <w:t xml:space="preserve"> </w:t>
      </w:r>
      <w:r w:rsidR="00C125E9" w:rsidRPr="00936E59">
        <w:rPr>
          <w:rFonts w:ascii="Times New Roman" w:hAnsi="Times New Roman" w:cs="Times New Roman"/>
          <w:sz w:val="24"/>
          <w:szCs w:val="24"/>
        </w:rPr>
        <w:t>Subject to compliance with the othe</w:t>
      </w:r>
      <w:r w:rsidR="005874BF" w:rsidRPr="00936E59">
        <w:rPr>
          <w:rFonts w:ascii="Times New Roman" w:hAnsi="Times New Roman" w:cs="Times New Roman"/>
          <w:sz w:val="24"/>
          <w:szCs w:val="24"/>
        </w:rPr>
        <w:t>r</w:t>
      </w:r>
      <w:r w:rsidR="00C125E9" w:rsidRPr="00936E59">
        <w:rPr>
          <w:rFonts w:ascii="Times New Roman" w:hAnsi="Times New Roman" w:cs="Times New Roman"/>
          <w:sz w:val="24"/>
          <w:szCs w:val="24"/>
        </w:rPr>
        <w:t xml:space="preserve"> requirements outlined in clause 2 of the Deed, and w</w:t>
      </w:r>
      <w:r w:rsidR="003C6E07" w:rsidRPr="00936E59">
        <w:rPr>
          <w:rFonts w:ascii="Times New Roman" w:hAnsi="Times New Roman" w:cs="Times New Roman"/>
          <w:sz w:val="24"/>
          <w:szCs w:val="24"/>
        </w:rPr>
        <w:t>ithout the</w:t>
      </w:r>
      <w:r w:rsidR="00F52588" w:rsidRPr="00936E59">
        <w:rPr>
          <w:rFonts w:ascii="Times New Roman" w:hAnsi="Times New Roman" w:cs="Times New Roman"/>
          <w:sz w:val="24"/>
          <w:szCs w:val="24"/>
        </w:rPr>
        <w:t xml:space="preserve"> validity of</w:t>
      </w:r>
      <w:r w:rsidR="003C6E07" w:rsidRPr="00936E59">
        <w:rPr>
          <w:rFonts w:ascii="Times New Roman" w:hAnsi="Times New Roman" w:cs="Times New Roman"/>
          <w:sz w:val="24"/>
          <w:szCs w:val="24"/>
        </w:rPr>
        <w:t xml:space="preserve"> </w:t>
      </w:r>
      <w:r w:rsidR="00285789" w:rsidRPr="00936E59">
        <w:rPr>
          <w:rFonts w:ascii="Times New Roman" w:hAnsi="Times New Roman" w:cs="Times New Roman"/>
          <w:sz w:val="24"/>
          <w:szCs w:val="24"/>
        </w:rPr>
        <w:t xml:space="preserve">the </w:t>
      </w:r>
      <w:r w:rsidR="00BF77AD" w:rsidRPr="00936E59">
        <w:rPr>
          <w:rFonts w:ascii="Times New Roman" w:hAnsi="Times New Roman" w:cs="Times New Roman"/>
          <w:sz w:val="24"/>
          <w:szCs w:val="24"/>
        </w:rPr>
        <w:t>D</w:t>
      </w:r>
      <w:r w:rsidR="003C6E07" w:rsidRPr="00936E59">
        <w:rPr>
          <w:rFonts w:ascii="Times New Roman" w:hAnsi="Times New Roman" w:cs="Times New Roman"/>
          <w:sz w:val="24"/>
          <w:szCs w:val="24"/>
        </w:rPr>
        <w:t xml:space="preserve">eed </w:t>
      </w:r>
      <w:r w:rsidR="00B06955" w:rsidRPr="00936E59">
        <w:rPr>
          <w:rFonts w:ascii="Times New Roman" w:hAnsi="Times New Roman" w:cs="Times New Roman"/>
          <w:sz w:val="24"/>
          <w:szCs w:val="24"/>
        </w:rPr>
        <w:t>bei</w:t>
      </w:r>
      <w:r w:rsidR="00F52588" w:rsidRPr="00936E59">
        <w:rPr>
          <w:rFonts w:ascii="Times New Roman" w:hAnsi="Times New Roman" w:cs="Times New Roman"/>
          <w:sz w:val="24"/>
          <w:szCs w:val="24"/>
        </w:rPr>
        <w:t>n</w:t>
      </w:r>
      <w:r w:rsidR="00B06955" w:rsidRPr="00936E59">
        <w:rPr>
          <w:rFonts w:ascii="Times New Roman" w:hAnsi="Times New Roman" w:cs="Times New Roman"/>
          <w:sz w:val="24"/>
          <w:szCs w:val="24"/>
        </w:rPr>
        <w:t>g</w:t>
      </w:r>
      <w:r w:rsidR="00F52588" w:rsidRPr="00936E59">
        <w:rPr>
          <w:rFonts w:ascii="Times New Roman" w:hAnsi="Times New Roman" w:cs="Times New Roman"/>
          <w:sz w:val="24"/>
          <w:szCs w:val="24"/>
        </w:rPr>
        <w:t xml:space="preserve"> </w:t>
      </w:r>
      <w:r w:rsidR="00285789" w:rsidRPr="00936E59">
        <w:rPr>
          <w:rFonts w:ascii="Times New Roman" w:hAnsi="Times New Roman" w:cs="Times New Roman"/>
          <w:sz w:val="24"/>
          <w:szCs w:val="24"/>
        </w:rPr>
        <w:t xml:space="preserve">properly </w:t>
      </w:r>
      <w:r w:rsidR="00F52588" w:rsidRPr="00936E59">
        <w:rPr>
          <w:rFonts w:ascii="Times New Roman" w:hAnsi="Times New Roman" w:cs="Times New Roman"/>
          <w:sz w:val="24"/>
          <w:szCs w:val="24"/>
        </w:rPr>
        <w:t>made an issue</w:t>
      </w:r>
      <w:r w:rsidR="00285789" w:rsidRPr="00936E59">
        <w:rPr>
          <w:rFonts w:ascii="Times New Roman" w:hAnsi="Times New Roman" w:cs="Times New Roman"/>
          <w:sz w:val="24"/>
          <w:szCs w:val="24"/>
        </w:rPr>
        <w:t xml:space="preserve"> by the respondent,</w:t>
      </w:r>
      <w:r w:rsidR="00F52588" w:rsidRPr="00936E59">
        <w:rPr>
          <w:rFonts w:ascii="Times New Roman" w:hAnsi="Times New Roman" w:cs="Times New Roman"/>
          <w:sz w:val="24"/>
          <w:szCs w:val="24"/>
        </w:rPr>
        <w:t xml:space="preserve"> </w:t>
      </w:r>
      <w:r w:rsidR="007E3041" w:rsidRPr="00936E59">
        <w:rPr>
          <w:rFonts w:ascii="Times New Roman" w:hAnsi="Times New Roman" w:cs="Times New Roman"/>
          <w:sz w:val="24"/>
          <w:szCs w:val="24"/>
        </w:rPr>
        <w:t>the appellant was entitled to the default judgment whi</w:t>
      </w:r>
      <w:r w:rsidR="00BF77AD" w:rsidRPr="00936E59">
        <w:rPr>
          <w:rFonts w:ascii="Times New Roman" w:hAnsi="Times New Roman" w:cs="Times New Roman"/>
          <w:sz w:val="24"/>
          <w:szCs w:val="24"/>
        </w:rPr>
        <w:t>ch it sought on the basis of a D</w:t>
      </w:r>
      <w:r w:rsidR="007E3041" w:rsidRPr="00936E59">
        <w:rPr>
          <w:rFonts w:ascii="Times New Roman" w:hAnsi="Times New Roman" w:cs="Times New Roman"/>
          <w:sz w:val="24"/>
          <w:szCs w:val="24"/>
        </w:rPr>
        <w:t>eed duly signed</w:t>
      </w:r>
      <w:r w:rsidR="003C6E07" w:rsidRPr="00936E59">
        <w:rPr>
          <w:rFonts w:ascii="Times New Roman" w:hAnsi="Times New Roman" w:cs="Times New Roman"/>
          <w:sz w:val="24"/>
          <w:szCs w:val="24"/>
        </w:rPr>
        <w:t xml:space="preserve"> by both parties</w:t>
      </w:r>
      <w:r w:rsidR="0006616D" w:rsidRPr="00936E59">
        <w:rPr>
          <w:rFonts w:ascii="Times New Roman" w:hAnsi="Times New Roman" w:cs="Times New Roman"/>
          <w:sz w:val="24"/>
          <w:szCs w:val="24"/>
        </w:rPr>
        <w:t>.</w:t>
      </w:r>
    </w:p>
    <w:p w:rsidR="00641882" w:rsidRPr="00936E59" w:rsidRDefault="0006616D" w:rsidP="00BF77AD">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 xml:space="preserve"> </w:t>
      </w:r>
    </w:p>
    <w:p w:rsidR="00641882" w:rsidRPr="00936E59" w:rsidRDefault="00641882" w:rsidP="002C0A94">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[2</w:t>
      </w:r>
      <w:r w:rsidR="004A0796" w:rsidRPr="00936E59">
        <w:rPr>
          <w:rFonts w:ascii="Times New Roman" w:hAnsi="Times New Roman" w:cs="Times New Roman"/>
          <w:sz w:val="24"/>
          <w:szCs w:val="24"/>
        </w:rPr>
        <w:t>7</w:t>
      </w:r>
      <w:r w:rsidRPr="00936E59">
        <w:rPr>
          <w:rFonts w:ascii="Times New Roman" w:hAnsi="Times New Roman" w:cs="Times New Roman"/>
          <w:sz w:val="24"/>
          <w:szCs w:val="24"/>
        </w:rPr>
        <w:t>]</w:t>
      </w:r>
      <w:r w:rsidRPr="00936E59">
        <w:rPr>
          <w:rFonts w:ascii="Times New Roman" w:hAnsi="Times New Roman" w:cs="Times New Roman"/>
          <w:i/>
          <w:sz w:val="24"/>
          <w:szCs w:val="24"/>
        </w:rPr>
        <w:tab/>
      </w:r>
      <w:r w:rsidRPr="00936E59">
        <w:rPr>
          <w:rFonts w:ascii="Times New Roman" w:hAnsi="Times New Roman" w:cs="Times New Roman"/>
          <w:sz w:val="24"/>
          <w:szCs w:val="24"/>
        </w:rPr>
        <w:t>Given that</w:t>
      </w:r>
      <w:r w:rsidRPr="00936E59">
        <w:rPr>
          <w:rFonts w:ascii="Times New Roman" w:hAnsi="Times New Roman" w:cs="Times New Roman"/>
          <w:i/>
          <w:sz w:val="24"/>
          <w:szCs w:val="24"/>
        </w:rPr>
        <w:t xml:space="preserve"> </w:t>
      </w:r>
      <w:r w:rsidRPr="00936E59">
        <w:rPr>
          <w:rFonts w:ascii="Times New Roman" w:hAnsi="Times New Roman" w:cs="Times New Roman"/>
          <w:sz w:val="24"/>
          <w:szCs w:val="24"/>
        </w:rPr>
        <w:t xml:space="preserve">the validity of the Deed was not properly made an issue before the court </w:t>
      </w:r>
      <w:r w:rsidR="009364FC">
        <w:rPr>
          <w:rFonts w:ascii="Times New Roman" w:hAnsi="Times New Roman" w:cs="Times New Roman"/>
          <w:i/>
          <w:sz w:val="24"/>
          <w:szCs w:val="24"/>
        </w:rPr>
        <w:t>a </w:t>
      </w:r>
      <w:r w:rsidRPr="00936E59">
        <w:rPr>
          <w:rFonts w:ascii="Times New Roman" w:hAnsi="Times New Roman" w:cs="Times New Roman"/>
          <w:i/>
          <w:sz w:val="24"/>
          <w:szCs w:val="24"/>
        </w:rPr>
        <w:t>quo,</w:t>
      </w:r>
      <w:r w:rsidRPr="00936E59">
        <w:rPr>
          <w:rFonts w:ascii="Times New Roman" w:hAnsi="Times New Roman" w:cs="Times New Roman"/>
          <w:sz w:val="24"/>
          <w:szCs w:val="24"/>
        </w:rPr>
        <w:t xml:space="preserve"> </w:t>
      </w:r>
      <w:r w:rsidR="006052B7" w:rsidRPr="00936E59">
        <w:rPr>
          <w:rFonts w:ascii="Times New Roman" w:hAnsi="Times New Roman" w:cs="Times New Roman"/>
          <w:sz w:val="24"/>
          <w:szCs w:val="24"/>
        </w:rPr>
        <w:t xml:space="preserve">neither had the </w:t>
      </w:r>
      <w:r w:rsidRPr="00936E59">
        <w:rPr>
          <w:rFonts w:ascii="Times New Roman" w:hAnsi="Times New Roman" w:cs="Times New Roman"/>
          <w:sz w:val="24"/>
          <w:szCs w:val="24"/>
        </w:rPr>
        <w:t>Deed</w:t>
      </w:r>
      <w:r w:rsidR="006052B7" w:rsidRPr="00936E59">
        <w:rPr>
          <w:rFonts w:ascii="Times New Roman" w:hAnsi="Times New Roman" w:cs="Times New Roman"/>
          <w:sz w:val="24"/>
          <w:szCs w:val="24"/>
        </w:rPr>
        <w:t xml:space="preserve"> itself been </w:t>
      </w:r>
      <w:r w:rsidR="00C368F8" w:rsidRPr="00936E59">
        <w:rPr>
          <w:rFonts w:ascii="Times New Roman" w:hAnsi="Times New Roman" w:cs="Times New Roman"/>
          <w:sz w:val="24"/>
          <w:szCs w:val="24"/>
        </w:rPr>
        <w:t xml:space="preserve">set aside </w:t>
      </w:r>
      <w:r w:rsidRPr="00936E59">
        <w:rPr>
          <w:rFonts w:ascii="Times New Roman" w:hAnsi="Times New Roman" w:cs="Times New Roman"/>
          <w:sz w:val="24"/>
          <w:szCs w:val="24"/>
        </w:rPr>
        <w:t xml:space="preserve">in any proceedings specifically instituted for </w:t>
      </w:r>
      <w:r w:rsidR="006052B7" w:rsidRPr="00936E59">
        <w:rPr>
          <w:rFonts w:ascii="Times New Roman" w:hAnsi="Times New Roman" w:cs="Times New Roman"/>
          <w:sz w:val="24"/>
          <w:szCs w:val="24"/>
        </w:rPr>
        <w:t xml:space="preserve">that purpose, the </w:t>
      </w:r>
      <w:r w:rsidR="00C368F8" w:rsidRPr="00936E59">
        <w:rPr>
          <w:rFonts w:ascii="Times New Roman" w:hAnsi="Times New Roman" w:cs="Times New Roman"/>
          <w:sz w:val="24"/>
          <w:szCs w:val="24"/>
        </w:rPr>
        <w:t xml:space="preserve">respondent </w:t>
      </w:r>
      <w:r w:rsidR="004A0796" w:rsidRPr="00936E59">
        <w:rPr>
          <w:rFonts w:ascii="Times New Roman" w:hAnsi="Times New Roman" w:cs="Times New Roman"/>
          <w:sz w:val="24"/>
          <w:szCs w:val="24"/>
        </w:rPr>
        <w:t xml:space="preserve">was </w:t>
      </w:r>
      <w:r w:rsidR="00C368F8" w:rsidRPr="00936E59">
        <w:rPr>
          <w:rFonts w:ascii="Times New Roman" w:hAnsi="Times New Roman" w:cs="Times New Roman"/>
          <w:sz w:val="24"/>
          <w:szCs w:val="24"/>
        </w:rPr>
        <w:t>fully bound by the terms it affixed its signature to</w:t>
      </w:r>
      <w:r w:rsidR="009B22EC" w:rsidRPr="00936E59">
        <w:rPr>
          <w:rFonts w:ascii="Times New Roman" w:hAnsi="Times New Roman" w:cs="Times New Roman"/>
          <w:sz w:val="24"/>
          <w:szCs w:val="24"/>
        </w:rPr>
        <w:t xml:space="preserve"> in relation to the compromise</w:t>
      </w:r>
      <w:r w:rsidR="00C368F8" w:rsidRPr="00936E59">
        <w:rPr>
          <w:rFonts w:ascii="Times New Roman" w:hAnsi="Times New Roman" w:cs="Times New Roman"/>
          <w:sz w:val="24"/>
          <w:szCs w:val="24"/>
        </w:rPr>
        <w:t>. C</w:t>
      </w:r>
      <w:r w:rsidRPr="00936E59">
        <w:rPr>
          <w:rFonts w:ascii="Times New Roman" w:hAnsi="Times New Roman" w:cs="Times New Roman"/>
          <w:sz w:val="24"/>
          <w:szCs w:val="24"/>
        </w:rPr>
        <w:t xml:space="preserve">ounsel for the appellant </w:t>
      </w:r>
      <w:r w:rsidR="00C368F8" w:rsidRPr="00936E59">
        <w:rPr>
          <w:rFonts w:ascii="Times New Roman" w:hAnsi="Times New Roman" w:cs="Times New Roman"/>
          <w:sz w:val="24"/>
          <w:szCs w:val="24"/>
        </w:rPr>
        <w:t xml:space="preserve">correctly noted that </w:t>
      </w:r>
      <w:r w:rsidRPr="00936E59">
        <w:rPr>
          <w:rFonts w:ascii="Times New Roman" w:hAnsi="Times New Roman" w:cs="Times New Roman"/>
          <w:sz w:val="24"/>
          <w:szCs w:val="24"/>
        </w:rPr>
        <w:t xml:space="preserve">this called into play the principles of sanctity of contract. In the case of </w:t>
      </w:r>
      <w:r w:rsidRPr="00936E59">
        <w:rPr>
          <w:rFonts w:ascii="Times New Roman" w:hAnsi="Times New Roman" w:cs="Times New Roman"/>
          <w:i/>
          <w:sz w:val="24"/>
          <w:szCs w:val="24"/>
        </w:rPr>
        <w:t xml:space="preserve">Printing and Numerical Registering Co v Sampson </w:t>
      </w:r>
      <w:r w:rsidRPr="00936E59">
        <w:rPr>
          <w:rFonts w:ascii="Times New Roman" w:hAnsi="Times New Roman" w:cs="Times New Roman"/>
          <w:sz w:val="24"/>
          <w:szCs w:val="24"/>
        </w:rPr>
        <w:t>(1875) LR 19 Eq 462 at 465 the principles were highl</w:t>
      </w:r>
      <w:r w:rsidR="002C0A94" w:rsidRPr="00936E59">
        <w:rPr>
          <w:rFonts w:ascii="Times New Roman" w:hAnsi="Times New Roman" w:cs="Times New Roman"/>
          <w:sz w:val="24"/>
          <w:szCs w:val="24"/>
        </w:rPr>
        <w:t>ighted thus: -</w:t>
      </w:r>
    </w:p>
    <w:p w:rsidR="00641882" w:rsidRPr="00936E59" w:rsidRDefault="00641882" w:rsidP="002C0A94">
      <w:pPr>
        <w:spacing w:after="0" w:line="240" w:lineRule="auto"/>
        <w:ind w:left="1440"/>
        <w:jc w:val="both"/>
        <w:rPr>
          <w:rFonts w:ascii="Times New Roman" w:hAnsi="Times New Roman" w:cs="Times New Roman"/>
          <w:sz w:val="24"/>
          <w:szCs w:val="24"/>
        </w:rPr>
      </w:pPr>
      <w:r w:rsidRPr="00936E59">
        <w:rPr>
          <w:rFonts w:ascii="Times New Roman" w:hAnsi="Times New Roman" w:cs="Times New Roman"/>
          <w:sz w:val="24"/>
          <w:szCs w:val="24"/>
        </w:rPr>
        <w:lastRenderedPageBreak/>
        <w:t xml:space="preserve">“If there is one thing which more than any other public policy requires, it is that men of full age and competent understanding shall have the utmost liberty of contracting, and that their contracts when entered into freely and voluntarily shall be held sacred and shall be enforced by courts of justice.   </w:t>
      </w:r>
      <w:r w:rsidR="008E75AA" w:rsidRPr="00936E59">
        <w:rPr>
          <w:rFonts w:ascii="Times New Roman" w:hAnsi="Times New Roman" w:cs="Times New Roman"/>
          <w:sz w:val="24"/>
          <w:szCs w:val="24"/>
        </w:rPr>
        <w:t>Therefore,</w:t>
      </w:r>
      <w:r w:rsidRPr="00936E59">
        <w:rPr>
          <w:rFonts w:ascii="Times New Roman" w:hAnsi="Times New Roman" w:cs="Times New Roman"/>
          <w:sz w:val="24"/>
          <w:szCs w:val="24"/>
        </w:rPr>
        <w:t xml:space="preserve"> you have this paramount public policy to consider – </w:t>
      </w:r>
      <w:r w:rsidRPr="00936E59">
        <w:rPr>
          <w:rFonts w:ascii="Times New Roman" w:hAnsi="Times New Roman" w:cs="Times New Roman"/>
          <w:b/>
          <w:sz w:val="24"/>
          <w:szCs w:val="24"/>
          <w:u w:val="single"/>
        </w:rPr>
        <w:t>that you are not lightly to interfere with this freedom of contract.”</w:t>
      </w:r>
      <w:r w:rsidRPr="00936E59">
        <w:rPr>
          <w:rFonts w:ascii="Times New Roman" w:hAnsi="Times New Roman" w:cs="Times New Roman"/>
          <w:sz w:val="24"/>
          <w:szCs w:val="24"/>
        </w:rPr>
        <w:t xml:space="preserve"> (</w:t>
      </w:r>
      <w:r w:rsidRPr="00936E59">
        <w:rPr>
          <w:rFonts w:ascii="Times New Roman" w:hAnsi="Times New Roman" w:cs="Times New Roman"/>
          <w:i/>
          <w:sz w:val="24"/>
          <w:szCs w:val="24"/>
        </w:rPr>
        <w:t>my emphasis</w:t>
      </w:r>
      <w:r w:rsidRPr="00936E59">
        <w:rPr>
          <w:rFonts w:ascii="Times New Roman" w:hAnsi="Times New Roman" w:cs="Times New Roman"/>
          <w:sz w:val="24"/>
          <w:szCs w:val="24"/>
        </w:rPr>
        <w:t>)</w:t>
      </w:r>
    </w:p>
    <w:p w:rsidR="00641882" w:rsidRPr="00936E59" w:rsidRDefault="00641882" w:rsidP="006B2341">
      <w:pPr>
        <w:spacing w:after="0" w:line="480" w:lineRule="auto"/>
        <w:jc w:val="both"/>
        <w:rPr>
          <w:rFonts w:ascii="Times New Roman" w:hAnsi="Times New Roman" w:cs="Times New Roman"/>
          <w:sz w:val="24"/>
          <w:szCs w:val="24"/>
        </w:rPr>
      </w:pPr>
    </w:p>
    <w:p w:rsidR="00DA4A7F" w:rsidRPr="00936E59" w:rsidRDefault="006052B7" w:rsidP="00DA4A7F">
      <w:pPr>
        <w:spacing w:after="0" w:line="480" w:lineRule="auto"/>
        <w:ind w:left="720" w:hanging="720"/>
        <w:jc w:val="both"/>
        <w:rPr>
          <w:rFonts w:ascii="Times New Roman" w:hAnsi="Times New Roman" w:cs="Times New Roman"/>
          <w:sz w:val="24"/>
          <w:szCs w:val="24"/>
        </w:rPr>
      </w:pPr>
      <w:r w:rsidRPr="00936E59">
        <w:rPr>
          <w:rFonts w:ascii="Times New Roman" w:hAnsi="Times New Roman" w:cs="Times New Roman"/>
          <w:sz w:val="24"/>
          <w:szCs w:val="24"/>
        </w:rPr>
        <w:t>[2</w:t>
      </w:r>
      <w:r w:rsidR="009B22EC" w:rsidRPr="00936E59">
        <w:rPr>
          <w:rFonts w:ascii="Times New Roman" w:hAnsi="Times New Roman" w:cs="Times New Roman"/>
          <w:sz w:val="24"/>
          <w:szCs w:val="24"/>
        </w:rPr>
        <w:t>8</w:t>
      </w:r>
      <w:r w:rsidRPr="00936E59">
        <w:rPr>
          <w:rFonts w:ascii="Times New Roman" w:hAnsi="Times New Roman" w:cs="Times New Roman"/>
          <w:sz w:val="24"/>
          <w:szCs w:val="24"/>
        </w:rPr>
        <w:t>]</w:t>
      </w:r>
      <w:r w:rsidRPr="00936E59">
        <w:rPr>
          <w:rFonts w:ascii="Times New Roman" w:hAnsi="Times New Roman" w:cs="Times New Roman"/>
          <w:sz w:val="24"/>
          <w:szCs w:val="24"/>
        </w:rPr>
        <w:tab/>
      </w:r>
      <w:r w:rsidR="00641882" w:rsidRPr="00936E59">
        <w:rPr>
          <w:rFonts w:ascii="Times New Roman" w:hAnsi="Times New Roman" w:cs="Times New Roman"/>
          <w:sz w:val="24"/>
          <w:szCs w:val="24"/>
        </w:rPr>
        <w:t xml:space="preserve">Clause 2 of the Deed expressly entitled the appellant to </w:t>
      </w:r>
      <w:r w:rsidR="00BF77AD" w:rsidRPr="00936E59">
        <w:rPr>
          <w:rFonts w:ascii="Times New Roman" w:hAnsi="Times New Roman" w:cs="Times New Roman"/>
          <w:sz w:val="24"/>
          <w:szCs w:val="24"/>
        </w:rPr>
        <w:t>a default judgment, upon notice</w:t>
      </w:r>
      <w:r w:rsidR="00641882" w:rsidRPr="00936E59">
        <w:rPr>
          <w:rFonts w:ascii="Times New Roman" w:hAnsi="Times New Roman" w:cs="Times New Roman"/>
          <w:sz w:val="24"/>
          <w:szCs w:val="24"/>
        </w:rPr>
        <w:t xml:space="preserve"> and in the event that the respondent had defaulted in making the agreed payments. The validity of </w:t>
      </w:r>
      <w:r w:rsidR="00056579" w:rsidRPr="00936E59">
        <w:rPr>
          <w:rFonts w:ascii="Times New Roman" w:hAnsi="Times New Roman" w:cs="Times New Roman"/>
          <w:sz w:val="24"/>
          <w:szCs w:val="24"/>
        </w:rPr>
        <w:t xml:space="preserve">the </w:t>
      </w:r>
      <w:r w:rsidR="00641882" w:rsidRPr="00936E59">
        <w:rPr>
          <w:rFonts w:ascii="Times New Roman" w:hAnsi="Times New Roman" w:cs="Times New Roman"/>
          <w:sz w:val="24"/>
          <w:szCs w:val="24"/>
        </w:rPr>
        <w:t xml:space="preserve">Deed not having been properly </w:t>
      </w:r>
      <w:r w:rsidR="00C368F8" w:rsidRPr="00936E59">
        <w:rPr>
          <w:rFonts w:ascii="Times New Roman" w:hAnsi="Times New Roman" w:cs="Times New Roman"/>
          <w:sz w:val="24"/>
          <w:szCs w:val="24"/>
        </w:rPr>
        <w:t xml:space="preserve">made </w:t>
      </w:r>
      <w:r w:rsidR="00641882" w:rsidRPr="00936E59">
        <w:rPr>
          <w:rFonts w:ascii="Times New Roman" w:hAnsi="Times New Roman" w:cs="Times New Roman"/>
          <w:sz w:val="24"/>
          <w:szCs w:val="24"/>
        </w:rPr>
        <w:t xml:space="preserve">an issue before it, the </w:t>
      </w:r>
      <w:r w:rsidR="00EC7D78" w:rsidRPr="00936E59">
        <w:rPr>
          <w:rFonts w:ascii="Times New Roman" w:hAnsi="Times New Roman" w:cs="Times New Roman"/>
          <w:sz w:val="24"/>
          <w:szCs w:val="24"/>
        </w:rPr>
        <w:t xml:space="preserve">finding of the </w:t>
      </w:r>
      <w:r w:rsidR="00641882" w:rsidRPr="00936E59">
        <w:rPr>
          <w:rFonts w:ascii="Times New Roman" w:hAnsi="Times New Roman" w:cs="Times New Roman"/>
          <w:sz w:val="24"/>
          <w:szCs w:val="24"/>
        </w:rPr>
        <w:t xml:space="preserve">court </w:t>
      </w:r>
      <w:r w:rsidR="00641882" w:rsidRPr="00936E59">
        <w:rPr>
          <w:rFonts w:ascii="Times New Roman" w:hAnsi="Times New Roman" w:cs="Times New Roman"/>
          <w:i/>
          <w:sz w:val="24"/>
          <w:szCs w:val="24"/>
        </w:rPr>
        <w:t>a quo</w:t>
      </w:r>
      <w:r w:rsidR="00641882" w:rsidRPr="00936E59">
        <w:rPr>
          <w:rFonts w:ascii="Times New Roman" w:hAnsi="Times New Roman" w:cs="Times New Roman"/>
          <w:sz w:val="24"/>
          <w:szCs w:val="24"/>
        </w:rPr>
        <w:t xml:space="preserve"> that the Deed ‘could not be related to’ was misguided.</w:t>
      </w:r>
      <w:r w:rsidR="00EC7D78" w:rsidRPr="00936E59">
        <w:rPr>
          <w:rFonts w:ascii="Times New Roman" w:hAnsi="Times New Roman" w:cs="Times New Roman"/>
          <w:sz w:val="24"/>
          <w:szCs w:val="24"/>
        </w:rPr>
        <w:t xml:space="preserve"> The appellant correctly states that such a finding, followed as it was by a dismissal of its claim, placed it in somewhat of a legal predicament since the Deed</w:t>
      </w:r>
      <w:r w:rsidR="00BF77AD" w:rsidRPr="00936E59">
        <w:rPr>
          <w:rFonts w:ascii="Times New Roman" w:hAnsi="Times New Roman" w:cs="Times New Roman"/>
          <w:sz w:val="24"/>
          <w:szCs w:val="24"/>
        </w:rPr>
        <w:t>,</w:t>
      </w:r>
      <w:r w:rsidR="00EC7D78" w:rsidRPr="00936E59">
        <w:rPr>
          <w:rFonts w:ascii="Times New Roman" w:hAnsi="Times New Roman" w:cs="Times New Roman"/>
          <w:sz w:val="24"/>
          <w:szCs w:val="24"/>
        </w:rPr>
        <w:t xml:space="preserve"> which is still extant</w:t>
      </w:r>
      <w:r w:rsidR="009B22EC" w:rsidRPr="00936E59">
        <w:rPr>
          <w:rFonts w:ascii="Times New Roman" w:hAnsi="Times New Roman" w:cs="Times New Roman"/>
          <w:sz w:val="24"/>
          <w:szCs w:val="24"/>
        </w:rPr>
        <w:t>,</w:t>
      </w:r>
      <w:r w:rsidR="00EC7D78" w:rsidRPr="00936E59">
        <w:rPr>
          <w:rFonts w:ascii="Times New Roman" w:hAnsi="Times New Roman" w:cs="Times New Roman"/>
          <w:sz w:val="24"/>
          <w:szCs w:val="24"/>
        </w:rPr>
        <w:t xml:space="preserve"> stands condemned by the court. </w:t>
      </w:r>
      <w:r w:rsidR="009B22EC" w:rsidRPr="00936E59">
        <w:rPr>
          <w:rFonts w:ascii="Times New Roman" w:hAnsi="Times New Roman" w:cs="Times New Roman"/>
          <w:sz w:val="24"/>
          <w:szCs w:val="24"/>
        </w:rPr>
        <w:t>T</w:t>
      </w:r>
      <w:r w:rsidR="0045271A" w:rsidRPr="00936E59">
        <w:rPr>
          <w:rFonts w:ascii="Times New Roman" w:hAnsi="Times New Roman" w:cs="Times New Roman"/>
          <w:sz w:val="24"/>
          <w:szCs w:val="24"/>
        </w:rPr>
        <w:t xml:space="preserve">he </w:t>
      </w:r>
      <w:r w:rsidR="004E172B" w:rsidRPr="00936E59">
        <w:rPr>
          <w:rFonts w:ascii="Times New Roman" w:hAnsi="Times New Roman" w:cs="Times New Roman"/>
          <w:sz w:val="24"/>
          <w:szCs w:val="24"/>
        </w:rPr>
        <w:t xml:space="preserve">court </w:t>
      </w:r>
      <w:r w:rsidR="004E172B" w:rsidRPr="00936E59">
        <w:rPr>
          <w:rFonts w:ascii="Times New Roman" w:hAnsi="Times New Roman" w:cs="Times New Roman"/>
          <w:i/>
          <w:sz w:val="24"/>
          <w:szCs w:val="24"/>
        </w:rPr>
        <w:t>a quo</w:t>
      </w:r>
      <w:r w:rsidR="004E172B" w:rsidRPr="00936E59">
        <w:rPr>
          <w:rFonts w:ascii="Times New Roman" w:hAnsi="Times New Roman" w:cs="Times New Roman"/>
          <w:sz w:val="24"/>
          <w:szCs w:val="24"/>
        </w:rPr>
        <w:t xml:space="preserve"> </w:t>
      </w:r>
      <w:r w:rsidR="009B22EC" w:rsidRPr="00936E59">
        <w:rPr>
          <w:rFonts w:ascii="Times New Roman" w:hAnsi="Times New Roman" w:cs="Times New Roman"/>
          <w:sz w:val="24"/>
          <w:szCs w:val="24"/>
        </w:rPr>
        <w:t xml:space="preserve">therefore </w:t>
      </w:r>
      <w:r w:rsidR="00C368F8" w:rsidRPr="00936E59">
        <w:rPr>
          <w:rFonts w:ascii="Times New Roman" w:hAnsi="Times New Roman" w:cs="Times New Roman"/>
          <w:sz w:val="24"/>
          <w:szCs w:val="24"/>
        </w:rPr>
        <w:t xml:space="preserve">erred in </w:t>
      </w:r>
      <w:r w:rsidR="0045271A" w:rsidRPr="00936E59">
        <w:rPr>
          <w:rFonts w:ascii="Times New Roman" w:hAnsi="Times New Roman" w:cs="Times New Roman"/>
          <w:sz w:val="24"/>
          <w:szCs w:val="24"/>
        </w:rPr>
        <w:t>pronounc</w:t>
      </w:r>
      <w:r w:rsidR="00C368F8" w:rsidRPr="00936E59">
        <w:rPr>
          <w:rFonts w:ascii="Times New Roman" w:hAnsi="Times New Roman" w:cs="Times New Roman"/>
          <w:sz w:val="24"/>
          <w:szCs w:val="24"/>
        </w:rPr>
        <w:t>ing</w:t>
      </w:r>
      <w:r w:rsidR="0045271A" w:rsidRPr="00936E59">
        <w:rPr>
          <w:rFonts w:ascii="Times New Roman" w:hAnsi="Times New Roman" w:cs="Times New Roman"/>
          <w:sz w:val="24"/>
          <w:szCs w:val="24"/>
        </w:rPr>
        <w:t xml:space="preserve"> a </w:t>
      </w:r>
      <w:r w:rsidR="00C368F8" w:rsidRPr="00936E59">
        <w:rPr>
          <w:rFonts w:ascii="Times New Roman" w:hAnsi="Times New Roman" w:cs="Times New Roman"/>
          <w:sz w:val="24"/>
          <w:szCs w:val="24"/>
        </w:rPr>
        <w:t xml:space="preserve">common </w:t>
      </w:r>
      <w:r w:rsidR="0045271A" w:rsidRPr="00936E59">
        <w:rPr>
          <w:rFonts w:ascii="Times New Roman" w:hAnsi="Times New Roman" w:cs="Times New Roman"/>
          <w:sz w:val="24"/>
          <w:szCs w:val="24"/>
        </w:rPr>
        <w:t>m</w:t>
      </w:r>
      <w:r w:rsidR="00BF77AD" w:rsidRPr="00936E59">
        <w:rPr>
          <w:rFonts w:ascii="Times New Roman" w:hAnsi="Times New Roman" w:cs="Times New Roman"/>
          <w:sz w:val="24"/>
          <w:szCs w:val="24"/>
        </w:rPr>
        <w:t>istake in the Deed</w:t>
      </w:r>
      <w:r w:rsidR="0045271A" w:rsidRPr="00936E59">
        <w:rPr>
          <w:rFonts w:ascii="Times New Roman" w:hAnsi="Times New Roman" w:cs="Times New Roman"/>
          <w:sz w:val="24"/>
          <w:szCs w:val="24"/>
        </w:rPr>
        <w:t xml:space="preserve"> and </w:t>
      </w:r>
      <w:r w:rsidR="00EC7D78" w:rsidRPr="00936E59">
        <w:rPr>
          <w:rFonts w:ascii="Times New Roman" w:hAnsi="Times New Roman" w:cs="Times New Roman"/>
          <w:sz w:val="24"/>
          <w:szCs w:val="24"/>
        </w:rPr>
        <w:t xml:space="preserve">then </w:t>
      </w:r>
      <w:r w:rsidR="0045271A" w:rsidRPr="00936E59">
        <w:rPr>
          <w:rFonts w:ascii="Times New Roman" w:hAnsi="Times New Roman" w:cs="Times New Roman"/>
          <w:sz w:val="24"/>
          <w:szCs w:val="24"/>
        </w:rPr>
        <w:t>on that basis, dismiss</w:t>
      </w:r>
      <w:r w:rsidR="00C368F8" w:rsidRPr="00936E59">
        <w:rPr>
          <w:rFonts w:ascii="Times New Roman" w:hAnsi="Times New Roman" w:cs="Times New Roman"/>
          <w:sz w:val="24"/>
          <w:szCs w:val="24"/>
        </w:rPr>
        <w:t>ing</w:t>
      </w:r>
      <w:r w:rsidR="0045271A" w:rsidRPr="00936E59">
        <w:rPr>
          <w:rFonts w:ascii="Times New Roman" w:hAnsi="Times New Roman" w:cs="Times New Roman"/>
          <w:sz w:val="24"/>
          <w:szCs w:val="24"/>
        </w:rPr>
        <w:t xml:space="preserve"> the appellant’s application for a default judgment </w:t>
      </w:r>
      <w:r w:rsidR="005E1DBB" w:rsidRPr="00936E59">
        <w:rPr>
          <w:rFonts w:ascii="Times New Roman" w:hAnsi="Times New Roman" w:cs="Times New Roman"/>
          <w:sz w:val="24"/>
          <w:szCs w:val="24"/>
        </w:rPr>
        <w:t xml:space="preserve">that was explicitly </w:t>
      </w:r>
      <w:r w:rsidR="0045271A" w:rsidRPr="00936E59">
        <w:rPr>
          <w:rFonts w:ascii="Times New Roman" w:hAnsi="Times New Roman" w:cs="Times New Roman"/>
          <w:sz w:val="24"/>
          <w:szCs w:val="24"/>
        </w:rPr>
        <w:t>envisaged in the same Deed.</w:t>
      </w:r>
      <w:r w:rsidR="0033337F" w:rsidRPr="00936E59">
        <w:rPr>
          <w:rFonts w:ascii="Times New Roman" w:hAnsi="Times New Roman" w:cs="Times New Roman"/>
          <w:sz w:val="24"/>
          <w:szCs w:val="24"/>
        </w:rPr>
        <w:t xml:space="preserve"> </w:t>
      </w:r>
      <w:r w:rsidR="00F346D8">
        <w:rPr>
          <w:rFonts w:ascii="Times New Roman" w:hAnsi="Times New Roman" w:cs="Times New Roman"/>
          <w:sz w:val="24"/>
          <w:szCs w:val="24"/>
        </w:rPr>
        <w:t xml:space="preserve">In this regard, </w:t>
      </w:r>
      <w:r w:rsidR="00A5597A" w:rsidRPr="00936E59">
        <w:rPr>
          <w:rFonts w:ascii="Times New Roman" w:hAnsi="Times New Roman" w:cs="Times New Roman"/>
          <w:sz w:val="24"/>
          <w:szCs w:val="24"/>
        </w:rPr>
        <w:t xml:space="preserve">the court </w:t>
      </w:r>
      <w:r w:rsidR="00D530F1" w:rsidRPr="00936E59">
        <w:rPr>
          <w:rFonts w:ascii="Times New Roman" w:hAnsi="Times New Roman" w:cs="Times New Roman"/>
          <w:sz w:val="24"/>
          <w:szCs w:val="24"/>
        </w:rPr>
        <w:t xml:space="preserve">unjustifiably sought to interfere with the parties’ freedom to freely enter </w:t>
      </w:r>
      <w:r w:rsidR="00DA4A7F" w:rsidRPr="00936E59">
        <w:rPr>
          <w:rFonts w:ascii="Times New Roman" w:hAnsi="Times New Roman" w:cs="Times New Roman"/>
          <w:sz w:val="24"/>
          <w:szCs w:val="24"/>
        </w:rPr>
        <w:t>into a contract of their choice.</w:t>
      </w:r>
    </w:p>
    <w:p w:rsidR="005A7593" w:rsidRPr="00936E59" w:rsidRDefault="005A7593" w:rsidP="00DA4A7F">
      <w:pPr>
        <w:spacing w:after="0" w:line="480" w:lineRule="auto"/>
        <w:ind w:left="720" w:hanging="720"/>
        <w:jc w:val="both"/>
        <w:rPr>
          <w:rFonts w:ascii="Times New Roman" w:hAnsi="Times New Roman" w:cs="Times New Roman"/>
          <w:sz w:val="24"/>
          <w:szCs w:val="24"/>
        </w:rPr>
      </w:pPr>
    </w:p>
    <w:p w:rsidR="00274B9A" w:rsidRPr="00936E59" w:rsidRDefault="00EC7D78" w:rsidP="00DA4A7F">
      <w:pPr>
        <w:spacing w:after="0" w:line="480" w:lineRule="auto"/>
        <w:ind w:left="720"/>
        <w:jc w:val="both"/>
        <w:rPr>
          <w:rFonts w:ascii="Times New Roman" w:hAnsi="Times New Roman" w:cs="Times New Roman"/>
          <w:sz w:val="24"/>
          <w:szCs w:val="24"/>
        </w:rPr>
      </w:pPr>
      <w:r w:rsidRPr="00936E59">
        <w:rPr>
          <w:rFonts w:ascii="Times New Roman" w:hAnsi="Times New Roman" w:cs="Times New Roman"/>
          <w:sz w:val="24"/>
          <w:szCs w:val="24"/>
        </w:rPr>
        <w:t xml:space="preserve">The </w:t>
      </w:r>
      <w:r w:rsidR="0045271A" w:rsidRPr="00936E59">
        <w:rPr>
          <w:rFonts w:ascii="Times New Roman" w:hAnsi="Times New Roman" w:cs="Times New Roman"/>
          <w:sz w:val="24"/>
          <w:szCs w:val="24"/>
        </w:rPr>
        <w:t>judgment can therefore not stand</w:t>
      </w:r>
      <w:r w:rsidR="005E1DBB" w:rsidRPr="00936E59">
        <w:rPr>
          <w:rFonts w:ascii="Times New Roman" w:hAnsi="Times New Roman" w:cs="Times New Roman"/>
          <w:sz w:val="24"/>
          <w:szCs w:val="24"/>
        </w:rPr>
        <w:t>.</w:t>
      </w:r>
    </w:p>
    <w:p w:rsidR="002C0A94" w:rsidRPr="00936E59" w:rsidRDefault="002C0A94" w:rsidP="0020484E">
      <w:pPr>
        <w:spacing w:after="0" w:line="480" w:lineRule="auto"/>
        <w:ind w:left="720"/>
        <w:jc w:val="both"/>
        <w:rPr>
          <w:rFonts w:ascii="Times New Roman" w:hAnsi="Times New Roman" w:cs="Times New Roman"/>
          <w:sz w:val="24"/>
          <w:szCs w:val="24"/>
        </w:rPr>
      </w:pPr>
    </w:p>
    <w:p w:rsidR="00A5597A" w:rsidRPr="00936E59" w:rsidRDefault="00FC2B3F" w:rsidP="002C0A94">
      <w:pPr>
        <w:spacing w:after="0" w:line="480" w:lineRule="auto"/>
        <w:jc w:val="both"/>
        <w:rPr>
          <w:rFonts w:ascii="Times New Roman" w:hAnsi="Times New Roman" w:cs="Times New Roman"/>
          <w:b/>
          <w:sz w:val="24"/>
          <w:szCs w:val="24"/>
        </w:rPr>
      </w:pPr>
      <w:r w:rsidRPr="00936E59">
        <w:rPr>
          <w:rFonts w:ascii="Times New Roman" w:hAnsi="Times New Roman" w:cs="Times New Roman"/>
          <w:b/>
          <w:sz w:val="24"/>
          <w:szCs w:val="24"/>
        </w:rPr>
        <w:tab/>
      </w:r>
      <w:r w:rsidR="002C0A94" w:rsidRPr="00936E59">
        <w:rPr>
          <w:rFonts w:ascii="Times New Roman" w:hAnsi="Times New Roman" w:cs="Times New Roman"/>
          <w:b/>
          <w:sz w:val="24"/>
          <w:szCs w:val="24"/>
        </w:rPr>
        <w:t>DISPOSITION</w:t>
      </w:r>
    </w:p>
    <w:p w:rsidR="00DE363E" w:rsidRPr="00936E59" w:rsidRDefault="00FC2B3F" w:rsidP="00FC2B3F">
      <w:pPr>
        <w:spacing w:after="0" w:line="480" w:lineRule="auto"/>
        <w:jc w:val="both"/>
        <w:rPr>
          <w:rFonts w:ascii="Times New Roman" w:hAnsi="Times New Roman" w:cs="Times New Roman"/>
          <w:sz w:val="24"/>
          <w:szCs w:val="24"/>
        </w:rPr>
      </w:pPr>
      <w:r w:rsidRPr="00936E59">
        <w:rPr>
          <w:rFonts w:ascii="Times New Roman" w:hAnsi="Times New Roman" w:cs="Times New Roman"/>
          <w:sz w:val="24"/>
          <w:szCs w:val="24"/>
        </w:rPr>
        <w:t xml:space="preserve">[29] </w:t>
      </w:r>
      <w:r w:rsidR="009364FC">
        <w:rPr>
          <w:rFonts w:ascii="Times New Roman" w:hAnsi="Times New Roman" w:cs="Times New Roman"/>
          <w:sz w:val="24"/>
          <w:szCs w:val="24"/>
        </w:rPr>
        <w:tab/>
      </w:r>
      <w:r w:rsidR="00880069" w:rsidRPr="00936E59">
        <w:rPr>
          <w:rFonts w:ascii="Times New Roman" w:hAnsi="Times New Roman" w:cs="Times New Roman"/>
          <w:sz w:val="24"/>
          <w:szCs w:val="24"/>
        </w:rPr>
        <w:t xml:space="preserve">The </w:t>
      </w:r>
      <w:r w:rsidR="00B1038E" w:rsidRPr="00936E59">
        <w:rPr>
          <w:rFonts w:ascii="Times New Roman" w:hAnsi="Times New Roman" w:cs="Times New Roman"/>
          <w:sz w:val="24"/>
          <w:szCs w:val="24"/>
        </w:rPr>
        <w:t>respondent effectively proffered no defence t</w:t>
      </w:r>
      <w:r w:rsidR="00DE363E" w:rsidRPr="00936E59">
        <w:rPr>
          <w:rFonts w:ascii="Times New Roman" w:hAnsi="Times New Roman" w:cs="Times New Roman"/>
          <w:sz w:val="24"/>
          <w:szCs w:val="24"/>
        </w:rPr>
        <w:t xml:space="preserve">o the claim brought against it. </w:t>
      </w:r>
      <w:r w:rsidR="002C0A94" w:rsidRPr="00936E59">
        <w:rPr>
          <w:rFonts w:ascii="Times New Roman" w:hAnsi="Times New Roman" w:cs="Times New Roman"/>
          <w:sz w:val="24"/>
          <w:szCs w:val="24"/>
        </w:rPr>
        <w:t xml:space="preserve">It </w:t>
      </w:r>
      <w:r w:rsidR="009364FC">
        <w:rPr>
          <w:rFonts w:ascii="Times New Roman" w:hAnsi="Times New Roman" w:cs="Times New Roman"/>
          <w:sz w:val="24"/>
          <w:szCs w:val="24"/>
        </w:rPr>
        <w:tab/>
      </w:r>
      <w:r w:rsidR="002C0A94" w:rsidRPr="00936E59">
        <w:rPr>
          <w:rFonts w:ascii="Times New Roman" w:hAnsi="Times New Roman" w:cs="Times New Roman"/>
          <w:sz w:val="24"/>
          <w:szCs w:val="24"/>
        </w:rPr>
        <w:t>sought</w:t>
      </w:r>
      <w:r w:rsidR="00DE363E" w:rsidRPr="00936E59">
        <w:rPr>
          <w:rFonts w:ascii="Times New Roman" w:hAnsi="Times New Roman" w:cs="Times New Roman"/>
          <w:sz w:val="24"/>
          <w:szCs w:val="24"/>
        </w:rPr>
        <w:t xml:space="preserve">, rather, to impugn it </w:t>
      </w:r>
      <w:r w:rsidR="003177E2" w:rsidRPr="00936E59">
        <w:rPr>
          <w:rFonts w:ascii="Times New Roman" w:hAnsi="Times New Roman" w:cs="Times New Roman"/>
          <w:sz w:val="24"/>
          <w:szCs w:val="24"/>
        </w:rPr>
        <w:t xml:space="preserve">through a defective </w:t>
      </w:r>
      <w:r w:rsidR="003177E2" w:rsidRPr="00936E59">
        <w:rPr>
          <w:rFonts w:ascii="Times New Roman" w:hAnsi="Times New Roman" w:cs="Times New Roman"/>
          <w:i/>
          <w:sz w:val="24"/>
          <w:szCs w:val="24"/>
        </w:rPr>
        <w:t>medium</w:t>
      </w:r>
      <w:r w:rsidR="003177E2" w:rsidRPr="00936E59">
        <w:rPr>
          <w:rFonts w:ascii="Times New Roman" w:hAnsi="Times New Roman" w:cs="Times New Roman"/>
          <w:sz w:val="24"/>
          <w:szCs w:val="24"/>
        </w:rPr>
        <w:t xml:space="preserve"> and </w:t>
      </w:r>
      <w:r w:rsidR="00DE363E" w:rsidRPr="00936E59">
        <w:rPr>
          <w:rFonts w:ascii="Times New Roman" w:hAnsi="Times New Roman" w:cs="Times New Roman"/>
          <w:sz w:val="24"/>
          <w:szCs w:val="24"/>
        </w:rPr>
        <w:t xml:space="preserve">on the strength of </w:t>
      </w:r>
      <w:r w:rsidRPr="00936E59">
        <w:rPr>
          <w:rFonts w:ascii="Times New Roman" w:hAnsi="Times New Roman" w:cs="Times New Roman"/>
          <w:sz w:val="24"/>
          <w:szCs w:val="24"/>
        </w:rPr>
        <w:tab/>
      </w:r>
      <w:r w:rsidR="00DE363E" w:rsidRPr="00936E59">
        <w:rPr>
          <w:rFonts w:ascii="Times New Roman" w:hAnsi="Times New Roman" w:cs="Times New Roman"/>
          <w:sz w:val="24"/>
          <w:szCs w:val="24"/>
        </w:rPr>
        <w:t xml:space="preserve">considerations that were extraneous to the </w:t>
      </w:r>
      <w:r w:rsidR="00785BE0">
        <w:rPr>
          <w:rFonts w:ascii="Times New Roman" w:hAnsi="Times New Roman" w:cs="Times New Roman"/>
          <w:sz w:val="24"/>
          <w:szCs w:val="24"/>
        </w:rPr>
        <w:t xml:space="preserve">agreement </w:t>
      </w:r>
      <w:r w:rsidR="00DE363E" w:rsidRPr="00936E59">
        <w:rPr>
          <w:rFonts w:ascii="Times New Roman" w:hAnsi="Times New Roman" w:cs="Times New Roman"/>
          <w:sz w:val="24"/>
          <w:szCs w:val="24"/>
        </w:rPr>
        <w:t xml:space="preserve">on which the application was </w:t>
      </w:r>
      <w:r w:rsidR="009364FC">
        <w:rPr>
          <w:rFonts w:ascii="Times New Roman" w:hAnsi="Times New Roman" w:cs="Times New Roman"/>
          <w:sz w:val="24"/>
          <w:szCs w:val="24"/>
        </w:rPr>
        <w:tab/>
      </w:r>
      <w:r w:rsidR="00DE363E" w:rsidRPr="00936E59">
        <w:rPr>
          <w:rFonts w:ascii="Times New Roman" w:hAnsi="Times New Roman" w:cs="Times New Roman"/>
          <w:sz w:val="24"/>
          <w:szCs w:val="24"/>
        </w:rPr>
        <w:t xml:space="preserve">premised. The court </w:t>
      </w:r>
      <w:r w:rsidR="00DE363E" w:rsidRPr="00936E59">
        <w:rPr>
          <w:rFonts w:ascii="Times New Roman" w:hAnsi="Times New Roman" w:cs="Times New Roman"/>
          <w:i/>
          <w:sz w:val="24"/>
          <w:szCs w:val="24"/>
        </w:rPr>
        <w:t>a quo,</w:t>
      </w:r>
      <w:r w:rsidR="00DE363E" w:rsidRPr="00936E59">
        <w:rPr>
          <w:rFonts w:ascii="Times New Roman" w:hAnsi="Times New Roman" w:cs="Times New Roman"/>
          <w:sz w:val="24"/>
          <w:szCs w:val="24"/>
        </w:rPr>
        <w:t xml:space="preserve"> in its turn, went on to determine matters that were not </w:t>
      </w:r>
      <w:r w:rsidRPr="00936E59">
        <w:rPr>
          <w:rFonts w:ascii="Times New Roman" w:hAnsi="Times New Roman" w:cs="Times New Roman"/>
          <w:sz w:val="24"/>
          <w:szCs w:val="24"/>
        </w:rPr>
        <w:tab/>
      </w:r>
      <w:r w:rsidR="00DE363E" w:rsidRPr="00936E59">
        <w:rPr>
          <w:rFonts w:ascii="Times New Roman" w:hAnsi="Times New Roman" w:cs="Times New Roman"/>
          <w:sz w:val="24"/>
          <w:szCs w:val="24"/>
        </w:rPr>
        <w:t xml:space="preserve">properly before it. The </w:t>
      </w:r>
      <w:r w:rsidR="007729CA" w:rsidRPr="00936E59">
        <w:rPr>
          <w:rFonts w:ascii="Times New Roman" w:hAnsi="Times New Roman" w:cs="Times New Roman"/>
          <w:sz w:val="24"/>
          <w:szCs w:val="24"/>
        </w:rPr>
        <w:t xml:space="preserve">main </w:t>
      </w:r>
      <w:r w:rsidR="00880069" w:rsidRPr="00936E59">
        <w:rPr>
          <w:rFonts w:ascii="Times New Roman" w:hAnsi="Times New Roman" w:cs="Times New Roman"/>
          <w:sz w:val="24"/>
          <w:szCs w:val="24"/>
        </w:rPr>
        <w:t xml:space="preserve">issue is </w:t>
      </w:r>
      <w:r w:rsidR="00DE363E" w:rsidRPr="00936E59">
        <w:rPr>
          <w:rFonts w:ascii="Times New Roman" w:hAnsi="Times New Roman" w:cs="Times New Roman"/>
          <w:sz w:val="24"/>
          <w:szCs w:val="24"/>
        </w:rPr>
        <w:t xml:space="preserve">therefore </w:t>
      </w:r>
      <w:r w:rsidR="00880069" w:rsidRPr="00936E59">
        <w:rPr>
          <w:rFonts w:ascii="Times New Roman" w:hAnsi="Times New Roman" w:cs="Times New Roman"/>
          <w:sz w:val="24"/>
          <w:szCs w:val="24"/>
        </w:rPr>
        <w:t xml:space="preserve">determined in favour of the appellant. </w:t>
      </w:r>
    </w:p>
    <w:p w:rsidR="002C0A94" w:rsidRPr="00936E59" w:rsidRDefault="002C0A94" w:rsidP="00FC2B3F">
      <w:pPr>
        <w:spacing w:after="0" w:line="480" w:lineRule="auto"/>
        <w:jc w:val="both"/>
        <w:rPr>
          <w:rFonts w:ascii="Times New Roman" w:hAnsi="Times New Roman" w:cs="Times New Roman"/>
          <w:sz w:val="24"/>
          <w:szCs w:val="24"/>
        </w:rPr>
      </w:pPr>
    </w:p>
    <w:p w:rsidR="0049648C" w:rsidRPr="00936E59" w:rsidRDefault="00C368F8" w:rsidP="002C0A94">
      <w:pPr>
        <w:spacing w:after="0" w:line="480" w:lineRule="auto"/>
        <w:ind w:left="720"/>
        <w:jc w:val="both"/>
        <w:rPr>
          <w:rFonts w:ascii="Times New Roman" w:hAnsi="Times New Roman" w:cs="Times New Roman"/>
          <w:sz w:val="24"/>
          <w:szCs w:val="24"/>
        </w:rPr>
      </w:pPr>
      <w:r w:rsidRPr="00936E59">
        <w:rPr>
          <w:rFonts w:ascii="Times New Roman" w:hAnsi="Times New Roman" w:cs="Times New Roman"/>
          <w:sz w:val="24"/>
          <w:szCs w:val="24"/>
        </w:rPr>
        <w:lastRenderedPageBreak/>
        <w:t xml:space="preserve">This </w:t>
      </w:r>
      <w:r w:rsidR="00DE363E" w:rsidRPr="00936E59">
        <w:rPr>
          <w:rFonts w:ascii="Times New Roman" w:hAnsi="Times New Roman" w:cs="Times New Roman"/>
          <w:sz w:val="24"/>
          <w:szCs w:val="24"/>
        </w:rPr>
        <w:t>determination being dis</w:t>
      </w:r>
      <w:r w:rsidRPr="00936E59">
        <w:rPr>
          <w:rFonts w:ascii="Times New Roman" w:hAnsi="Times New Roman" w:cs="Times New Roman"/>
          <w:sz w:val="24"/>
          <w:szCs w:val="24"/>
        </w:rPr>
        <w:t>positive</w:t>
      </w:r>
      <w:r w:rsidR="00DE363E" w:rsidRPr="00936E59">
        <w:rPr>
          <w:rFonts w:ascii="Times New Roman" w:hAnsi="Times New Roman" w:cs="Times New Roman"/>
          <w:sz w:val="24"/>
          <w:szCs w:val="24"/>
        </w:rPr>
        <w:t xml:space="preserve"> of the appeal,</w:t>
      </w:r>
      <w:r w:rsidRPr="00936E59">
        <w:rPr>
          <w:rFonts w:ascii="Times New Roman" w:hAnsi="Times New Roman" w:cs="Times New Roman"/>
          <w:sz w:val="24"/>
          <w:szCs w:val="24"/>
        </w:rPr>
        <w:t xml:space="preserve"> I do not consider it necessary </w:t>
      </w:r>
      <w:r w:rsidR="005E1DBB" w:rsidRPr="00936E59">
        <w:rPr>
          <w:rFonts w:ascii="Times New Roman" w:hAnsi="Times New Roman" w:cs="Times New Roman"/>
          <w:sz w:val="24"/>
          <w:szCs w:val="24"/>
        </w:rPr>
        <w:t>for th</w:t>
      </w:r>
      <w:r w:rsidR="00C125E9" w:rsidRPr="00936E59">
        <w:rPr>
          <w:rFonts w:ascii="Times New Roman" w:hAnsi="Times New Roman" w:cs="Times New Roman"/>
          <w:sz w:val="24"/>
          <w:szCs w:val="24"/>
        </w:rPr>
        <w:t>e</w:t>
      </w:r>
      <w:r w:rsidR="005E1DBB" w:rsidRPr="00936E59">
        <w:rPr>
          <w:rFonts w:ascii="Times New Roman" w:hAnsi="Times New Roman" w:cs="Times New Roman"/>
          <w:sz w:val="24"/>
          <w:szCs w:val="24"/>
        </w:rPr>
        <w:t xml:space="preserve"> court to consider the </w:t>
      </w:r>
      <w:r w:rsidR="00A22780" w:rsidRPr="00936E59">
        <w:rPr>
          <w:rFonts w:ascii="Times New Roman" w:hAnsi="Times New Roman" w:cs="Times New Roman"/>
          <w:sz w:val="24"/>
          <w:szCs w:val="24"/>
        </w:rPr>
        <w:t>othe</w:t>
      </w:r>
      <w:r w:rsidR="005E1DBB" w:rsidRPr="00936E59">
        <w:rPr>
          <w:rFonts w:ascii="Times New Roman" w:hAnsi="Times New Roman" w:cs="Times New Roman"/>
          <w:sz w:val="24"/>
          <w:szCs w:val="24"/>
        </w:rPr>
        <w:t xml:space="preserve">r issues </w:t>
      </w:r>
      <w:r w:rsidR="007729CA" w:rsidRPr="00936E59">
        <w:rPr>
          <w:rFonts w:ascii="Times New Roman" w:hAnsi="Times New Roman" w:cs="Times New Roman"/>
          <w:sz w:val="24"/>
          <w:szCs w:val="24"/>
        </w:rPr>
        <w:t xml:space="preserve">raised </w:t>
      </w:r>
      <w:r w:rsidR="00DE363E" w:rsidRPr="00936E59">
        <w:rPr>
          <w:rFonts w:ascii="Times New Roman" w:hAnsi="Times New Roman" w:cs="Times New Roman"/>
          <w:sz w:val="24"/>
          <w:szCs w:val="24"/>
        </w:rPr>
        <w:t>in the appellant’s grounds of appeal.</w:t>
      </w:r>
      <w:r w:rsidR="005E1DBB" w:rsidRPr="00936E59">
        <w:rPr>
          <w:rFonts w:ascii="Times New Roman" w:hAnsi="Times New Roman" w:cs="Times New Roman"/>
          <w:sz w:val="24"/>
          <w:szCs w:val="24"/>
        </w:rPr>
        <w:t xml:space="preserve"> </w:t>
      </w:r>
    </w:p>
    <w:p w:rsidR="00BF77AD" w:rsidRDefault="003177E2" w:rsidP="009364FC">
      <w:pPr>
        <w:spacing w:after="0" w:line="480" w:lineRule="auto"/>
        <w:ind w:left="720"/>
        <w:jc w:val="both"/>
        <w:rPr>
          <w:rFonts w:ascii="Times New Roman" w:hAnsi="Times New Roman" w:cs="Times New Roman"/>
          <w:sz w:val="24"/>
          <w:szCs w:val="24"/>
        </w:rPr>
      </w:pPr>
      <w:r w:rsidRPr="00936E59">
        <w:rPr>
          <w:rFonts w:ascii="Times New Roman" w:hAnsi="Times New Roman" w:cs="Times New Roman"/>
          <w:sz w:val="24"/>
          <w:szCs w:val="24"/>
        </w:rPr>
        <w:t>The appeal accordingly has merit and ought to be upheld.</w:t>
      </w:r>
    </w:p>
    <w:p w:rsidR="009364FC" w:rsidRPr="00936E59" w:rsidRDefault="009364FC" w:rsidP="002F1789">
      <w:pPr>
        <w:spacing w:after="0" w:line="480" w:lineRule="auto"/>
        <w:jc w:val="both"/>
        <w:rPr>
          <w:rFonts w:ascii="Times New Roman" w:hAnsi="Times New Roman" w:cs="Times New Roman"/>
          <w:sz w:val="24"/>
          <w:szCs w:val="24"/>
        </w:rPr>
      </w:pPr>
    </w:p>
    <w:p w:rsidR="004F6F0B" w:rsidRPr="00936E59" w:rsidRDefault="007729CA" w:rsidP="00FC2B3F">
      <w:pPr>
        <w:spacing w:after="0" w:line="480" w:lineRule="auto"/>
        <w:ind w:firstLine="720"/>
        <w:jc w:val="both"/>
        <w:rPr>
          <w:rFonts w:ascii="Times New Roman" w:hAnsi="Times New Roman" w:cs="Times New Roman"/>
          <w:sz w:val="24"/>
          <w:szCs w:val="24"/>
        </w:rPr>
      </w:pPr>
      <w:r w:rsidRPr="00936E59">
        <w:rPr>
          <w:rFonts w:ascii="Times New Roman" w:hAnsi="Times New Roman" w:cs="Times New Roman"/>
          <w:sz w:val="24"/>
          <w:szCs w:val="24"/>
        </w:rPr>
        <w:t>It is i</w:t>
      </w:r>
      <w:r w:rsidR="00FC2B3F" w:rsidRPr="00936E59">
        <w:rPr>
          <w:rFonts w:ascii="Times New Roman" w:hAnsi="Times New Roman" w:cs="Times New Roman"/>
          <w:sz w:val="24"/>
          <w:szCs w:val="24"/>
        </w:rPr>
        <w:t>n the result ordered as follows: -</w:t>
      </w:r>
    </w:p>
    <w:p w:rsidR="0049648C" w:rsidRPr="00936E59" w:rsidRDefault="007729CA" w:rsidP="00FC2B3F">
      <w:pPr>
        <w:pStyle w:val="ListParagraph"/>
        <w:numPr>
          <w:ilvl w:val="0"/>
          <w:numId w:val="10"/>
        </w:numPr>
        <w:spacing w:after="0" w:line="480" w:lineRule="auto"/>
        <w:ind w:left="1797" w:hanging="357"/>
        <w:jc w:val="both"/>
        <w:rPr>
          <w:rFonts w:ascii="Times New Roman" w:hAnsi="Times New Roman" w:cs="Times New Roman"/>
          <w:sz w:val="24"/>
          <w:szCs w:val="24"/>
        </w:rPr>
      </w:pPr>
      <w:r w:rsidRPr="00936E59">
        <w:rPr>
          <w:rFonts w:ascii="Times New Roman" w:hAnsi="Times New Roman" w:cs="Times New Roman"/>
          <w:sz w:val="24"/>
          <w:szCs w:val="24"/>
        </w:rPr>
        <w:t>The appeal is allowed with costs</w:t>
      </w:r>
      <w:r w:rsidR="0049648C" w:rsidRPr="00936E59">
        <w:rPr>
          <w:rFonts w:ascii="Times New Roman" w:hAnsi="Times New Roman" w:cs="Times New Roman"/>
          <w:sz w:val="24"/>
          <w:szCs w:val="24"/>
        </w:rPr>
        <w:t>.</w:t>
      </w:r>
    </w:p>
    <w:p w:rsidR="0049648C" w:rsidRPr="00936E59" w:rsidRDefault="0049648C" w:rsidP="00FC2B3F">
      <w:pPr>
        <w:pStyle w:val="ListParagraph"/>
        <w:numPr>
          <w:ilvl w:val="0"/>
          <w:numId w:val="10"/>
        </w:numPr>
        <w:spacing w:after="0" w:line="480" w:lineRule="auto"/>
        <w:ind w:left="1797" w:hanging="357"/>
        <w:jc w:val="both"/>
        <w:rPr>
          <w:rFonts w:ascii="Times New Roman" w:hAnsi="Times New Roman" w:cs="Times New Roman"/>
          <w:sz w:val="24"/>
          <w:szCs w:val="24"/>
        </w:rPr>
      </w:pPr>
      <w:r w:rsidRPr="00936E59">
        <w:rPr>
          <w:rFonts w:ascii="Times New Roman" w:hAnsi="Times New Roman" w:cs="Times New Roman"/>
          <w:sz w:val="24"/>
          <w:szCs w:val="24"/>
        </w:rPr>
        <w:t xml:space="preserve">The judgment of the court </w:t>
      </w:r>
      <w:r w:rsidRPr="00936E59">
        <w:rPr>
          <w:rFonts w:ascii="Times New Roman" w:hAnsi="Times New Roman" w:cs="Times New Roman"/>
          <w:i/>
          <w:sz w:val="24"/>
          <w:szCs w:val="24"/>
        </w:rPr>
        <w:t>a quo</w:t>
      </w:r>
      <w:r w:rsidRPr="00936E59">
        <w:rPr>
          <w:rFonts w:ascii="Times New Roman" w:hAnsi="Times New Roman" w:cs="Times New Roman"/>
          <w:sz w:val="24"/>
          <w:szCs w:val="24"/>
        </w:rPr>
        <w:t xml:space="preserve"> be and is hereby set aside and</w:t>
      </w:r>
      <w:r w:rsidR="00FC2B3F" w:rsidRPr="00936E59">
        <w:rPr>
          <w:rFonts w:ascii="Times New Roman" w:hAnsi="Times New Roman" w:cs="Times New Roman"/>
          <w:sz w:val="24"/>
          <w:szCs w:val="24"/>
        </w:rPr>
        <w:t xml:space="preserve"> substituted with the following: -</w:t>
      </w:r>
    </w:p>
    <w:p w:rsidR="007729CA" w:rsidRPr="00936E59" w:rsidRDefault="0049648C" w:rsidP="00765B8D">
      <w:pPr>
        <w:pStyle w:val="ListParagraph"/>
        <w:numPr>
          <w:ilvl w:val="0"/>
          <w:numId w:val="11"/>
        </w:numPr>
        <w:spacing w:after="0" w:line="240" w:lineRule="auto"/>
        <w:ind w:left="2410"/>
        <w:jc w:val="both"/>
        <w:rPr>
          <w:rFonts w:ascii="Times New Roman" w:hAnsi="Times New Roman" w:cs="Times New Roman"/>
          <w:sz w:val="24"/>
          <w:szCs w:val="24"/>
        </w:rPr>
      </w:pPr>
      <w:r w:rsidRPr="00936E59">
        <w:rPr>
          <w:rFonts w:ascii="Times New Roman" w:hAnsi="Times New Roman" w:cs="Times New Roman"/>
          <w:sz w:val="24"/>
          <w:szCs w:val="24"/>
        </w:rPr>
        <w:t>The application is granted</w:t>
      </w:r>
      <w:r w:rsidR="00BF77AD" w:rsidRPr="00936E59">
        <w:rPr>
          <w:rFonts w:ascii="Times New Roman" w:hAnsi="Times New Roman" w:cs="Times New Roman"/>
          <w:sz w:val="24"/>
          <w:szCs w:val="24"/>
        </w:rPr>
        <w:t>.</w:t>
      </w:r>
      <w:r w:rsidRPr="00936E59">
        <w:rPr>
          <w:rFonts w:ascii="Times New Roman" w:hAnsi="Times New Roman" w:cs="Times New Roman"/>
          <w:sz w:val="24"/>
          <w:szCs w:val="24"/>
        </w:rPr>
        <w:t xml:space="preserve"> </w:t>
      </w:r>
    </w:p>
    <w:p w:rsidR="0049648C" w:rsidRPr="00936E59" w:rsidRDefault="0049648C" w:rsidP="00765B8D">
      <w:pPr>
        <w:pStyle w:val="ListParagraph"/>
        <w:numPr>
          <w:ilvl w:val="0"/>
          <w:numId w:val="11"/>
        </w:numPr>
        <w:spacing w:after="0" w:line="240" w:lineRule="auto"/>
        <w:ind w:left="2410"/>
        <w:jc w:val="both"/>
        <w:rPr>
          <w:rFonts w:ascii="Times New Roman" w:hAnsi="Times New Roman" w:cs="Times New Roman"/>
          <w:sz w:val="24"/>
          <w:szCs w:val="24"/>
        </w:rPr>
      </w:pPr>
      <w:r w:rsidRPr="00936E59">
        <w:rPr>
          <w:rFonts w:ascii="Times New Roman" w:hAnsi="Times New Roman" w:cs="Times New Roman"/>
          <w:sz w:val="24"/>
          <w:szCs w:val="24"/>
        </w:rPr>
        <w:t>The respondent shall pay to the applicant the sum of US$3 629 586.57 together with interest thereon at the rate of 15</w:t>
      </w:r>
      <w:r w:rsidR="005A7593" w:rsidRPr="00936E59">
        <w:rPr>
          <w:rFonts w:ascii="Times New Roman" w:hAnsi="Times New Roman" w:cs="Times New Roman"/>
          <w:sz w:val="24"/>
          <w:szCs w:val="24"/>
        </w:rPr>
        <w:t xml:space="preserve"> percent</w:t>
      </w:r>
      <w:r w:rsidR="005A7593" w:rsidRPr="00936E59">
        <w:rPr>
          <w:rFonts w:ascii="Times New Roman" w:hAnsi="Times New Roman" w:cs="Times New Roman"/>
          <w:i/>
          <w:sz w:val="24"/>
          <w:szCs w:val="24"/>
        </w:rPr>
        <w:t xml:space="preserve"> </w:t>
      </w:r>
      <w:r w:rsidRPr="00936E59">
        <w:rPr>
          <w:rFonts w:ascii="Times New Roman" w:hAnsi="Times New Roman" w:cs="Times New Roman"/>
          <w:sz w:val="24"/>
          <w:szCs w:val="24"/>
        </w:rPr>
        <w:t>per annum calculated from 1 October 2014 to</w:t>
      </w:r>
      <w:r w:rsidR="00BF77AD" w:rsidRPr="00936E59">
        <w:rPr>
          <w:rFonts w:ascii="Times New Roman" w:hAnsi="Times New Roman" w:cs="Times New Roman"/>
          <w:sz w:val="24"/>
          <w:szCs w:val="24"/>
        </w:rPr>
        <w:t xml:space="preserve"> the date</w:t>
      </w:r>
      <w:r w:rsidRPr="00936E59">
        <w:rPr>
          <w:rFonts w:ascii="Times New Roman" w:hAnsi="Times New Roman" w:cs="Times New Roman"/>
          <w:sz w:val="24"/>
          <w:szCs w:val="24"/>
        </w:rPr>
        <w:t xml:space="preserve"> of full payment.</w:t>
      </w:r>
    </w:p>
    <w:p w:rsidR="00E90D21" w:rsidRPr="009364FC" w:rsidRDefault="0049648C" w:rsidP="00765B8D">
      <w:pPr>
        <w:pStyle w:val="ListParagraph"/>
        <w:numPr>
          <w:ilvl w:val="0"/>
          <w:numId w:val="11"/>
        </w:numPr>
        <w:spacing w:after="0" w:line="240" w:lineRule="auto"/>
        <w:ind w:left="2410"/>
        <w:jc w:val="both"/>
        <w:rPr>
          <w:rFonts w:ascii="Times New Roman" w:hAnsi="Times New Roman" w:cs="Times New Roman"/>
          <w:sz w:val="24"/>
          <w:szCs w:val="24"/>
        </w:rPr>
      </w:pPr>
      <w:r w:rsidRPr="00936E59">
        <w:rPr>
          <w:rFonts w:ascii="Times New Roman" w:hAnsi="Times New Roman" w:cs="Times New Roman"/>
          <w:sz w:val="24"/>
          <w:szCs w:val="24"/>
        </w:rPr>
        <w:t>The respondent shall pay the applicant’s costs on a legal practitioner and client scale.</w:t>
      </w:r>
    </w:p>
    <w:p w:rsidR="009364FC" w:rsidRDefault="00FC2B3F" w:rsidP="009364FC">
      <w:pPr>
        <w:spacing w:line="480" w:lineRule="auto"/>
        <w:ind w:firstLine="720"/>
        <w:jc w:val="both"/>
        <w:rPr>
          <w:rFonts w:ascii="Times New Roman" w:hAnsi="Times New Roman" w:cs="Times New Roman"/>
          <w:sz w:val="24"/>
          <w:szCs w:val="24"/>
        </w:rPr>
      </w:pPr>
      <w:r w:rsidRPr="00936E59">
        <w:rPr>
          <w:rFonts w:ascii="Times New Roman" w:hAnsi="Times New Roman" w:cs="Times New Roman"/>
          <w:sz w:val="24"/>
          <w:szCs w:val="24"/>
        </w:rPr>
        <w:tab/>
      </w:r>
    </w:p>
    <w:p w:rsidR="008E75AA" w:rsidRDefault="008E75AA" w:rsidP="009364FC">
      <w:pPr>
        <w:spacing w:line="480" w:lineRule="auto"/>
        <w:ind w:firstLine="720"/>
        <w:jc w:val="both"/>
        <w:rPr>
          <w:rFonts w:ascii="Times New Roman" w:hAnsi="Times New Roman" w:cs="Times New Roman"/>
          <w:sz w:val="24"/>
          <w:szCs w:val="24"/>
        </w:rPr>
      </w:pPr>
    </w:p>
    <w:p w:rsidR="00FC2B3F" w:rsidRDefault="00FC2B3F" w:rsidP="009364FC">
      <w:pPr>
        <w:spacing w:line="480" w:lineRule="auto"/>
        <w:ind w:left="720" w:firstLine="720"/>
        <w:jc w:val="both"/>
        <w:rPr>
          <w:rFonts w:ascii="Times New Roman" w:hAnsi="Times New Roman" w:cs="Times New Roman"/>
          <w:b/>
          <w:sz w:val="24"/>
          <w:szCs w:val="24"/>
        </w:rPr>
      </w:pPr>
      <w:r w:rsidRPr="00936E59">
        <w:rPr>
          <w:rFonts w:ascii="Times New Roman" w:hAnsi="Times New Roman" w:cs="Times New Roman"/>
          <w:b/>
          <w:sz w:val="24"/>
          <w:szCs w:val="24"/>
        </w:rPr>
        <w:t>PATEL JA</w:t>
      </w:r>
      <w:r w:rsidRPr="00936E59">
        <w:rPr>
          <w:rFonts w:ascii="Times New Roman" w:hAnsi="Times New Roman" w:cs="Times New Roman"/>
          <w:b/>
          <w:sz w:val="24"/>
          <w:szCs w:val="24"/>
        </w:rPr>
        <w:tab/>
      </w:r>
      <w:r w:rsidR="00E90D21" w:rsidRPr="00936E59">
        <w:rPr>
          <w:rFonts w:ascii="Times New Roman" w:hAnsi="Times New Roman" w:cs="Times New Roman"/>
          <w:b/>
          <w:i/>
          <w:sz w:val="24"/>
          <w:szCs w:val="24"/>
        </w:rPr>
        <w:tab/>
      </w:r>
      <w:r w:rsidR="00E90D21" w:rsidRPr="00936E59">
        <w:rPr>
          <w:rFonts w:ascii="Times New Roman" w:hAnsi="Times New Roman" w:cs="Times New Roman"/>
          <w:b/>
          <w:sz w:val="24"/>
          <w:szCs w:val="24"/>
        </w:rPr>
        <w:t>I agree</w:t>
      </w:r>
    </w:p>
    <w:p w:rsidR="009464D1" w:rsidRDefault="009464D1" w:rsidP="009364FC">
      <w:pPr>
        <w:spacing w:line="480" w:lineRule="auto"/>
        <w:ind w:left="720" w:firstLine="720"/>
        <w:jc w:val="both"/>
        <w:rPr>
          <w:rFonts w:ascii="Times New Roman" w:hAnsi="Times New Roman" w:cs="Times New Roman"/>
          <w:b/>
          <w:sz w:val="24"/>
          <w:szCs w:val="24"/>
        </w:rPr>
      </w:pPr>
    </w:p>
    <w:p w:rsidR="009364FC" w:rsidRDefault="00FC2B3F" w:rsidP="009364FC">
      <w:pPr>
        <w:spacing w:line="480" w:lineRule="auto"/>
        <w:ind w:firstLine="720"/>
        <w:jc w:val="both"/>
        <w:rPr>
          <w:rFonts w:ascii="Times New Roman" w:hAnsi="Times New Roman" w:cs="Times New Roman"/>
          <w:b/>
          <w:sz w:val="24"/>
          <w:szCs w:val="24"/>
        </w:rPr>
      </w:pPr>
      <w:r w:rsidRPr="00936E59">
        <w:rPr>
          <w:rFonts w:ascii="Times New Roman" w:hAnsi="Times New Roman" w:cs="Times New Roman"/>
          <w:b/>
          <w:i/>
          <w:sz w:val="24"/>
          <w:szCs w:val="24"/>
        </w:rPr>
        <w:tab/>
      </w:r>
      <w:r w:rsidRPr="00936E59">
        <w:rPr>
          <w:rFonts w:ascii="Times New Roman" w:hAnsi="Times New Roman" w:cs="Times New Roman"/>
          <w:b/>
          <w:sz w:val="24"/>
          <w:szCs w:val="24"/>
        </w:rPr>
        <w:t>BERE JA</w:t>
      </w:r>
      <w:r w:rsidRPr="00936E59">
        <w:rPr>
          <w:rFonts w:ascii="Times New Roman" w:hAnsi="Times New Roman" w:cs="Times New Roman"/>
          <w:b/>
          <w:i/>
          <w:sz w:val="24"/>
          <w:szCs w:val="24"/>
        </w:rPr>
        <w:t xml:space="preserve">       </w:t>
      </w:r>
      <w:r w:rsidR="009364FC">
        <w:rPr>
          <w:rFonts w:ascii="Times New Roman" w:hAnsi="Times New Roman" w:cs="Times New Roman"/>
          <w:b/>
          <w:i/>
          <w:sz w:val="24"/>
          <w:szCs w:val="24"/>
        </w:rPr>
        <w:tab/>
      </w:r>
      <w:r w:rsidR="009364FC">
        <w:rPr>
          <w:rFonts w:ascii="Times New Roman" w:hAnsi="Times New Roman" w:cs="Times New Roman"/>
          <w:b/>
          <w:i/>
          <w:sz w:val="24"/>
          <w:szCs w:val="24"/>
        </w:rPr>
        <w:tab/>
      </w:r>
      <w:r w:rsidRPr="00936E59">
        <w:rPr>
          <w:rFonts w:ascii="Times New Roman" w:hAnsi="Times New Roman" w:cs="Times New Roman"/>
          <w:b/>
          <w:i/>
          <w:sz w:val="24"/>
          <w:szCs w:val="24"/>
        </w:rPr>
        <w:t xml:space="preserve"> </w:t>
      </w:r>
      <w:r w:rsidR="00E90D21" w:rsidRPr="00936E59">
        <w:rPr>
          <w:rFonts w:ascii="Times New Roman" w:hAnsi="Times New Roman" w:cs="Times New Roman"/>
          <w:b/>
          <w:sz w:val="24"/>
          <w:szCs w:val="24"/>
        </w:rPr>
        <w:t>I agree</w:t>
      </w:r>
    </w:p>
    <w:p w:rsidR="00C121EC" w:rsidRPr="009364FC" w:rsidRDefault="00C121EC" w:rsidP="009364FC">
      <w:pPr>
        <w:spacing w:line="480" w:lineRule="auto"/>
        <w:ind w:firstLine="720"/>
        <w:jc w:val="both"/>
        <w:rPr>
          <w:rFonts w:ascii="Times New Roman" w:hAnsi="Times New Roman" w:cs="Times New Roman"/>
          <w:b/>
          <w:sz w:val="24"/>
          <w:szCs w:val="24"/>
        </w:rPr>
      </w:pPr>
    </w:p>
    <w:p w:rsidR="0049648C" w:rsidRPr="00936E59" w:rsidRDefault="0049648C" w:rsidP="00C32B6B">
      <w:pPr>
        <w:spacing w:after="0" w:line="480" w:lineRule="auto"/>
        <w:jc w:val="both"/>
        <w:rPr>
          <w:rFonts w:ascii="Times New Roman" w:hAnsi="Times New Roman" w:cs="Times New Roman"/>
          <w:i/>
          <w:sz w:val="24"/>
          <w:szCs w:val="24"/>
        </w:rPr>
      </w:pPr>
      <w:r w:rsidRPr="00936E59">
        <w:rPr>
          <w:rFonts w:ascii="Times New Roman" w:hAnsi="Times New Roman" w:cs="Times New Roman"/>
          <w:i/>
          <w:sz w:val="24"/>
          <w:szCs w:val="24"/>
        </w:rPr>
        <w:t xml:space="preserve">Sawyer </w:t>
      </w:r>
      <w:r w:rsidR="00FC2B3F" w:rsidRPr="00936E59">
        <w:rPr>
          <w:rFonts w:ascii="Times New Roman" w:hAnsi="Times New Roman" w:cs="Times New Roman"/>
          <w:i/>
          <w:sz w:val="24"/>
          <w:szCs w:val="24"/>
        </w:rPr>
        <w:t>&amp;</w:t>
      </w:r>
      <w:r w:rsidRPr="00936E59">
        <w:rPr>
          <w:rFonts w:ascii="Times New Roman" w:hAnsi="Times New Roman" w:cs="Times New Roman"/>
          <w:i/>
          <w:sz w:val="24"/>
          <w:szCs w:val="24"/>
        </w:rPr>
        <w:t xml:space="preserve"> Mkushi, appellant’s legal practitioners</w:t>
      </w:r>
    </w:p>
    <w:p w:rsidR="0077065A" w:rsidRPr="00936E59" w:rsidRDefault="0049648C" w:rsidP="00C32B6B">
      <w:pPr>
        <w:spacing w:after="0" w:line="480" w:lineRule="auto"/>
        <w:jc w:val="both"/>
        <w:rPr>
          <w:rFonts w:ascii="Times New Roman" w:hAnsi="Times New Roman" w:cs="Times New Roman"/>
          <w:sz w:val="24"/>
          <w:szCs w:val="24"/>
        </w:rPr>
      </w:pPr>
      <w:r w:rsidRPr="00936E59">
        <w:rPr>
          <w:rFonts w:ascii="Times New Roman" w:hAnsi="Times New Roman" w:cs="Times New Roman"/>
          <w:i/>
          <w:sz w:val="24"/>
          <w:szCs w:val="24"/>
        </w:rPr>
        <w:t>Wintertons, respondent’s legal practitioners</w:t>
      </w:r>
    </w:p>
    <w:sectPr w:rsidR="0077065A" w:rsidRPr="00936E59" w:rsidSect="00707503">
      <w:headerReference w:type="even" r:id="rId8"/>
      <w:headerReference w:type="default" r:id="rId9"/>
      <w:headerReference w:type="firs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E18" w:rsidRDefault="00F95E18" w:rsidP="007E3041">
      <w:pPr>
        <w:spacing w:after="0" w:line="240" w:lineRule="auto"/>
      </w:pPr>
      <w:r>
        <w:separator/>
      </w:r>
    </w:p>
  </w:endnote>
  <w:endnote w:type="continuationSeparator" w:id="0">
    <w:p w:rsidR="00F95E18" w:rsidRDefault="00F95E18" w:rsidP="007E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E18" w:rsidRDefault="00F95E18" w:rsidP="007E3041">
      <w:pPr>
        <w:spacing w:after="0" w:line="240" w:lineRule="auto"/>
      </w:pPr>
      <w:r>
        <w:separator/>
      </w:r>
    </w:p>
  </w:footnote>
  <w:footnote w:type="continuationSeparator" w:id="0">
    <w:p w:rsidR="00F95E18" w:rsidRDefault="00F95E18" w:rsidP="007E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A4" w:rsidRDefault="00FC2B3F">
    <w:pPr>
      <w:pStyle w:val="Header"/>
    </w:pPr>
    <w:r>
      <w:rPr>
        <w:noProof/>
        <w:lang w:val="en-GB" w:eastAsia="en-GB"/>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654165" cy="1425575"/>
              <wp:effectExtent l="0" t="2038350" r="0" b="1812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4165" cy="1425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2B3F" w:rsidRDefault="00FC2B3F" w:rsidP="00FC2B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JUDGMENT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23.95pt;height:112.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" o:allowincell="f" filled="f" stroked="f">
              <v:stroke joinstyle="round"/>
              <o:lock v:ext="edit" shapetype="t"/>
              <v:textbox style="mso-fit-shape-to-text:t">
                <w:txbxContent>
                  <w:p w:rsidR="00FC2B3F" w:rsidRDefault="00FC2B3F" w:rsidP="00FC2B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JUDGMENT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1F7" w:rsidRDefault="00FC2B3F">
    <w:pPr>
      <w:pStyle w:val="Header"/>
    </w:pPr>
    <w:r>
      <w:rPr>
        <w:noProof/>
        <w:lang w:val="en-GB" w:eastAsia="en-GB"/>
      </w:rPr>
      <mc:AlternateContent>
        <mc:Choice Requires="wps">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6654165" cy="1425575"/>
              <wp:effectExtent l="0" t="2038350" r="0" b="181292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54165" cy="1425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C2B3F" w:rsidRDefault="00FC2B3F" w:rsidP="00FC2B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JUDGMENT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0;margin-top:0;width:523.95pt;height:112.2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" o:allowincell="f" filled="f" stroked="f">
              <v:stroke joinstyle="round"/>
              <o:lock v:ext="edit" shapetype="t"/>
              <v:textbox style="mso-fit-shape-to-text:t">
                <w:txbxContent>
                  <w:p w:rsidR="00FC2B3F" w:rsidRDefault="00FC2B3F" w:rsidP="00FC2B3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JUDGMENT</w:t>
                    </w:r>
                  </w:p>
                </w:txbxContent>
              </v:textbox>
              <w10:wrap anchorx="margin" anchory="margin"/>
            </v:shape>
          </w:pict>
        </mc:Fallback>
      </mc:AlternateContent>
    </w:r>
    <w:r w:rsidR="00E701F7">
      <w:rPr>
        <w:noProof/>
        <w:lang w:val="en-GB" w:eastAsia="en-GB"/>
      </w:rPr>
      <mc:AlternateContent>
        <mc:Choice Requires="wps">
          <w:drawing>
            <wp:anchor distT="0" distB="0" distL="114300" distR="114300" simplePos="0" relativeHeight="251656704" behindDoc="0" locked="0" layoutInCell="0" allowOverlap="1" wp14:anchorId="02B9ACB6" wp14:editId="2823657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01F7" w:rsidRPr="003101DC" w:rsidRDefault="0026456D" w:rsidP="0026456D">
                          <w:pPr>
                            <w:spacing w:after="0" w:line="240" w:lineRule="auto"/>
                            <w:ind w:firstLine="720"/>
                            <w:rPr>
                              <w:rFonts w:ascii="Times New Roman" w:hAnsi="Times New Roman" w:cs="Times New Roman"/>
                              <w:noProof/>
                              <w:sz w:val="24"/>
                              <w:szCs w:val="24"/>
                            </w:rPr>
                          </w:pPr>
                          <w:r>
                            <w:rPr>
                              <w:rFonts w:ascii="Courier New" w:hAnsi="Courier New" w:cs="Courier New"/>
                              <w:noProof/>
                            </w:rPr>
                            <w:t xml:space="preserve">                                      </w:t>
                          </w:r>
                          <w:r w:rsidR="00B3423B">
                            <w:rPr>
                              <w:rFonts w:ascii="Courier New" w:hAnsi="Courier New" w:cs="Courier New"/>
                              <w:noProof/>
                            </w:rPr>
                            <w:tab/>
                            <w:t xml:space="preserve">   </w:t>
                          </w:r>
                          <w:r w:rsidR="00B3423B">
                            <w:rPr>
                              <w:rFonts w:ascii="Times New Roman" w:hAnsi="Times New Roman" w:cs="Times New Roman"/>
                              <w:noProof/>
                              <w:sz w:val="24"/>
                              <w:szCs w:val="24"/>
                            </w:rPr>
                            <w:t>Judgment No. SC 76</w:t>
                          </w:r>
                          <w:r w:rsidR="00E701F7" w:rsidRPr="003101DC">
                            <w:rPr>
                              <w:rFonts w:ascii="Times New Roman" w:hAnsi="Times New Roman" w:cs="Times New Roman"/>
                              <w:noProof/>
                              <w:sz w:val="24"/>
                              <w:szCs w:val="24"/>
                            </w:rPr>
                            <w:t>/19</w:t>
                          </w:r>
                        </w:p>
                        <w:p w:rsidR="00E701F7" w:rsidRPr="003101DC" w:rsidRDefault="0026456D" w:rsidP="0026456D">
                          <w:pPr>
                            <w:spacing w:after="0" w:line="240" w:lineRule="auto"/>
                            <w:rPr>
                              <w:rFonts w:ascii="Times New Roman" w:hAnsi="Times New Roman" w:cs="Times New Roman"/>
                              <w:noProof/>
                              <w:sz w:val="24"/>
                              <w:szCs w:val="24"/>
                            </w:rPr>
                          </w:pPr>
                          <w:r w:rsidRPr="003101DC">
                            <w:rPr>
                              <w:rFonts w:ascii="Times New Roman" w:hAnsi="Times New Roman" w:cs="Times New Roman"/>
                              <w:noProof/>
                              <w:sz w:val="24"/>
                              <w:szCs w:val="24"/>
                            </w:rPr>
                            <w:t xml:space="preserve">                                  </w:t>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E701F7" w:rsidRPr="003101DC">
                            <w:rPr>
                              <w:rFonts w:ascii="Times New Roman" w:hAnsi="Times New Roman" w:cs="Times New Roman"/>
                              <w:noProof/>
                              <w:sz w:val="24"/>
                              <w:szCs w:val="24"/>
                            </w:rPr>
                            <w:t>Civil Appeal No. SC 116/18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02B9ACB6" id="Text Box 220" o:spid="_x0000_s1028" type="#_x0000_t202" style="position:absolute;margin-left:0;margin-top:0;width:468pt;height:13.7pt;z-index:2516567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hZtwIAAL4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" o:allowincell="f" filled="f" stroked="f">
              <v:textbox style="mso-fit-shape-to-text:t" inset=",0,,0">
                <w:txbxContent>
                  <w:p w:rsidR="00E701F7" w:rsidRPr="003101DC" w:rsidRDefault="0026456D" w:rsidP="0026456D">
                    <w:pPr>
                      <w:spacing w:after="0" w:line="240" w:lineRule="auto"/>
                      <w:ind w:firstLine="720"/>
                      <w:rPr>
                        <w:rFonts w:ascii="Times New Roman" w:hAnsi="Times New Roman" w:cs="Times New Roman"/>
                        <w:noProof/>
                        <w:sz w:val="24"/>
                        <w:szCs w:val="24"/>
                      </w:rPr>
                    </w:pPr>
                    <w:r>
                      <w:rPr>
                        <w:rFonts w:ascii="Courier New" w:hAnsi="Courier New" w:cs="Courier New"/>
                        <w:noProof/>
                      </w:rPr>
                      <w:t xml:space="preserve">                                      </w:t>
                    </w:r>
                    <w:r w:rsidR="00B3423B">
                      <w:rPr>
                        <w:rFonts w:ascii="Courier New" w:hAnsi="Courier New" w:cs="Courier New"/>
                        <w:noProof/>
                      </w:rPr>
                      <w:tab/>
                      <w:t xml:space="preserve">   </w:t>
                    </w:r>
                    <w:r w:rsidR="00B3423B">
                      <w:rPr>
                        <w:rFonts w:ascii="Times New Roman" w:hAnsi="Times New Roman" w:cs="Times New Roman"/>
                        <w:noProof/>
                        <w:sz w:val="24"/>
                        <w:szCs w:val="24"/>
                      </w:rPr>
                      <w:t>Judgment No. SC 76</w:t>
                    </w:r>
                    <w:r w:rsidR="00E701F7" w:rsidRPr="003101DC">
                      <w:rPr>
                        <w:rFonts w:ascii="Times New Roman" w:hAnsi="Times New Roman" w:cs="Times New Roman"/>
                        <w:noProof/>
                        <w:sz w:val="24"/>
                        <w:szCs w:val="24"/>
                      </w:rPr>
                      <w:t>/19</w:t>
                    </w:r>
                  </w:p>
                  <w:p w:rsidR="00E701F7" w:rsidRPr="003101DC" w:rsidRDefault="0026456D" w:rsidP="0026456D">
                    <w:pPr>
                      <w:spacing w:after="0" w:line="240" w:lineRule="auto"/>
                      <w:rPr>
                        <w:rFonts w:ascii="Times New Roman" w:hAnsi="Times New Roman" w:cs="Times New Roman"/>
                        <w:noProof/>
                        <w:sz w:val="24"/>
                        <w:szCs w:val="24"/>
                      </w:rPr>
                    </w:pPr>
                    <w:r w:rsidRPr="003101DC">
                      <w:rPr>
                        <w:rFonts w:ascii="Times New Roman" w:hAnsi="Times New Roman" w:cs="Times New Roman"/>
                        <w:noProof/>
                        <w:sz w:val="24"/>
                        <w:szCs w:val="24"/>
                      </w:rPr>
                      <w:t xml:space="preserve">                                  </w:t>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3101DC">
                      <w:rPr>
                        <w:rFonts w:ascii="Times New Roman" w:hAnsi="Times New Roman" w:cs="Times New Roman"/>
                        <w:noProof/>
                        <w:sz w:val="24"/>
                        <w:szCs w:val="24"/>
                      </w:rPr>
                      <w:tab/>
                    </w:r>
                    <w:r w:rsidR="00E701F7" w:rsidRPr="003101DC">
                      <w:rPr>
                        <w:rFonts w:ascii="Times New Roman" w:hAnsi="Times New Roman" w:cs="Times New Roman"/>
                        <w:noProof/>
                        <w:sz w:val="24"/>
                        <w:szCs w:val="24"/>
                      </w:rPr>
                      <w:t>Civil Appeal No. SC 116/18</w:t>
                    </w:r>
                  </w:p>
                </w:txbxContent>
              </v:textbox>
              <w10:wrap anchorx="margin" anchory="margin"/>
            </v:shape>
          </w:pict>
        </mc:Fallback>
      </mc:AlternateContent>
    </w:r>
    <w:r w:rsidR="00E701F7">
      <w:rPr>
        <w:noProof/>
        <w:lang w:val="en-GB" w:eastAsia="en-GB"/>
      </w:rPr>
      <mc:AlternateContent>
        <mc:Choice Requires="wps">
          <w:drawing>
            <wp:anchor distT="0" distB="0" distL="114300" distR="114300" simplePos="0" relativeHeight="251655680" behindDoc="0" locked="0" layoutInCell="0" allowOverlap="1" wp14:anchorId="70F915B2" wp14:editId="1EC241B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E701F7" w:rsidRPr="00343755" w:rsidRDefault="00E701F7">
                          <w:pPr>
                            <w:spacing w:after="0" w:line="240" w:lineRule="auto"/>
                            <w:rPr>
                              <w:rFonts w:ascii="Times New Roman" w:hAnsi="Times New Roman" w:cs="Times New Roman"/>
                              <w:color w:val="FFFFFF" w:themeColor="background1"/>
                              <w:sz w:val="24"/>
                              <w:szCs w:val="24"/>
                            </w:rPr>
                          </w:pPr>
                          <w:r w:rsidRPr="00343755">
                            <w:rPr>
                              <w:rFonts w:ascii="Times New Roman" w:hAnsi="Times New Roman" w:cs="Times New Roman"/>
                              <w:sz w:val="24"/>
                              <w:szCs w:val="24"/>
                            </w:rPr>
                            <w:fldChar w:fldCharType="begin"/>
                          </w:r>
                          <w:r w:rsidRPr="00343755">
                            <w:rPr>
                              <w:rFonts w:ascii="Times New Roman" w:hAnsi="Times New Roman" w:cs="Times New Roman"/>
                              <w:sz w:val="24"/>
                              <w:szCs w:val="24"/>
                            </w:rPr>
                            <w:instrText xml:space="preserve"> PAGE   \* MERGEFORMAT </w:instrText>
                          </w:r>
                          <w:r w:rsidRPr="00343755">
                            <w:rPr>
                              <w:rFonts w:ascii="Times New Roman" w:hAnsi="Times New Roman" w:cs="Times New Roman"/>
                              <w:sz w:val="24"/>
                              <w:szCs w:val="24"/>
                            </w:rPr>
                            <w:fldChar w:fldCharType="separate"/>
                          </w:r>
                          <w:r w:rsidR="00DD0C18" w:rsidRPr="00DD0C18">
                            <w:rPr>
                              <w:rFonts w:ascii="Times New Roman" w:hAnsi="Times New Roman" w:cs="Times New Roman"/>
                              <w:noProof/>
                              <w:color w:val="FFFFFF" w:themeColor="background1"/>
                              <w:sz w:val="24"/>
                              <w:szCs w:val="24"/>
                            </w:rPr>
                            <w:t>1</w:t>
                          </w:r>
                          <w:r w:rsidRPr="00343755">
                            <w:rPr>
                              <w:rFonts w:ascii="Times New Roman" w:hAnsi="Times New Roman" w:cs="Times New Roman"/>
                              <w:noProof/>
                              <w:color w:val="FFFFFF" w:themeColor="background1"/>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0F915B2" id="_x0000_t202" coordsize="21600,21600" o:spt="202" path="m,l,21600r21600,l21600,xe">
              <v:stroke joinstyle="miter"/>
              <v:path gradientshapeok="t" o:connecttype="rect"/>
            </v:shapetype>
            <v:shape id="Text Box 221" o:spid="_x0000_s1029" type="#_x0000_t202" style="position:absolute;margin-left:20.6pt;margin-top:0;width:71.8pt;height:13.45pt;z-index:2516556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" o:allowincell="f" fillcolor="#a8d08d [1945]" stroked="f">
              <v:textbox style="mso-fit-shape-to-text:t" inset=",0,,0">
                <w:txbxContent>
                  <w:p w:rsidR="00E701F7" w:rsidRPr="00343755" w:rsidRDefault="00E701F7">
                    <w:pPr>
                      <w:spacing w:after="0" w:line="240" w:lineRule="auto"/>
                      <w:rPr>
                        <w:rFonts w:ascii="Times New Roman" w:hAnsi="Times New Roman" w:cs="Times New Roman"/>
                        <w:color w:val="FFFFFF" w:themeColor="background1"/>
                        <w:sz w:val="24"/>
                        <w:szCs w:val="24"/>
                      </w:rPr>
                    </w:pPr>
                    <w:r w:rsidRPr="00343755">
                      <w:rPr>
                        <w:rFonts w:ascii="Times New Roman" w:hAnsi="Times New Roman" w:cs="Times New Roman"/>
                        <w:sz w:val="24"/>
                        <w:szCs w:val="24"/>
                      </w:rPr>
                      <w:fldChar w:fldCharType="begin"/>
                    </w:r>
                    <w:r w:rsidRPr="00343755">
                      <w:rPr>
                        <w:rFonts w:ascii="Times New Roman" w:hAnsi="Times New Roman" w:cs="Times New Roman"/>
                        <w:sz w:val="24"/>
                        <w:szCs w:val="24"/>
                      </w:rPr>
                      <w:instrText xml:space="preserve"> PAGE   \* MERGEFORMAT </w:instrText>
                    </w:r>
                    <w:r w:rsidRPr="00343755">
                      <w:rPr>
                        <w:rFonts w:ascii="Times New Roman" w:hAnsi="Times New Roman" w:cs="Times New Roman"/>
                        <w:sz w:val="24"/>
                        <w:szCs w:val="24"/>
                      </w:rPr>
                      <w:fldChar w:fldCharType="separate"/>
                    </w:r>
                    <w:r w:rsidR="00DD0C18" w:rsidRPr="00DD0C18">
                      <w:rPr>
                        <w:rFonts w:ascii="Times New Roman" w:hAnsi="Times New Roman" w:cs="Times New Roman"/>
                        <w:noProof/>
                        <w:color w:val="FFFFFF" w:themeColor="background1"/>
                        <w:sz w:val="24"/>
                        <w:szCs w:val="24"/>
                      </w:rPr>
                      <w:t>1</w:t>
                    </w:r>
                    <w:r w:rsidRPr="00343755">
                      <w:rPr>
                        <w:rFonts w:ascii="Times New Roman" w:hAnsi="Times New Roman" w:cs="Times New Roman"/>
                        <w:noProof/>
                        <w:color w:val="FFFFFF" w:themeColor="background1"/>
                        <w:sz w:val="24"/>
                        <w:szCs w:val="24"/>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A4" w:rsidRDefault="00DD0C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3.95pt;height:112.25pt;rotation:315;z-index:-251656704;mso-position-horizontal:center;mso-position-horizontal-relative:margin;mso-position-vertical:center;mso-position-vertical-relative:margin" o:allowincell="f" fillcolor="silver" stroked="f">
          <v:fill opacity=".5"/>
          <v:textpath style="font-family:&quot;Calibri&quot;;font-size:1pt" string="DRAFT JUDGMEN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9"/>
    <w:lvl w:ilvl="0">
      <w:start w:val="1"/>
      <w:numFmt w:val="decimal"/>
      <w:lvlText w:val="%1."/>
      <w:lvlJc w:val="left"/>
      <w:pPr>
        <w:ind w:left="0" w:hanging="567"/>
      </w:pPr>
    </w:lvl>
    <w:lvl w:ilvl="1">
      <w:start w:val="1"/>
      <w:numFmt w:val="decimal"/>
      <w:lvlText w:val="%1.%2."/>
      <w:lvlJc w:val="left"/>
      <w:pPr>
        <w:ind w:left="567" w:hanging="851"/>
      </w:pPr>
    </w:lvl>
    <w:lvl w:ilvl="2">
      <w:start w:val="1"/>
      <w:numFmt w:val="decimal"/>
      <w:lvlText w:val="%1.%2.%3."/>
      <w:lvlJc w:val="left"/>
      <w:pPr>
        <w:ind w:left="1418" w:hanging="1134"/>
      </w:pPr>
    </w:lvl>
    <w:lvl w:ilvl="3">
      <w:start w:val="1"/>
      <w:numFmt w:val="decimal"/>
      <w:lvlText w:val="%1.%2.%3.%4."/>
      <w:lvlJc w:val="left"/>
      <w:pPr>
        <w:ind w:left="2552" w:hanging="1134"/>
      </w:pPr>
    </w:lvl>
    <w:lvl w:ilvl="4">
      <w:start w:val="1"/>
      <w:numFmt w:val="decimal"/>
      <w:lvlText w:val="%1.%2.%3.%4.%5."/>
      <w:lvlJc w:val="left"/>
      <w:pPr>
        <w:ind w:left="3686" w:hanging="1134"/>
      </w:pPr>
    </w:lvl>
    <w:lvl w:ilvl="5">
      <w:start w:val="1"/>
      <w:numFmt w:val="decimal"/>
      <w:lvlText w:val="%1.%2.%3.%4.%5.%6."/>
      <w:lvlJc w:val="left"/>
      <w:pPr>
        <w:ind w:left="1800" w:hanging="936"/>
      </w:pPr>
    </w:lvl>
    <w:lvl w:ilvl="6">
      <w:start w:val="1"/>
      <w:numFmt w:val="decimal"/>
      <w:lvlText w:val="%1.%2.%3.%4.%5.%6.%7."/>
      <w:lvlJc w:val="left"/>
      <w:pPr>
        <w:ind w:left="2160" w:hanging="1080"/>
      </w:pPr>
    </w:lvl>
    <w:lvl w:ilvl="7">
      <w:start w:val="1"/>
      <w:numFmt w:val="decimal"/>
      <w:lvlText w:val="%1.%2.%3.%4.%5.%6.%7.%8."/>
      <w:lvlJc w:val="left"/>
      <w:pPr>
        <w:ind w:left="2520" w:hanging="1224"/>
      </w:pPr>
    </w:lvl>
    <w:lvl w:ilvl="8">
      <w:start w:val="1"/>
      <w:numFmt w:val="decimal"/>
      <w:lvlText w:val="%1.%2.%3.%4.%5.%6.%7.%8.%9."/>
      <w:lvlJc w:val="left"/>
      <w:pPr>
        <w:ind w:left="2880" w:hanging="1440"/>
      </w:pPr>
    </w:lvl>
  </w:abstractNum>
  <w:abstractNum w:abstractNumId="1" w15:restartNumberingAfterBreak="0">
    <w:nsid w:val="09C45954"/>
    <w:multiLevelType w:val="hybridMultilevel"/>
    <w:tmpl w:val="CF36D310"/>
    <w:lvl w:ilvl="0" w:tplc="79FC411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F3C2E7E"/>
    <w:multiLevelType w:val="hybridMultilevel"/>
    <w:tmpl w:val="E9B66BA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0D55BF4"/>
    <w:multiLevelType w:val="hybridMultilevel"/>
    <w:tmpl w:val="95C0629E"/>
    <w:lvl w:ilvl="0" w:tplc="DB422502">
      <w:start w:val="1"/>
      <w:numFmt w:val="lowerRoman"/>
      <w:lvlText w:val="%1)"/>
      <w:lvlJc w:val="left"/>
      <w:pPr>
        <w:ind w:left="1080" w:hanging="72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4311896"/>
    <w:multiLevelType w:val="hybridMultilevel"/>
    <w:tmpl w:val="9F6EEB74"/>
    <w:lvl w:ilvl="0" w:tplc="162613F2">
      <w:start w:val="2"/>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E7B38E5"/>
    <w:multiLevelType w:val="hybridMultilevel"/>
    <w:tmpl w:val="FB7ED6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13A155D"/>
    <w:multiLevelType w:val="hybridMultilevel"/>
    <w:tmpl w:val="9CDC17B4"/>
    <w:lvl w:ilvl="0" w:tplc="1046ACB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77FA148E"/>
    <w:multiLevelType w:val="hybridMultilevel"/>
    <w:tmpl w:val="565C6C7E"/>
    <w:lvl w:ilvl="0" w:tplc="7FB23D1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15:restartNumberingAfterBreak="0">
    <w:nsid w:val="7B1D4C51"/>
    <w:multiLevelType w:val="hybridMultilevel"/>
    <w:tmpl w:val="A8C054C8"/>
    <w:lvl w:ilvl="0" w:tplc="BDCA6414">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3FF"/>
    <w:rsid w:val="00000678"/>
    <w:rsid w:val="0000570F"/>
    <w:rsid w:val="00030313"/>
    <w:rsid w:val="00042DE1"/>
    <w:rsid w:val="000447B9"/>
    <w:rsid w:val="00045769"/>
    <w:rsid w:val="00046165"/>
    <w:rsid w:val="00051616"/>
    <w:rsid w:val="00056579"/>
    <w:rsid w:val="00064554"/>
    <w:rsid w:val="0006616D"/>
    <w:rsid w:val="00073401"/>
    <w:rsid w:val="00075AD4"/>
    <w:rsid w:val="000A6A0C"/>
    <w:rsid w:val="000A7AA1"/>
    <w:rsid w:val="000A7F56"/>
    <w:rsid w:val="000C543E"/>
    <w:rsid w:val="000D65E1"/>
    <w:rsid w:val="000E0E8E"/>
    <w:rsid w:val="000F6153"/>
    <w:rsid w:val="001163D4"/>
    <w:rsid w:val="0012744C"/>
    <w:rsid w:val="00133161"/>
    <w:rsid w:val="00142424"/>
    <w:rsid w:val="001438D4"/>
    <w:rsid w:val="0014504A"/>
    <w:rsid w:val="00170154"/>
    <w:rsid w:val="001730F8"/>
    <w:rsid w:val="00177E2D"/>
    <w:rsid w:val="001A6876"/>
    <w:rsid w:val="001B3D4E"/>
    <w:rsid w:val="001B4210"/>
    <w:rsid w:val="001D1AD9"/>
    <w:rsid w:val="001D5D79"/>
    <w:rsid w:val="001E0552"/>
    <w:rsid w:val="001E133C"/>
    <w:rsid w:val="001E250B"/>
    <w:rsid w:val="001E54F2"/>
    <w:rsid w:val="001F5B0B"/>
    <w:rsid w:val="0020484E"/>
    <w:rsid w:val="00236762"/>
    <w:rsid w:val="00241133"/>
    <w:rsid w:val="002420BC"/>
    <w:rsid w:val="0026421E"/>
    <w:rsid w:val="0026456D"/>
    <w:rsid w:val="00270B58"/>
    <w:rsid w:val="00274B9A"/>
    <w:rsid w:val="00285789"/>
    <w:rsid w:val="0028744C"/>
    <w:rsid w:val="002A4A06"/>
    <w:rsid w:val="002B4C77"/>
    <w:rsid w:val="002C0A94"/>
    <w:rsid w:val="002C19A4"/>
    <w:rsid w:val="002C5100"/>
    <w:rsid w:val="002C5D0B"/>
    <w:rsid w:val="002C6CEF"/>
    <w:rsid w:val="002D0648"/>
    <w:rsid w:val="002F1789"/>
    <w:rsid w:val="00304BFB"/>
    <w:rsid w:val="003101DC"/>
    <w:rsid w:val="003143FF"/>
    <w:rsid w:val="003177E2"/>
    <w:rsid w:val="00321F3C"/>
    <w:rsid w:val="00327B51"/>
    <w:rsid w:val="0033337F"/>
    <w:rsid w:val="00341530"/>
    <w:rsid w:val="00343755"/>
    <w:rsid w:val="003437C3"/>
    <w:rsid w:val="003445F2"/>
    <w:rsid w:val="00346515"/>
    <w:rsid w:val="0034715C"/>
    <w:rsid w:val="00372ABA"/>
    <w:rsid w:val="00380DBF"/>
    <w:rsid w:val="00381463"/>
    <w:rsid w:val="0039316D"/>
    <w:rsid w:val="00395D31"/>
    <w:rsid w:val="003A0E2A"/>
    <w:rsid w:val="003A3589"/>
    <w:rsid w:val="003B5AF7"/>
    <w:rsid w:val="003C31C0"/>
    <w:rsid w:val="003C6E07"/>
    <w:rsid w:val="003E392F"/>
    <w:rsid w:val="003E60CC"/>
    <w:rsid w:val="003F651D"/>
    <w:rsid w:val="00401B25"/>
    <w:rsid w:val="00401E89"/>
    <w:rsid w:val="004021CC"/>
    <w:rsid w:val="00407CE8"/>
    <w:rsid w:val="00421798"/>
    <w:rsid w:val="00425962"/>
    <w:rsid w:val="00443111"/>
    <w:rsid w:val="00443731"/>
    <w:rsid w:val="0045271A"/>
    <w:rsid w:val="004536F4"/>
    <w:rsid w:val="00453A4E"/>
    <w:rsid w:val="004543BB"/>
    <w:rsid w:val="00454581"/>
    <w:rsid w:val="00457E37"/>
    <w:rsid w:val="00461867"/>
    <w:rsid w:val="00462F9D"/>
    <w:rsid w:val="0046482D"/>
    <w:rsid w:val="00466903"/>
    <w:rsid w:val="00474E0F"/>
    <w:rsid w:val="004751DB"/>
    <w:rsid w:val="0049648C"/>
    <w:rsid w:val="00496E35"/>
    <w:rsid w:val="004A0796"/>
    <w:rsid w:val="004A15A9"/>
    <w:rsid w:val="004A209E"/>
    <w:rsid w:val="004A6A25"/>
    <w:rsid w:val="004A6E6D"/>
    <w:rsid w:val="004D31DD"/>
    <w:rsid w:val="004E172B"/>
    <w:rsid w:val="004F2FE0"/>
    <w:rsid w:val="004F6F0B"/>
    <w:rsid w:val="004F7DC3"/>
    <w:rsid w:val="00501A5B"/>
    <w:rsid w:val="0051165F"/>
    <w:rsid w:val="00512C67"/>
    <w:rsid w:val="005151D2"/>
    <w:rsid w:val="00523492"/>
    <w:rsid w:val="005338FF"/>
    <w:rsid w:val="00542857"/>
    <w:rsid w:val="00544A15"/>
    <w:rsid w:val="00565034"/>
    <w:rsid w:val="00573138"/>
    <w:rsid w:val="005874BF"/>
    <w:rsid w:val="005877E6"/>
    <w:rsid w:val="005953E5"/>
    <w:rsid w:val="005A3612"/>
    <w:rsid w:val="005A5867"/>
    <w:rsid w:val="005A7593"/>
    <w:rsid w:val="005B55BC"/>
    <w:rsid w:val="005C2B58"/>
    <w:rsid w:val="005C4430"/>
    <w:rsid w:val="005E1DBB"/>
    <w:rsid w:val="005F5369"/>
    <w:rsid w:val="005F5ED2"/>
    <w:rsid w:val="005F700B"/>
    <w:rsid w:val="006052B7"/>
    <w:rsid w:val="0060674F"/>
    <w:rsid w:val="00613B51"/>
    <w:rsid w:val="006164A1"/>
    <w:rsid w:val="0062605C"/>
    <w:rsid w:val="00637FFD"/>
    <w:rsid w:val="00641882"/>
    <w:rsid w:val="00644522"/>
    <w:rsid w:val="006566F3"/>
    <w:rsid w:val="0066085E"/>
    <w:rsid w:val="006756A0"/>
    <w:rsid w:val="00684ACF"/>
    <w:rsid w:val="006A2430"/>
    <w:rsid w:val="006B2341"/>
    <w:rsid w:val="006E0DBB"/>
    <w:rsid w:val="006E1B65"/>
    <w:rsid w:val="006E2244"/>
    <w:rsid w:val="00707503"/>
    <w:rsid w:val="00707BCE"/>
    <w:rsid w:val="00710B12"/>
    <w:rsid w:val="00716180"/>
    <w:rsid w:val="0071786D"/>
    <w:rsid w:val="007344BD"/>
    <w:rsid w:val="00737E98"/>
    <w:rsid w:val="00747C8B"/>
    <w:rsid w:val="007503E6"/>
    <w:rsid w:val="0075155E"/>
    <w:rsid w:val="0075728C"/>
    <w:rsid w:val="00765B8D"/>
    <w:rsid w:val="00766F85"/>
    <w:rsid w:val="00767E29"/>
    <w:rsid w:val="0077065A"/>
    <w:rsid w:val="007720FF"/>
    <w:rsid w:val="007729CA"/>
    <w:rsid w:val="00772D5B"/>
    <w:rsid w:val="0077309B"/>
    <w:rsid w:val="00773285"/>
    <w:rsid w:val="00785BE0"/>
    <w:rsid w:val="00793A31"/>
    <w:rsid w:val="00794DE2"/>
    <w:rsid w:val="007A237D"/>
    <w:rsid w:val="007A3FF2"/>
    <w:rsid w:val="007B5CDC"/>
    <w:rsid w:val="007C4B5B"/>
    <w:rsid w:val="007C6B0A"/>
    <w:rsid w:val="007D45CE"/>
    <w:rsid w:val="007E3041"/>
    <w:rsid w:val="007E4F57"/>
    <w:rsid w:val="007E7DD5"/>
    <w:rsid w:val="00823108"/>
    <w:rsid w:val="00836168"/>
    <w:rsid w:val="008405AD"/>
    <w:rsid w:val="00844C3A"/>
    <w:rsid w:val="008455B5"/>
    <w:rsid w:val="008479EB"/>
    <w:rsid w:val="008539C8"/>
    <w:rsid w:val="008624E2"/>
    <w:rsid w:val="00870629"/>
    <w:rsid w:val="0087748A"/>
    <w:rsid w:val="00880069"/>
    <w:rsid w:val="00887CFC"/>
    <w:rsid w:val="00887E0B"/>
    <w:rsid w:val="00895444"/>
    <w:rsid w:val="0089776F"/>
    <w:rsid w:val="008A33B3"/>
    <w:rsid w:val="008A58D8"/>
    <w:rsid w:val="008D62F1"/>
    <w:rsid w:val="008E75AA"/>
    <w:rsid w:val="008F347E"/>
    <w:rsid w:val="009125EA"/>
    <w:rsid w:val="00920906"/>
    <w:rsid w:val="0093609F"/>
    <w:rsid w:val="009364FC"/>
    <w:rsid w:val="00936E59"/>
    <w:rsid w:val="009452CB"/>
    <w:rsid w:val="009463A6"/>
    <w:rsid w:val="009464D1"/>
    <w:rsid w:val="009518D2"/>
    <w:rsid w:val="009729DF"/>
    <w:rsid w:val="009A5550"/>
    <w:rsid w:val="009A7092"/>
    <w:rsid w:val="009A7A7A"/>
    <w:rsid w:val="009B06DA"/>
    <w:rsid w:val="009B1623"/>
    <w:rsid w:val="009B22EC"/>
    <w:rsid w:val="009C0E4C"/>
    <w:rsid w:val="009D3D4F"/>
    <w:rsid w:val="009D67AD"/>
    <w:rsid w:val="009E357E"/>
    <w:rsid w:val="009F160B"/>
    <w:rsid w:val="009F7976"/>
    <w:rsid w:val="00A22780"/>
    <w:rsid w:val="00A31B2B"/>
    <w:rsid w:val="00A40709"/>
    <w:rsid w:val="00A42CFD"/>
    <w:rsid w:val="00A46C67"/>
    <w:rsid w:val="00A50234"/>
    <w:rsid w:val="00A53EA4"/>
    <w:rsid w:val="00A54AD2"/>
    <w:rsid w:val="00A5597A"/>
    <w:rsid w:val="00A6690F"/>
    <w:rsid w:val="00A71BDA"/>
    <w:rsid w:val="00A806E7"/>
    <w:rsid w:val="00A93D02"/>
    <w:rsid w:val="00A971AE"/>
    <w:rsid w:val="00AA49F0"/>
    <w:rsid w:val="00AB0039"/>
    <w:rsid w:val="00AB1188"/>
    <w:rsid w:val="00AB1CEB"/>
    <w:rsid w:val="00AB262A"/>
    <w:rsid w:val="00AB4DCB"/>
    <w:rsid w:val="00AC4EE9"/>
    <w:rsid w:val="00AD104E"/>
    <w:rsid w:val="00AE0492"/>
    <w:rsid w:val="00AE1B05"/>
    <w:rsid w:val="00AE7A42"/>
    <w:rsid w:val="00AF4421"/>
    <w:rsid w:val="00AF579D"/>
    <w:rsid w:val="00AF7930"/>
    <w:rsid w:val="00B06955"/>
    <w:rsid w:val="00B07A08"/>
    <w:rsid w:val="00B1038E"/>
    <w:rsid w:val="00B110AF"/>
    <w:rsid w:val="00B16E99"/>
    <w:rsid w:val="00B2795D"/>
    <w:rsid w:val="00B3423B"/>
    <w:rsid w:val="00B420A0"/>
    <w:rsid w:val="00B511AA"/>
    <w:rsid w:val="00B512F0"/>
    <w:rsid w:val="00B535DD"/>
    <w:rsid w:val="00B64D9B"/>
    <w:rsid w:val="00B73841"/>
    <w:rsid w:val="00B75C0B"/>
    <w:rsid w:val="00B76464"/>
    <w:rsid w:val="00B76F55"/>
    <w:rsid w:val="00B92076"/>
    <w:rsid w:val="00B956DC"/>
    <w:rsid w:val="00BB3EA3"/>
    <w:rsid w:val="00BB7E47"/>
    <w:rsid w:val="00BC11A5"/>
    <w:rsid w:val="00BC67DF"/>
    <w:rsid w:val="00BD02C6"/>
    <w:rsid w:val="00BD5228"/>
    <w:rsid w:val="00BF2AAF"/>
    <w:rsid w:val="00BF2C6A"/>
    <w:rsid w:val="00BF77AD"/>
    <w:rsid w:val="00BF794E"/>
    <w:rsid w:val="00C01D73"/>
    <w:rsid w:val="00C121EC"/>
    <w:rsid w:val="00C125E9"/>
    <w:rsid w:val="00C14FED"/>
    <w:rsid w:val="00C20DDE"/>
    <w:rsid w:val="00C32B6B"/>
    <w:rsid w:val="00C32E8D"/>
    <w:rsid w:val="00C368F8"/>
    <w:rsid w:val="00C5419C"/>
    <w:rsid w:val="00C545A0"/>
    <w:rsid w:val="00C6720A"/>
    <w:rsid w:val="00C728D9"/>
    <w:rsid w:val="00C76AFD"/>
    <w:rsid w:val="00C770E7"/>
    <w:rsid w:val="00C77F5B"/>
    <w:rsid w:val="00C86B04"/>
    <w:rsid w:val="00C97EA8"/>
    <w:rsid w:val="00CA43FB"/>
    <w:rsid w:val="00CC1617"/>
    <w:rsid w:val="00CE05C0"/>
    <w:rsid w:val="00CE16AB"/>
    <w:rsid w:val="00CE5921"/>
    <w:rsid w:val="00CE638B"/>
    <w:rsid w:val="00CE7234"/>
    <w:rsid w:val="00CE7737"/>
    <w:rsid w:val="00D029B3"/>
    <w:rsid w:val="00D23141"/>
    <w:rsid w:val="00D41887"/>
    <w:rsid w:val="00D47610"/>
    <w:rsid w:val="00D530F1"/>
    <w:rsid w:val="00D53AB0"/>
    <w:rsid w:val="00D65481"/>
    <w:rsid w:val="00D67A24"/>
    <w:rsid w:val="00D74078"/>
    <w:rsid w:val="00D74559"/>
    <w:rsid w:val="00D7720B"/>
    <w:rsid w:val="00D85044"/>
    <w:rsid w:val="00DA4A7F"/>
    <w:rsid w:val="00DB683D"/>
    <w:rsid w:val="00DC192F"/>
    <w:rsid w:val="00DC4936"/>
    <w:rsid w:val="00DD0C18"/>
    <w:rsid w:val="00DD1720"/>
    <w:rsid w:val="00DD2CC8"/>
    <w:rsid w:val="00DD3E49"/>
    <w:rsid w:val="00DD4311"/>
    <w:rsid w:val="00DD4E15"/>
    <w:rsid w:val="00DD591C"/>
    <w:rsid w:val="00DE363E"/>
    <w:rsid w:val="00DE65DC"/>
    <w:rsid w:val="00DF6F7F"/>
    <w:rsid w:val="00E04AF5"/>
    <w:rsid w:val="00E269D0"/>
    <w:rsid w:val="00E26EEF"/>
    <w:rsid w:val="00E45D4C"/>
    <w:rsid w:val="00E473B4"/>
    <w:rsid w:val="00E5360E"/>
    <w:rsid w:val="00E701F7"/>
    <w:rsid w:val="00E73374"/>
    <w:rsid w:val="00E7593B"/>
    <w:rsid w:val="00E90D21"/>
    <w:rsid w:val="00E95466"/>
    <w:rsid w:val="00EC31C9"/>
    <w:rsid w:val="00EC5B10"/>
    <w:rsid w:val="00EC7D78"/>
    <w:rsid w:val="00ED4EF9"/>
    <w:rsid w:val="00EF06E5"/>
    <w:rsid w:val="00EF0859"/>
    <w:rsid w:val="00F12F61"/>
    <w:rsid w:val="00F15D2B"/>
    <w:rsid w:val="00F27648"/>
    <w:rsid w:val="00F30A15"/>
    <w:rsid w:val="00F346D8"/>
    <w:rsid w:val="00F34E43"/>
    <w:rsid w:val="00F3743C"/>
    <w:rsid w:val="00F4034A"/>
    <w:rsid w:val="00F47B19"/>
    <w:rsid w:val="00F47F89"/>
    <w:rsid w:val="00F52588"/>
    <w:rsid w:val="00F61A0A"/>
    <w:rsid w:val="00F67AFF"/>
    <w:rsid w:val="00F67E95"/>
    <w:rsid w:val="00F73658"/>
    <w:rsid w:val="00F751DC"/>
    <w:rsid w:val="00F7678B"/>
    <w:rsid w:val="00F80521"/>
    <w:rsid w:val="00F84BD7"/>
    <w:rsid w:val="00F910B5"/>
    <w:rsid w:val="00F95E18"/>
    <w:rsid w:val="00FB333C"/>
    <w:rsid w:val="00FC2B3F"/>
    <w:rsid w:val="00FC2D14"/>
    <w:rsid w:val="00FD4A2A"/>
    <w:rsid w:val="00FE4D46"/>
    <w:rsid w:val="00FF0F26"/>
    <w:rsid w:val="00FF25A0"/>
    <w:rsid w:val="00FF4B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902AD76-1189-45D8-898B-3E064679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F2"/>
    <w:pPr>
      <w:ind w:left="720"/>
      <w:contextualSpacing/>
    </w:pPr>
  </w:style>
  <w:style w:type="paragraph" w:styleId="FootnoteText">
    <w:name w:val="footnote text"/>
    <w:basedOn w:val="Normal"/>
    <w:link w:val="FootnoteTextChar"/>
    <w:uiPriority w:val="99"/>
    <w:semiHidden/>
    <w:unhideWhenUsed/>
    <w:rsid w:val="007E30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041"/>
    <w:rPr>
      <w:sz w:val="20"/>
      <w:szCs w:val="20"/>
    </w:rPr>
  </w:style>
  <w:style w:type="character" w:styleId="FootnoteReference">
    <w:name w:val="footnote reference"/>
    <w:basedOn w:val="DefaultParagraphFont"/>
    <w:uiPriority w:val="99"/>
    <w:semiHidden/>
    <w:unhideWhenUsed/>
    <w:rsid w:val="007E3041"/>
    <w:rPr>
      <w:vertAlign w:val="superscript"/>
    </w:rPr>
  </w:style>
  <w:style w:type="paragraph" w:styleId="BalloonText">
    <w:name w:val="Balloon Text"/>
    <w:basedOn w:val="Normal"/>
    <w:link w:val="BalloonTextChar"/>
    <w:uiPriority w:val="99"/>
    <w:semiHidden/>
    <w:unhideWhenUsed/>
    <w:rsid w:val="005B5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5BC"/>
    <w:rPr>
      <w:rFonts w:ascii="Segoe UI" w:hAnsi="Segoe UI" w:cs="Segoe UI"/>
      <w:sz w:val="18"/>
      <w:szCs w:val="18"/>
    </w:rPr>
  </w:style>
  <w:style w:type="paragraph" w:styleId="Header">
    <w:name w:val="header"/>
    <w:basedOn w:val="Normal"/>
    <w:link w:val="HeaderChar"/>
    <w:uiPriority w:val="99"/>
    <w:unhideWhenUsed/>
    <w:rsid w:val="00E70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F7"/>
  </w:style>
  <w:style w:type="paragraph" w:styleId="Footer">
    <w:name w:val="footer"/>
    <w:basedOn w:val="Normal"/>
    <w:link w:val="FooterChar"/>
    <w:uiPriority w:val="99"/>
    <w:unhideWhenUsed/>
    <w:rsid w:val="00E70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1F7"/>
  </w:style>
  <w:style w:type="paragraph" w:styleId="EndnoteText">
    <w:name w:val="endnote text"/>
    <w:basedOn w:val="Normal"/>
    <w:link w:val="EndnoteTextChar"/>
    <w:uiPriority w:val="99"/>
    <w:semiHidden/>
    <w:unhideWhenUsed/>
    <w:rsid w:val="008231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108"/>
    <w:rPr>
      <w:sz w:val="20"/>
      <w:szCs w:val="20"/>
    </w:rPr>
  </w:style>
  <w:style w:type="character" w:styleId="EndnoteReference">
    <w:name w:val="endnote reference"/>
    <w:basedOn w:val="DefaultParagraphFont"/>
    <w:uiPriority w:val="99"/>
    <w:semiHidden/>
    <w:unhideWhenUsed/>
    <w:rsid w:val="00823108"/>
    <w:rPr>
      <w:vertAlign w:val="superscript"/>
    </w:rPr>
  </w:style>
  <w:style w:type="paragraph" w:styleId="NormalWeb">
    <w:name w:val="Normal (Web)"/>
    <w:basedOn w:val="Normal"/>
    <w:uiPriority w:val="99"/>
    <w:semiHidden/>
    <w:unhideWhenUsed/>
    <w:rsid w:val="00FC2B3F"/>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SubtleEmphasis">
    <w:name w:val="Subtle Emphasis"/>
    <w:basedOn w:val="DefaultParagraphFont"/>
    <w:uiPriority w:val="19"/>
    <w:qFormat/>
    <w:rsid w:val="00EF085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5702">
      <w:bodyDiv w:val="1"/>
      <w:marLeft w:val="0"/>
      <w:marRight w:val="0"/>
      <w:marTop w:val="0"/>
      <w:marBottom w:val="0"/>
      <w:divBdr>
        <w:top w:val="none" w:sz="0" w:space="0" w:color="auto"/>
        <w:left w:val="none" w:sz="0" w:space="0" w:color="auto"/>
        <w:bottom w:val="none" w:sz="0" w:space="0" w:color="auto"/>
        <w:right w:val="none" w:sz="0" w:space="0" w:color="auto"/>
      </w:divBdr>
    </w:div>
    <w:div w:id="283780783">
      <w:bodyDiv w:val="1"/>
      <w:marLeft w:val="0"/>
      <w:marRight w:val="0"/>
      <w:marTop w:val="0"/>
      <w:marBottom w:val="0"/>
      <w:divBdr>
        <w:top w:val="none" w:sz="0" w:space="0" w:color="auto"/>
        <w:left w:val="none" w:sz="0" w:space="0" w:color="auto"/>
        <w:bottom w:val="none" w:sz="0" w:space="0" w:color="auto"/>
        <w:right w:val="none" w:sz="0" w:space="0" w:color="auto"/>
      </w:divBdr>
    </w:div>
    <w:div w:id="348526306">
      <w:bodyDiv w:val="1"/>
      <w:marLeft w:val="0"/>
      <w:marRight w:val="0"/>
      <w:marTop w:val="0"/>
      <w:marBottom w:val="0"/>
      <w:divBdr>
        <w:top w:val="none" w:sz="0" w:space="0" w:color="auto"/>
        <w:left w:val="none" w:sz="0" w:space="0" w:color="auto"/>
        <w:bottom w:val="none" w:sz="0" w:space="0" w:color="auto"/>
        <w:right w:val="none" w:sz="0" w:space="0" w:color="auto"/>
      </w:divBdr>
    </w:div>
    <w:div w:id="436682259">
      <w:bodyDiv w:val="1"/>
      <w:marLeft w:val="0"/>
      <w:marRight w:val="0"/>
      <w:marTop w:val="0"/>
      <w:marBottom w:val="0"/>
      <w:divBdr>
        <w:top w:val="none" w:sz="0" w:space="0" w:color="auto"/>
        <w:left w:val="none" w:sz="0" w:space="0" w:color="auto"/>
        <w:bottom w:val="none" w:sz="0" w:space="0" w:color="auto"/>
        <w:right w:val="none" w:sz="0" w:space="0" w:color="auto"/>
      </w:divBdr>
    </w:div>
    <w:div w:id="493373441">
      <w:bodyDiv w:val="1"/>
      <w:marLeft w:val="0"/>
      <w:marRight w:val="0"/>
      <w:marTop w:val="0"/>
      <w:marBottom w:val="0"/>
      <w:divBdr>
        <w:top w:val="none" w:sz="0" w:space="0" w:color="auto"/>
        <w:left w:val="none" w:sz="0" w:space="0" w:color="auto"/>
        <w:bottom w:val="none" w:sz="0" w:space="0" w:color="auto"/>
        <w:right w:val="none" w:sz="0" w:space="0" w:color="auto"/>
      </w:divBdr>
    </w:div>
    <w:div w:id="641035628">
      <w:bodyDiv w:val="1"/>
      <w:marLeft w:val="0"/>
      <w:marRight w:val="0"/>
      <w:marTop w:val="0"/>
      <w:marBottom w:val="0"/>
      <w:divBdr>
        <w:top w:val="none" w:sz="0" w:space="0" w:color="auto"/>
        <w:left w:val="none" w:sz="0" w:space="0" w:color="auto"/>
        <w:bottom w:val="none" w:sz="0" w:space="0" w:color="auto"/>
        <w:right w:val="none" w:sz="0" w:space="0" w:color="auto"/>
      </w:divBdr>
    </w:div>
    <w:div w:id="737046970">
      <w:bodyDiv w:val="1"/>
      <w:marLeft w:val="0"/>
      <w:marRight w:val="0"/>
      <w:marTop w:val="0"/>
      <w:marBottom w:val="0"/>
      <w:divBdr>
        <w:top w:val="none" w:sz="0" w:space="0" w:color="auto"/>
        <w:left w:val="none" w:sz="0" w:space="0" w:color="auto"/>
        <w:bottom w:val="none" w:sz="0" w:space="0" w:color="auto"/>
        <w:right w:val="none" w:sz="0" w:space="0" w:color="auto"/>
      </w:divBdr>
    </w:div>
    <w:div w:id="775952394">
      <w:bodyDiv w:val="1"/>
      <w:marLeft w:val="0"/>
      <w:marRight w:val="0"/>
      <w:marTop w:val="0"/>
      <w:marBottom w:val="0"/>
      <w:divBdr>
        <w:top w:val="none" w:sz="0" w:space="0" w:color="auto"/>
        <w:left w:val="none" w:sz="0" w:space="0" w:color="auto"/>
        <w:bottom w:val="none" w:sz="0" w:space="0" w:color="auto"/>
        <w:right w:val="none" w:sz="0" w:space="0" w:color="auto"/>
      </w:divBdr>
    </w:div>
    <w:div w:id="844245467">
      <w:bodyDiv w:val="1"/>
      <w:marLeft w:val="0"/>
      <w:marRight w:val="0"/>
      <w:marTop w:val="0"/>
      <w:marBottom w:val="0"/>
      <w:divBdr>
        <w:top w:val="none" w:sz="0" w:space="0" w:color="auto"/>
        <w:left w:val="none" w:sz="0" w:space="0" w:color="auto"/>
        <w:bottom w:val="none" w:sz="0" w:space="0" w:color="auto"/>
        <w:right w:val="none" w:sz="0" w:space="0" w:color="auto"/>
      </w:divBdr>
    </w:div>
    <w:div w:id="985280257">
      <w:bodyDiv w:val="1"/>
      <w:marLeft w:val="0"/>
      <w:marRight w:val="0"/>
      <w:marTop w:val="0"/>
      <w:marBottom w:val="0"/>
      <w:divBdr>
        <w:top w:val="none" w:sz="0" w:space="0" w:color="auto"/>
        <w:left w:val="none" w:sz="0" w:space="0" w:color="auto"/>
        <w:bottom w:val="none" w:sz="0" w:space="0" w:color="auto"/>
        <w:right w:val="none" w:sz="0" w:space="0" w:color="auto"/>
      </w:divBdr>
    </w:div>
    <w:div w:id="1135443858">
      <w:bodyDiv w:val="1"/>
      <w:marLeft w:val="0"/>
      <w:marRight w:val="0"/>
      <w:marTop w:val="0"/>
      <w:marBottom w:val="0"/>
      <w:divBdr>
        <w:top w:val="none" w:sz="0" w:space="0" w:color="auto"/>
        <w:left w:val="none" w:sz="0" w:space="0" w:color="auto"/>
        <w:bottom w:val="none" w:sz="0" w:space="0" w:color="auto"/>
        <w:right w:val="none" w:sz="0" w:space="0" w:color="auto"/>
      </w:divBdr>
    </w:div>
    <w:div w:id="1162693544">
      <w:bodyDiv w:val="1"/>
      <w:marLeft w:val="0"/>
      <w:marRight w:val="0"/>
      <w:marTop w:val="0"/>
      <w:marBottom w:val="0"/>
      <w:divBdr>
        <w:top w:val="none" w:sz="0" w:space="0" w:color="auto"/>
        <w:left w:val="none" w:sz="0" w:space="0" w:color="auto"/>
        <w:bottom w:val="none" w:sz="0" w:space="0" w:color="auto"/>
        <w:right w:val="none" w:sz="0" w:space="0" w:color="auto"/>
      </w:divBdr>
    </w:div>
    <w:div w:id="1167091755">
      <w:bodyDiv w:val="1"/>
      <w:marLeft w:val="0"/>
      <w:marRight w:val="0"/>
      <w:marTop w:val="0"/>
      <w:marBottom w:val="0"/>
      <w:divBdr>
        <w:top w:val="none" w:sz="0" w:space="0" w:color="auto"/>
        <w:left w:val="none" w:sz="0" w:space="0" w:color="auto"/>
        <w:bottom w:val="none" w:sz="0" w:space="0" w:color="auto"/>
        <w:right w:val="none" w:sz="0" w:space="0" w:color="auto"/>
      </w:divBdr>
    </w:div>
    <w:div w:id="1246914875">
      <w:bodyDiv w:val="1"/>
      <w:marLeft w:val="0"/>
      <w:marRight w:val="0"/>
      <w:marTop w:val="0"/>
      <w:marBottom w:val="0"/>
      <w:divBdr>
        <w:top w:val="none" w:sz="0" w:space="0" w:color="auto"/>
        <w:left w:val="none" w:sz="0" w:space="0" w:color="auto"/>
        <w:bottom w:val="none" w:sz="0" w:space="0" w:color="auto"/>
        <w:right w:val="none" w:sz="0" w:space="0" w:color="auto"/>
      </w:divBdr>
    </w:div>
    <w:div w:id="1436515812">
      <w:bodyDiv w:val="1"/>
      <w:marLeft w:val="0"/>
      <w:marRight w:val="0"/>
      <w:marTop w:val="0"/>
      <w:marBottom w:val="0"/>
      <w:divBdr>
        <w:top w:val="none" w:sz="0" w:space="0" w:color="auto"/>
        <w:left w:val="none" w:sz="0" w:space="0" w:color="auto"/>
        <w:bottom w:val="none" w:sz="0" w:space="0" w:color="auto"/>
        <w:right w:val="none" w:sz="0" w:space="0" w:color="auto"/>
      </w:divBdr>
    </w:div>
    <w:div w:id="1458529353">
      <w:bodyDiv w:val="1"/>
      <w:marLeft w:val="0"/>
      <w:marRight w:val="0"/>
      <w:marTop w:val="0"/>
      <w:marBottom w:val="0"/>
      <w:divBdr>
        <w:top w:val="none" w:sz="0" w:space="0" w:color="auto"/>
        <w:left w:val="none" w:sz="0" w:space="0" w:color="auto"/>
        <w:bottom w:val="none" w:sz="0" w:space="0" w:color="auto"/>
        <w:right w:val="none" w:sz="0" w:space="0" w:color="auto"/>
      </w:divBdr>
    </w:div>
    <w:div w:id="1477066890">
      <w:bodyDiv w:val="1"/>
      <w:marLeft w:val="0"/>
      <w:marRight w:val="0"/>
      <w:marTop w:val="0"/>
      <w:marBottom w:val="0"/>
      <w:divBdr>
        <w:top w:val="none" w:sz="0" w:space="0" w:color="auto"/>
        <w:left w:val="none" w:sz="0" w:space="0" w:color="auto"/>
        <w:bottom w:val="none" w:sz="0" w:space="0" w:color="auto"/>
        <w:right w:val="none" w:sz="0" w:space="0" w:color="auto"/>
      </w:divBdr>
    </w:div>
    <w:div w:id="1486631464">
      <w:bodyDiv w:val="1"/>
      <w:marLeft w:val="0"/>
      <w:marRight w:val="0"/>
      <w:marTop w:val="0"/>
      <w:marBottom w:val="0"/>
      <w:divBdr>
        <w:top w:val="none" w:sz="0" w:space="0" w:color="auto"/>
        <w:left w:val="none" w:sz="0" w:space="0" w:color="auto"/>
        <w:bottom w:val="none" w:sz="0" w:space="0" w:color="auto"/>
        <w:right w:val="none" w:sz="0" w:space="0" w:color="auto"/>
      </w:divBdr>
    </w:div>
    <w:div w:id="1488472381">
      <w:bodyDiv w:val="1"/>
      <w:marLeft w:val="0"/>
      <w:marRight w:val="0"/>
      <w:marTop w:val="0"/>
      <w:marBottom w:val="0"/>
      <w:divBdr>
        <w:top w:val="none" w:sz="0" w:space="0" w:color="auto"/>
        <w:left w:val="none" w:sz="0" w:space="0" w:color="auto"/>
        <w:bottom w:val="none" w:sz="0" w:space="0" w:color="auto"/>
        <w:right w:val="none" w:sz="0" w:space="0" w:color="auto"/>
      </w:divBdr>
    </w:div>
    <w:div w:id="1561483391">
      <w:bodyDiv w:val="1"/>
      <w:marLeft w:val="0"/>
      <w:marRight w:val="0"/>
      <w:marTop w:val="0"/>
      <w:marBottom w:val="0"/>
      <w:divBdr>
        <w:top w:val="none" w:sz="0" w:space="0" w:color="auto"/>
        <w:left w:val="none" w:sz="0" w:space="0" w:color="auto"/>
        <w:bottom w:val="none" w:sz="0" w:space="0" w:color="auto"/>
        <w:right w:val="none" w:sz="0" w:space="0" w:color="auto"/>
      </w:divBdr>
    </w:div>
    <w:div w:id="1798334011">
      <w:bodyDiv w:val="1"/>
      <w:marLeft w:val="0"/>
      <w:marRight w:val="0"/>
      <w:marTop w:val="0"/>
      <w:marBottom w:val="0"/>
      <w:divBdr>
        <w:top w:val="none" w:sz="0" w:space="0" w:color="auto"/>
        <w:left w:val="none" w:sz="0" w:space="0" w:color="auto"/>
        <w:bottom w:val="none" w:sz="0" w:space="0" w:color="auto"/>
        <w:right w:val="none" w:sz="0" w:space="0" w:color="auto"/>
      </w:divBdr>
    </w:div>
    <w:div w:id="1996833903">
      <w:bodyDiv w:val="1"/>
      <w:marLeft w:val="0"/>
      <w:marRight w:val="0"/>
      <w:marTop w:val="0"/>
      <w:marBottom w:val="0"/>
      <w:divBdr>
        <w:top w:val="none" w:sz="0" w:space="0" w:color="auto"/>
        <w:left w:val="none" w:sz="0" w:space="0" w:color="auto"/>
        <w:bottom w:val="none" w:sz="0" w:space="0" w:color="auto"/>
        <w:right w:val="none" w:sz="0" w:space="0" w:color="auto"/>
      </w:divBdr>
    </w:div>
    <w:div w:id="201368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54D0-6B5C-4614-8796-89AD1D75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3699</Words>
  <Characters>21088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jsc</cp:lastModifiedBy>
  <cp:revision>2</cp:revision>
  <cp:lastPrinted>2019-10-21T08:45:00Z</cp:lastPrinted>
  <dcterms:created xsi:type="dcterms:W3CDTF">2020-05-12T08:35:00Z</dcterms:created>
  <dcterms:modified xsi:type="dcterms:W3CDTF">2020-05-12T08:35:00Z</dcterms:modified>
</cp:coreProperties>
</file>