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08" w:rsidRDefault="00A1273F" w:rsidP="00A1273F">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076645">
        <w:rPr>
          <w:rFonts w:asciiTheme="majorHAnsi" w:hAnsiTheme="majorHAnsi"/>
          <w:b/>
          <w:sz w:val="24"/>
          <w:szCs w:val="24"/>
        </w:rPr>
        <w:t>663</w:t>
      </w:r>
      <w:bookmarkStart w:id="0" w:name="_GoBack"/>
      <w:bookmarkEnd w:id="0"/>
      <w:r>
        <w:rPr>
          <w:rFonts w:asciiTheme="majorHAnsi" w:hAnsiTheme="majorHAnsi"/>
          <w:b/>
          <w:sz w:val="24"/>
          <w:szCs w:val="24"/>
        </w:rPr>
        <w:t>/16</w:t>
      </w:r>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HELD AT HARARE 30 MAY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LC/H/668/</w:t>
      </w:r>
      <w:proofErr w:type="gramStart"/>
      <w:r>
        <w:rPr>
          <w:rFonts w:asciiTheme="majorHAnsi" w:hAnsiTheme="majorHAnsi"/>
          <w:b/>
          <w:sz w:val="24"/>
          <w:szCs w:val="24"/>
        </w:rPr>
        <w:t>14</w:t>
      </w:r>
      <w:proofErr w:type="gramEnd"/>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&amp;</w:t>
      </w:r>
      <w:r w:rsidR="00B82B19">
        <w:rPr>
          <w:rFonts w:asciiTheme="majorHAnsi" w:hAnsiTheme="majorHAnsi"/>
          <w:b/>
          <w:sz w:val="24"/>
          <w:szCs w:val="24"/>
        </w:rPr>
        <w:t xml:space="preserve"> 21 OCTOBER 2016</w:t>
      </w:r>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ADMIRE NYABEZI</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w:t>
      </w:r>
      <w:r w:rsidRPr="00A1273F">
        <w:rPr>
          <w:rFonts w:asciiTheme="majorHAnsi" w:hAnsiTheme="majorHAnsi"/>
          <w:b/>
          <w:sz w:val="24"/>
          <w:szCs w:val="24"/>
          <w:vertAlign w:val="superscript"/>
        </w:rPr>
        <w:t>st</w:t>
      </w:r>
      <w:r>
        <w:rPr>
          <w:rFonts w:asciiTheme="majorHAnsi" w:hAnsiTheme="majorHAnsi"/>
          <w:b/>
          <w:sz w:val="24"/>
          <w:szCs w:val="24"/>
        </w:rPr>
        <w:t xml:space="preserve"> Appellant</w:t>
      </w:r>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CONSTANCE MUNTANGA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2</w:t>
      </w:r>
      <w:r w:rsidRPr="00A1273F">
        <w:rPr>
          <w:rFonts w:asciiTheme="majorHAnsi" w:hAnsiTheme="majorHAnsi"/>
          <w:b/>
          <w:sz w:val="24"/>
          <w:szCs w:val="24"/>
          <w:vertAlign w:val="superscript"/>
        </w:rPr>
        <w:t>nd</w:t>
      </w:r>
      <w:r>
        <w:rPr>
          <w:rFonts w:asciiTheme="majorHAnsi" w:hAnsiTheme="majorHAnsi"/>
          <w:b/>
          <w:sz w:val="24"/>
          <w:szCs w:val="24"/>
        </w:rPr>
        <w:t xml:space="preserve"> Appellant</w:t>
      </w:r>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VARICHEM PHARMACEUTICALS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A1273F" w:rsidRDefault="00A1273F" w:rsidP="00A1273F">
      <w:pPr>
        <w:spacing w:line="360" w:lineRule="auto"/>
        <w:jc w:val="both"/>
        <w:rPr>
          <w:rFonts w:asciiTheme="majorHAnsi" w:hAnsiTheme="majorHAnsi"/>
          <w:b/>
          <w:sz w:val="24"/>
          <w:szCs w:val="24"/>
        </w:rPr>
      </w:pPr>
    </w:p>
    <w:p w:rsidR="00A1273F" w:rsidRDefault="00A1273F" w:rsidP="00A1273F">
      <w:pPr>
        <w:spacing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For Appellants</w:t>
      </w:r>
      <w:r>
        <w:rPr>
          <w:rFonts w:asciiTheme="majorHAnsi" w:hAnsiTheme="majorHAnsi"/>
          <w:b/>
          <w:sz w:val="24"/>
          <w:szCs w:val="24"/>
        </w:rPr>
        <w:tab/>
      </w:r>
      <w:r>
        <w:rPr>
          <w:rFonts w:asciiTheme="majorHAnsi" w:hAnsiTheme="majorHAnsi"/>
          <w:b/>
          <w:sz w:val="24"/>
          <w:szCs w:val="24"/>
        </w:rPr>
        <w:tab/>
        <w:t xml:space="preserve">C </w:t>
      </w:r>
      <w:proofErr w:type="spellStart"/>
      <w:r>
        <w:rPr>
          <w:rFonts w:asciiTheme="majorHAnsi" w:hAnsiTheme="majorHAnsi"/>
          <w:b/>
          <w:sz w:val="24"/>
          <w:szCs w:val="24"/>
        </w:rPr>
        <w:t>Muchichwa</w:t>
      </w:r>
      <w:proofErr w:type="spellEnd"/>
      <w:r>
        <w:rPr>
          <w:rFonts w:asciiTheme="majorHAnsi" w:hAnsiTheme="majorHAnsi"/>
          <w:b/>
          <w:sz w:val="24"/>
          <w:szCs w:val="24"/>
        </w:rPr>
        <w:t>, Unionist</w:t>
      </w:r>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V </w:t>
      </w:r>
      <w:proofErr w:type="spellStart"/>
      <w:r>
        <w:rPr>
          <w:rFonts w:asciiTheme="majorHAnsi" w:hAnsiTheme="majorHAnsi"/>
          <w:b/>
          <w:sz w:val="24"/>
          <w:szCs w:val="24"/>
        </w:rPr>
        <w:t>Muza</w:t>
      </w:r>
      <w:proofErr w:type="spellEnd"/>
      <w:r>
        <w:rPr>
          <w:rFonts w:asciiTheme="majorHAnsi" w:hAnsiTheme="majorHAnsi"/>
          <w:b/>
          <w:sz w:val="24"/>
          <w:szCs w:val="24"/>
        </w:rPr>
        <w:t>, Attorney</w:t>
      </w:r>
    </w:p>
    <w:p w:rsidR="00A1273F" w:rsidRDefault="00A1273F" w:rsidP="00A1273F">
      <w:pPr>
        <w:spacing w:line="360" w:lineRule="auto"/>
        <w:jc w:val="both"/>
        <w:rPr>
          <w:rFonts w:asciiTheme="majorHAnsi" w:hAnsiTheme="majorHAnsi"/>
          <w:b/>
          <w:sz w:val="24"/>
          <w:szCs w:val="24"/>
        </w:rPr>
      </w:pPr>
    </w:p>
    <w:p w:rsidR="00A1273F" w:rsidRDefault="00A1273F" w:rsidP="00A1273F">
      <w:pPr>
        <w:spacing w:line="360" w:lineRule="auto"/>
        <w:jc w:val="both"/>
        <w:rPr>
          <w:rFonts w:asciiTheme="majorHAnsi" w:hAnsiTheme="majorHAnsi"/>
          <w:b/>
          <w:sz w:val="24"/>
          <w:szCs w:val="24"/>
        </w:rPr>
      </w:pPr>
      <w:r>
        <w:rPr>
          <w:rFonts w:asciiTheme="majorHAnsi" w:hAnsiTheme="majorHAnsi"/>
          <w:b/>
          <w:sz w:val="24"/>
          <w:szCs w:val="24"/>
        </w:rPr>
        <w:t>MUSARIRI J:</w:t>
      </w:r>
    </w:p>
    <w:p w:rsidR="00A1273F" w:rsidRDefault="00A1273F" w:rsidP="00A1273F">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On 12 June 2014 at Harare, arbitrator R </w:t>
      </w:r>
      <w:proofErr w:type="spellStart"/>
      <w:r>
        <w:rPr>
          <w:rFonts w:asciiTheme="majorHAnsi" w:hAnsiTheme="majorHAnsi"/>
          <w:sz w:val="24"/>
          <w:szCs w:val="24"/>
        </w:rPr>
        <w:t>Matsikidze</w:t>
      </w:r>
      <w:proofErr w:type="spellEnd"/>
      <w:r>
        <w:rPr>
          <w:rFonts w:asciiTheme="majorHAnsi" w:hAnsiTheme="majorHAnsi"/>
          <w:sz w:val="24"/>
          <w:szCs w:val="24"/>
        </w:rPr>
        <w:t xml:space="preserve"> issued an arbitration award.  He dismissed appellants’ claims against respondent.  Appellants then appealed to this court against the award.  Respondent opposed the appeal.  The grounds of appeal were four-fold as follows,</w:t>
      </w:r>
    </w:p>
    <w:p w:rsidR="00A1273F" w:rsidRDefault="00A1273F" w:rsidP="00A1273F">
      <w:pPr>
        <w:spacing w:line="240" w:lineRule="auto"/>
        <w:ind w:left="1440"/>
        <w:jc w:val="both"/>
        <w:rPr>
          <w:rFonts w:asciiTheme="majorHAnsi" w:hAnsiTheme="majorHAnsi"/>
        </w:rPr>
      </w:pPr>
      <w:r>
        <w:rPr>
          <w:rFonts w:asciiTheme="majorHAnsi" w:hAnsiTheme="majorHAnsi"/>
        </w:rPr>
        <w:t>“1. The learned arbitrator grossly erred at law when he failed to appreciate that the appellant</w:t>
      </w:r>
      <w:r w:rsidR="00F33351">
        <w:rPr>
          <w:rFonts w:asciiTheme="majorHAnsi" w:hAnsiTheme="majorHAnsi"/>
        </w:rPr>
        <w:t>s were</w:t>
      </w:r>
      <w:r>
        <w:rPr>
          <w:rFonts w:asciiTheme="majorHAnsi" w:hAnsiTheme="majorHAnsi"/>
        </w:rPr>
        <w:t xml:space="preserve"> permanent employees of the respondent as,</w:t>
      </w:r>
    </w:p>
    <w:p w:rsidR="00A1273F" w:rsidRDefault="00A1273F" w:rsidP="00A1273F">
      <w:pPr>
        <w:pStyle w:val="ListParagraph"/>
        <w:numPr>
          <w:ilvl w:val="0"/>
          <w:numId w:val="1"/>
        </w:numPr>
        <w:spacing w:line="240" w:lineRule="auto"/>
        <w:jc w:val="both"/>
        <w:rPr>
          <w:rFonts w:asciiTheme="majorHAnsi" w:hAnsiTheme="majorHAnsi"/>
        </w:rPr>
      </w:pPr>
      <w:r>
        <w:rPr>
          <w:rFonts w:asciiTheme="majorHAnsi" w:hAnsiTheme="majorHAnsi"/>
        </w:rPr>
        <w:t>He failed to appreciate a question of law that by continuously reviewing casual contracts, the appellants were deemed by the law to be permanent employees of the respondent.</w:t>
      </w:r>
    </w:p>
    <w:p w:rsidR="00A1273F" w:rsidRDefault="00A1273F" w:rsidP="00A1273F">
      <w:pPr>
        <w:pStyle w:val="ListParagraph"/>
        <w:numPr>
          <w:ilvl w:val="0"/>
          <w:numId w:val="1"/>
        </w:numPr>
        <w:spacing w:line="240" w:lineRule="auto"/>
        <w:jc w:val="both"/>
        <w:rPr>
          <w:rFonts w:asciiTheme="majorHAnsi" w:hAnsiTheme="majorHAnsi"/>
        </w:rPr>
      </w:pPr>
      <w:r>
        <w:rPr>
          <w:rFonts w:asciiTheme="majorHAnsi" w:hAnsiTheme="majorHAnsi"/>
        </w:rPr>
        <w:t>The learned arbitrator grossly erred and misdirected himself at law when he found that the appellants were from 10 January 2011 to 19 November 2013 on casual contracts when it was clear to him that there was</w:t>
      </w:r>
      <w:r w:rsidR="00846BFC">
        <w:rPr>
          <w:rFonts w:asciiTheme="majorHAnsi" w:hAnsiTheme="majorHAnsi"/>
        </w:rPr>
        <w:t xml:space="preserve"> no written contract among the parties which should point to the obvious conclusion that the appellants were on contracts without limit of time which are permanent contracts.</w:t>
      </w:r>
    </w:p>
    <w:p w:rsidR="00846BFC" w:rsidRDefault="00846BFC" w:rsidP="00846BFC">
      <w:pPr>
        <w:spacing w:line="240" w:lineRule="auto"/>
        <w:ind w:left="1440"/>
        <w:jc w:val="both"/>
        <w:rPr>
          <w:rFonts w:asciiTheme="majorHAnsi" w:hAnsiTheme="majorHAnsi"/>
        </w:rPr>
      </w:pPr>
      <w:r>
        <w:rPr>
          <w:rFonts w:asciiTheme="majorHAnsi" w:hAnsiTheme="majorHAnsi"/>
        </w:rPr>
        <w:t>2. The learned arbitrator also grossly erred when he found that the appellants were obliged to accept signing contracts in retrospect and to sign new monthly contracts when it is clear that in terms of the law they were permanent employees of the respondent.</w:t>
      </w:r>
    </w:p>
    <w:p w:rsidR="00846BFC" w:rsidRDefault="00846BFC" w:rsidP="00846BFC">
      <w:pPr>
        <w:spacing w:line="240" w:lineRule="auto"/>
        <w:ind w:left="1440"/>
        <w:jc w:val="both"/>
        <w:rPr>
          <w:rFonts w:asciiTheme="majorHAnsi" w:hAnsiTheme="majorHAnsi"/>
        </w:rPr>
      </w:pPr>
      <w:r>
        <w:rPr>
          <w:rFonts w:asciiTheme="majorHAnsi" w:hAnsiTheme="majorHAnsi"/>
        </w:rPr>
        <w:lastRenderedPageBreak/>
        <w:t>3. The learned arbitrator went on a frolic when he dealt with the lawfulness of the appellants</w:t>
      </w:r>
      <w:r w:rsidR="00A62BB0">
        <w:rPr>
          <w:rFonts w:asciiTheme="majorHAnsi" w:hAnsiTheme="majorHAnsi"/>
        </w:rPr>
        <w:t>’</w:t>
      </w:r>
      <w:r>
        <w:rPr>
          <w:rFonts w:asciiTheme="majorHAnsi" w:hAnsiTheme="majorHAnsi"/>
        </w:rPr>
        <w:t xml:space="preserve"> refusal to sign contracts, as that was never part of the terms of the reference for the arbitrator.  In any event he erroneously found that such refusal was unlawful.</w:t>
      </w:r>
    </w:p>
    <w:p w:rsidR="00846BFC" w:rsidRDefault="00846BFC" w:rsidP="00846BFC">
      <w:pPr>
        <w:spacing w:line="240" w:lineRule="auto"/>
        <w:ind w:left="1440"/>
        <w:jc w:val="both"/>
        <w:rPr>
          <w:rFonts w:asciiTheme="majorHAnsi" w:hAnsiTheme="majorHAnsi"/>
        </w:rPr>
      </w:pPr>
      <w:r>
        <w:rPr>
          <w:rFonts w:asciiTheme="majorHAnsi" w:hAnsiTheme="majorHAnsi"/>
        </w:rPr>
        <w:t>4. The learned arbitrator then last</w:t>
      </w:r>
      <w:r w:rsidR="00A62BB0">
        <w:rPr>
          <w:rFonts w:asciiTheme="majorHAnsi" w:hAnsiTheme="majorHAnsi"/>
        </w:rPr>
        <w:t xml:space="preserve"> misdirected himself at law when he did not find that the appellants’ dismissal was unlawful.</w:t>
      </w:r>
    </w:p>
    <w:p w:rsidR="00A62BB0" w:rsidRDefault="00A62BB0" w:rsidP="00A62BB0">
      <w:pPr>
        <w:spacing w:line="240" w:lineRule="auto"/>
        <w:jc w:val="both"/>
        <w:rPr>
          <w:rFonts w:asciiTheme="majorHAnsi" w:hAnsiTheme="majorHAnsi"/>
        </w:rPr>
      </w:pPr>
    </w:p>
    <w:p w:rsidR="00A62BB0" w:rsidRDefault="00A62BB0" w:rsidP="00B82B19">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 xml:space="preserve">Appellants’ statement of claim dated 2 May 2014 </w:t>
      </w:r>
      <w:r w:rsidR="00B82B19">
        <w:rPr>
          <w:rFonts w:asciiTheme="majorHAnsi" w:hAnsiTheme="majorHAnsi"/>
          <w:sz w:val="24"/>
          <w:szCs w:val="24"/>
        </w:rPr>
        <w:t xml:space="preserve">is </w:t>
      </w:r>
      <w:r>
        <w:rPr>
          <w:rFonts w:asciiTheme="majorHAnsi" w:hAnsiTheme="majorHAnsi"/>
          <w:sz w:val="24"/>
          <w:szCs w:val="24"/>
        </w:rPr>
        <w:t>filed of record.  It states that they worked for respondent from October 2009 to February 2011. They worked on monthly contracts which were continuously renewed.  The contracts are also filed of record.  From Marc</w:t>
      </w:r>
      <w:r w:rsidR="00B82B19">
        <w:rPr>
          <w:rFonts w:asciiTheme="majorHAnsi" w:hAnsiTheme="majorHAnsi"/>
          <w:sz w:val="24"/>
          <w:szCs w:val="24"/>
        </w:rPr>
        <w:t>h</w:t>
      </w:r>
      <w:r>
        <w:rPr>
          <w:rFonts w:asciiTheme="majorHAnsi" w:hAnsiTheme="majorHAnsi"/>
          <w:sz w:val="24"/>
          <w:szCs w:val="24"/>
        </w:rPr>
        <w:t xml:space="preserve"> 2011 they “were no longer signing any written contracts but remained employees of the respondent to the date of dismissal.  They were verbally dismissed on 19 November 2013 when they refused to sign new monthly contracts.  On that basis they alleged unfair dismissals.</w:t>
      </w:r>
      <w:r w:rsidR="00B82B19">
        <w:rPr>
          <w:rFonts w:asciiTheme="majorHAnsi" w:hAnsiTheme="majorHAnsi"/>
          <w:sz w:val="24"/>
          <w:szCs w:val="24"/>
        </w:rPr>
        <w:t xml:space="preserve">  </w:t>
      </w:r>
      <w:r>
        <w:rPr>
          <w:rFonts w:asciiTheme="majorHAnsi" w:hAnsiTheme="majorHAnsi"/>
          <w:sz w:val="24"/>
          <w:szCs w:val="24"/>
        </w:rPr>
        <w:t>Respondent’s answer dated 11 May 2014</w:t>
      </w:r>
      <w:r w:rsidR="00B82B19">
        <w:rPr>
          <w:rFonts w:asciiTheme="majorHAnsi" w:hAnsiTheme="majorHAnsi"/>
          <w:sz w:val="24"/>
          <w:szCs w:val="24"/>
        </w:rPr>
        <w:t xml:space="preserve"> is also filed </w:t>
      </w:r>
      <w:r>
        <w:rPr>
          <w:rFonts w:asciiTheme="majorHAnsi" w:hAnsiTheme="majorHAnsi"/>
          <w:sz w:val="24"/>
          <w:szCs w:val="24"/>
        </w:rPr>
        <w:t>o</w:t>
      </w:r>
      <w:r w:rsidR="00B82B19">
        <w:rPr>
          <w:rFonts w:asciiTheme="majorHAnsi" w:hAnsiTheme="majorHAnsi"/>
          <w:sz w:val="24"/>
          <w:szCs w:val="24"/>
        </w:rPr>
        <w:t>f</w:t>
      </w:r>
      <w:r>
        <w:rPr>
          <w:rFonts w:asciiTheme="majorHAnsi" w:hAnsiTheme="majorHAnsi"/>
          <w:sz w:val="24"/>
          <w:szCs w:val="24"/>
        </w:rPr>
        <w:t xml:space="preserve"> record.  It confirmed that appellants worked for them from 2009 to 2011.  They were renewing m</w:t>
      </w:r>
      <w:r w:rsidR="00B82B19">
        <w:rPr>
          <w:rFonts w:asciiTheme="majorHAnsi" w:hAnsiTheme="majorHAnsi"/>
          <w:sz w:val="24"/>
          <w:szCs w:val="24"/>
        </w:rPr>
        <w:t xml:space="preserve">onthly contracts whenever work </w:t>
      </w:r>
      <w:r>
        <w:rPr>
          <w:rFonts w:asciiTheme="majorHAnsi" w:hAnsiTheme="majorHAnsi"/>
          <w:sz w:val="24"/>
          <w:szCs w:val="24"/>
        </w:rPr>
        <w:t xml:space="preserve">was available.  They refused to continue on contract basis in 2011.  </w:t>
      </w:r>
      <w:r w:rsidR="00B82B19">
        <w:rPr>
          <w:rFonts w:asciiTheme="majorHAnsi" w:hAnsiTheme="majorHAnsi"/>
          <w:sz w:val="24"/>
          <w:szCs w:val="24"/>
        </w:rPr>
        <w:t>Appellants</w:t>
      </w:r>
      <w:r>
        <w:rPr>
          <w:rFonts w:asciiTheme="majorHAnsi" w:hAnsiTheme="majorHAnsi"/>
          <w:sz w:val="24"/>
          <w:szCs w:val="24"/>
        </w:rPr>
        <w:t xml:space="preserve"> “simply left for greener pastures.”  There was no verbal termination</w:t>
      </w:r>
      <w:r w:rsidR="00B82B19">
        <w:rPr>
          <w:rFonts w:asciiTheme="majorHAnsi" w:hAnsiTheme="majorHAnsi"/>
          <w:sz w:val="24"/>
          <w:szCs w:val="24"/>
        </w:rPr>
        <w:t xml:space="preserve"> as alleged.  Two (2)</w:t>
      </w:r>
      <w:r>
        <w:rPr>
          <w:rFonts w:asciiTheme="majorHAnsi" w:hAnsiTheme="majorHAnsi"/>
          <w:sz w:val="24"/>
          <w:szCs w:val="24"/>
        </w:rPr>
        <w:t xml:space="preserve"> years down the line they started claiming unfair dismissal.</w:t>
      </w:r>
    </w:p>
    <w:p w:rsidR="00A62BB0" w:rsidRDefault="00A62BB0" w:rsidP="00A62BB0">
      <w:pPr>
        <w:spacing w:after="0" w:line="360" w:lineRule="auto"/>
        <w:jc w:val="both"/>
        <w:rPr>
          <w:rFonts w:asciiTheme="majorHAnsi" w:hAnsiTheme="majorHAnsi"/>
          <w:sz w:val="24"/>
          <w:szCs w:val="24"/>
        </w:rPr>
      </w:pPr>
      <w:r>
        <w:rPr>
          <w:rFonts w:asciiTheme="majorHAnsi" w:hAnsiTheme="majorHAnsi"/>
          <w:sz w:val="24"/>
          <w:szCs w:val="24"/>
        </w:rPr>
        <w:t>On these facts the arbitrator found that the appellant</w:t>
      </w:r>
      <w:r w:rsidR="00193331">
        <w:rPr>
          <w:rFonts w:asciiTheme="majorHAnsi" w:hAnsiTheme="majorHAnsi"/>
          <w:sz w:val="24"/>
          <w:szCs w:val="24"/>
        </w:rPr>
        <w:t xml:space="preserve">s were lawfully dismissed for refusing to sign contracts.  On that basis he dismissed their claims.  I agree with the result but find the arbitrator’s reasoning wanting.  I prefer respondent’s version that appellants </w:t>
      </w:r>
      <w:r w:rsidR="00193331" w:rsidRPr="00B82B19">
        <w:rPr>
          <w:rFonts w:asciiTheme="majorHAnsi" w:hAnsiTheme="majorHAnsi"/>
          <w:sz w:val="24"/>
          <w:szCs w:val="24"/>
          <w:u w:val="single"/>
        </w:rPr>
        <w:t>absconded</w:t>
      </w:r>
      <w:r w:rsidR="00193331">
        <w:rPr>
          <w:rFonts w:asciiTheme="majorHAnsi" w:hAnsiTheme="majorHAnsi"/>
          <w:sz w:val="24"/>
          <w:szCs w:val="24"/>
        </w:rPr>
        <w:t xml:space="preserve"> in 2011 when they refused to continue working under fixed term contracts.  There is no evidence to counter respondent’s </w:t>
      </w:r>
      <w:proofErr w:type="gramStart"/>
      <w:r w:rsidR="00193331">
        <w:rPr>
          <w:rFonts w:asciiTheme="majorHAnsi" w:hAnsiTheme="majorHAnsi"/>
          <w:sz w:val="24"/>
          <w:szCs w:val="24"/>
        </w:rPr>
        <w:t>version</w:t>
      </w:r>
      <w:r w:rsidR="00B82B19">
        <w:rPr>
          <w:rFonts w:asciiTheme="majorHAnsi" w:hAnsiTheme="majorHAnsi"/>
          <w:sz w:val="24"/>
          <w:szCs w:val="24"/>
        </w:rPr>
        <w:t>,</w:t>
      </w:r>
      <w:r w:rsidR="00193331">
        <w:rPr>
          <w:rFonts w:asciiTheme="majorHAnsi" w:hAnsiTheme="majorHAnsi"/>
          <w:sz w:val="24"/>
          <w:szCs w:val="24"/>
        </w:rPr>
        <w:t xml:space="preserve"> that</w:t>
      </w:r>
      <w:proofErr w:type="gramEnd"/>
      <w:r w:rsidR="00193331">
        <w:rPr>
          <w:rFonts w:asciiTheme="majorHAnsi" w:hAnsiTheme="majorHAnsi"/>
          <w:sz w:val="24"/>
          <w:szCs w:val="24"/>
        </w:rPr>
        <w:t xml:space="preserve"> is nothing proves that appellants continued working for respondent up to 2013 as they alleged.  Thus there was no basis or foundation for the claim that they had become permanent employees.  </w:t>
      </w:r>
      <w:r w:rsidR="00B82B19">
        <w:rPr>
          <w:rFonts w:asciiTheme="majorHAnsi" w:hAnsiTheme="majorHAnsi"/>
          <w:sz w:val="24"/>
          <w:szCs w:val="24"/>
        </w:rPr>
        <w:t xml:space="preserve"> Appellants terminated their employment.  </w:t>
      </w:r>
      <w:r w:rsidR="00193331">
        <w:rPr>
          <w:rFonts w:asciiTheme="majorHAnsi" w:hAnsiTheme="majorHAnsi"/>
          <w:sz w:val="24"/>
          <w:szCs w:val="24"/>
        </w:rPr>
        <w:t>Thus they could not be reinstated or paid damages in lieu of reinstatement.</w:t>
      </w:r>
    </w:p>
    <w:p w:rsidR="00193331" w:rsidRDefault="00193331" w:rsidP="00A62BB0">
      <w:pPr>
        <w:spacing w:after="0" w:line="360" w:lineRule="auto"/>
        <w:jc w:val="both"/>
        <w:rPr>
          <w:rFonts w:asciiTheme="majorHAnsi" w:hAnsiTheme="majorHAnsi"/>
          <w:sz w:val="24"/>
          <w:szCs w:val="24"/>
        </w:rPr>
      </w:pPr>
    </w:p>
    <w:p w:rsidR="00193331" w:rsidRDefault="00193331" w:rsidP="00A62BB0">
      <w:pPr>
        <w:spacing w:after="0" w:line="360" w:lineRule="auto"/>
        <w:jc w:val="both"/>
        <w:rPr>
          <w:rFonts w:asciiTheme="majorHAnsi" w:hAnsiTheme="majorHAnsi"/>
          <w:sz w:val="24"/>
          <w:szCs w:val="24"/>
        </w:rPr>
      </w:pPr>
    </w:p>
    <w:p w:rsidR="00193331" w:rsidRDefault="00193331" w:rsidP="00A62BB0">
      <w:pPr>
        <w:spacing w:after="0" w:line="360" w:lineRule="auto"/>
        <w:jc w:val="both"/>
        <w:rPr>
          <w:rFonts w:asciiTheme="majorHAnsi" w:hAnsiTheme="majorHAnsi"/>
          <w:sz w:val="24"/>
          <w:szCs w:val="24"/>
        </w:rPr>
      </w:pPr>
    </w:p>
    <w:p w:rsidR="00193331" w:rsidRDefault="00193331" w:rsidP="00A62BB0">
      <w:pPr>
        <w:spacing w:after="0" w:line="360" w:lineRule="auto"/>
        <w:jc w:val="both"/>
        <w:rPr>
          <w:rFonts w:asciiTheme="majorHAnsi" w:hAnsiTheme="majorHAnsi"/>
          <w:sz w:val="24"/>
          <w:szCs w:val="24"/>
        </w:rPr>
      </w:pPr>
    </w:p>
    <w:p w:rsidR="00193331" w:rsidRDefault="00193331" w:rsidP="00A62BB0">
      <w:pPr>
        <w:spacing w:after="0" w:line="360" w:lineRule="auto"/>
        <w:jc w:val="both"/>
        <w:rPr>
          <w:rFonts w:asciiTheme="majorHAnsi" w:hAnsiTheme="majorHAnsi"/>
          <w:sz w:val="24"/>
          <w:szCs w:val="24"/>
        </w:rPr>
      </w:pPr>
    </w:p>
    <w:p w:rsidR="00193331" w:rsidRDefault="00193331" w:rsidP="00A62BB0">
      <w:pPr>
        <w:spacing w:after="0" w:line="360" w:lineRule="auto"/>
        <w:jc w:val="both"/>
        <w:rPr>
          <w:rFonts w:asciiTheme="majorHAnsi" w:hAnsiTheme="majorHAnsi"/>
          <w:sz w:val="24"/>
          <w:szCs w:val="24"/>
        </w:rPr>
      </w:pPr>
    </w:p>
    <w:p w:rsidR="00193331" w:rsidRDefault="00193331" w:rsidP="00A62BB0">
      <w:pPr>
        <w:spacing w:after="0" w:line="360" w:lineRule="auto"/>
        <w:jc w:val="both"/>
        <w:rPr>
          <w:rFonts w:asciiTheme="majorHAnsi" w:hAnsiTheme="majorHAnsi"/>
          <w:sz w:val="24"/>
          <w:szCs w:val="24"/>
        </w:rPr>
      </w:pPr>
    </w:p>
    <w:p w:rsidR="00193331" w:rsidRDefault="00193331" w:rsidP="00A62BB0">
      <w:pPr>
        <w:spacing w:after="0" w:line="360" w:lineRule="auto"/>
        <w:jc w:val="both"/>
        <w:rPr>
          <w:rFonts w:asciiTheme="majorHAnsi" w:hAnsiTheme="majorHAnsi"/>
          <w:b/>
          <w:sz w:val="24"/>
          <w:szCs w:val="24"/>
        </w:rPr>
      </w:pPr>
      <w:r>
        <w:rPr>
          <w:rFonts w:asciiTheme="majorHAnsi" w:hAnsiTheme="majorHAnsi"/>
          <w:b/>
          <w:sz w:val="24"/>
          <w:szCs w:val="24"/>
        </w:rPr>
        <w:t>Wherefore it is ordered that,</w:t>
      </w:r>
    </w:p>
    <w:p w:rsidR="00193331" w:rsidRDefault="00193331" w:rsidP="00A62BB0">
      <w:pPr>
        <w:spacing w:after="0" w:line="360" w:lineRule="auto"/>
        <w:jc w:val="both"/>
        <w:rPr>
          <w:rFonts w:asciiTheme="majorHAnsi" w:hAnsiTheme="majorHAnsi"/>
          <w:b/>
          <w:sz w:val="24"/>
          <w:szCs w:val="24"/>
        </w:rPr>
      </w:pPr>
    </w:p>
    <w:p w:rsidR="00193331" w:rsidRDefault="00193331" w:rsidP="00193331">
      <w:pPr>
        <w:pStyle w:val="ListParagraph"/>
        <w:numPr>
          <w:ilvl w:val="0"/>
          <w:numId w:val="2"/>
        </w:numPr>
        <w:spacing w:after="0" w:line="360" w:lineRule="auto"/>
        <w:jc w:val="both"/>
        <w:rPr>
          <w:rFonts w:asciiTheme="majorHAnsi" w:hAnsiTheme="majorHAnsi"/>
          <w:b/>
          <w:sz w:val="24"/>
          <w:szCs w:val="24"/>
        </w:rPr>
      </w:pPr>
      <w:r>
        <w:rPr>
          <w:rFonts w:asciiTheme="majorHAnsi" w:hAnsiTheme="majorHAnsi"/>
          <w:b/>
          <w:sz w:val="24"/>
          <w:szCs w:val="24"/>
        </w:rPr>
        <w:t xml:space="preserve"> The appeal be and is hereby dismissed;</w:t>
      </w:r>
      <w:r w:rsidR="00F33351">
        <w:rPr>
          <w:rFonts w:asciiTheme="majorHAnsi" w:hAnsiTheme="majorHAnsi"/>
          <w:b/>
          <w:sz w:val="24"/>
          <w:szCs w:val="24"/>
        </w:rPr>
        <w:t xml:space="preserve"> and</w:t>
      </w:r>
    </w:p>
    <w:p w:rsidR="00193331" w:rsidRDefault="00193331" w:rsidP="00193331">
      <w:pPr>
        <w:pStyle w:val="ListParagraph"/>
        <w:spacing w:after="0" w:line="360" w:lineRule="auto"/>
        <w:jc w:val="both"/>
        <w:rPr>
          <w:rFonts w:asciiTheme="majorHAnsi" w:hAnsiTheme="majorHAnsi"/>
          <w:b/>
          <w:sz w:val="24"/>
          <w:szCs w:val="24"/>
        </w:rPr>
      </w:pPr>
    </w:p>
    <w:p w:rsidR="00193331" w:rsidRDefault="00193331" w:rsidP="00193331">
      <w:pPr>
        <w:pStyle w:val="ListParagraph"/>
        <w:numPr>
          <w:ilvl w:val="0"/>
          <w:numId w:val="2"/>
        </w:numPr>
        <w:spacing w:after="0" w:line="360" w:lineRule="auto"/>
        <w:jc w:val="both"/>
        <w:rPr>
          <w:rFonts w:asciiTheme="majorHAnsi" w:hAnsiTheme="majorHAnsi"/>
          <w:b/>
          <w:sz w:val="24"/>
          <w:szCs w:val="24"/>
        </w:rPr>
      </w:pPr>
      <w:r>
        <w:rPr>
          <w:rFonts w:asciiTheme="majorHAnsi" w:hAnsiTheme="majorHAnsi"/>
          <w:b/>
          <w:sz w:val="24"/>
          <w:szCs w:val="24"/>
        </w:rPr>
        <w:t>Each part</w:t>
      </w:r>
      <w:r w:rsidR="00F33351">
        <w:rPr>
          <w:rFonts w:asciiTheme="majorHAnsi" w:hAnsiTheme="majorHAnsi"/>
          <w:b/>
          <w:sz w:val="24"/>
          <w:szCs w:val="24"/>
        </w:rPr>
        <w:t>y</w:t>
      </w:r>
      <w:r>
        <w:rPr>
          <w:rFonts w:asciiTheme="majorHAnsi" w:hAnsiTheme="majorHAnsi"/>
          <w:b/>
          <w:sz w:val="24"/>
          <w:szCs w:val="24"/>
        </w:rPr>
        <w:t xml:space="preserve"> shall bear its own costs.</w:t>
      </w:r>
    </w:p>
    <w:p w:rsidR="00193331" w:rsidRPr="00193331" w:rsidRDefault="00193331" w:rsidP="00193331">
      <w:pPr>
        <w:pStyle w:val="ListParagraph"/>
        <w:rPr>
          <w:rFonts w:asciiTheme="majorHAnsi" w:hAnsiTheme="majorHAnsi"/>
          <w:b/>
          <w:sz w:val="24"/>
          <w:szCs w:val="24"/>
        </w:rPr>
      </w:pPr>
    </w:p>
    <w:p w:rsidR="00193331" w:rsidRDefault="00193331" w:rsidP="00193331">
      <w:pPr>
        <w:spacing w:after="0" w:line="360" w:lineRule="auto"/>
        <w:jc w:val="both"/>
        <w:rPr>
          <w:rFonts w:asciiTheme="majorHAnsi" w:hAnsiTheme="majorHAnsi"/>
          <w:b/>
          <w:sz w:val="24"/>
          <w:szCs w:val="24"/>
        </w:rPr>
      </w:pPr>
    </w:p>
    <w:p w:rsidR="00193331" w:rsidRDefault="00193331" w:rsidP="00193331">
      <w:pPr>
        <w:spacing w:after="0" w:line="360" w:lineRule="auto"/>
        <w:jc w:val="both"/>
        <w:rPr>
          <w:rFonts w:asciiTheme="majorHAnsi" w:hAnsiTheme="majorHAnsi"/>
          <w:b/>
          <w:sz w:val="24"/>
          <w:szCs w:val="24"/>
        </w:rPr>
      </w:pPr>
    </w:p>
    <w:p w:rsidR="00193331" w:rsidRDefault="00193331" w:rsidP="00193331">
      <w:pPr>
        <w:spacing w:after="0" w:line="360" w:lineRule="auto"/>
        <w:jc w:val="both"/>
        <w:rPr>
          <w:rFonts w:asciiTheme="majorHAnsi" w:hAnsiTheme="majorHAnsi"/>
          <w:b/>
          <w:sz w:val="24"/>
          <w:szCs w:val="24"/>
        </w:rPr>
      </w:pPr>
    </w:p>
    <w:p w:rsidR="00193331" w:rsidRDefault="00193331" w:rsidP="00193331">
      <w:pPr>
        <w:spacing w:after="0" w:line="360" w:lineRule="auto"/>
        <w:ind w:left="5040"/>
        <w:jc w:val="both"/>
        <w:rPr>
          <w:rFonts w:asciiTheme="majorHAnsi" w:hAnsiTheme="majorHAnsi"/>
          <w:b/>
          <w:sz w:val="24"/>
          <w:szCs w:val="24"/>
        </w:rPr>
      </w:pPr>
      <w:r>
        <w:rPr>
          <w:rFonts w:asciiTheme="majorHAnsi" w:hAnsiTheme="majorHAnsi"/>
          <w:b/>
          <w:sz w:val="24"/>
          <w:szCs w:val="24"/>
        </w:rPr>
        <w:t>G MUSARIRI</w:t>
      </w:r>
    </w:p>
    <w:p w:rsidR="00193331" w:rsidRPr="00193331" w:rsidRDefault="00193331" w:rsidP="00193331">
      <w:pPr>
        <w:spacing w:after="0" w:line="360" w:lineRule="auto"/>
        <w:ind w:left="5040"/>
        <w:jc w:val="both"/>
        <w:rPr>
          <w:rFonts w:asciiTheme="majorHAnsi" w:hAnsiTheme="majorHAnsi"/>
          <w:b/>
          <w:sz w:val="24"/>
          <w:szCs w:val="24"/>
        </w:rPr>
      </w:pPr>
      <w:r>
        <w:rPr>
          <w:rFonts w:asciiTheme="majorHAnsi" w:hAnsiTheme="majorHAnsi"/>
          <w:b/>
          <w:sz w:val="24"/>
          <w:szCs w:val="24"/>
        </w:rPr>
        <w:t>J U D G E</w:t>
      </w:r>
    </w:p>
    <w:p w:rsidR="00A1273F" w:rsidRPr="00A1273F" w:rsidRDefault="00A1273F" w:rsidP="00A62BB0">
      <w:pPr>
        <w:spacing w:line="360" w:lineRule="auto"/>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sectPr w:rsidR="00A1273F" w:rsidRPr="00A1273F" w:rsidSect="00A62BB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55" w:rsidRDefault="00AF3A55" w:rsidP="00A62BB0">
      <w:pPr>
        <w:spacing w:after="0" w:line="240" w:lineRule="auto"/>
      </w:pPr>
      <w:r>
        <w:separator/>
      </w:r>
    </w:p>
  </w:endnote>
  <w:endnote w:type="continuationSeparator" w:id="0">
    <w:p w:rsidR="00AF3A55" w:rsidRDefault="00AF3A55" w:rsidP="00A6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515950"/>
      <w:docPartObj>
        <w:docPartGallery w:val="Page Numbers (Bottom of Page)"/>
        <w:docPartUnique/>
      </w:docPartObj>
    </w:sdtPr>
    <w:sdtEndPr>
      <w:rPr>
        <w:noProof/>
      </w:rPr>
    </w:sdtEndPr>
    <w:sdtContent>
      <w:p w:rsidR="00A62BB0" w:rsidRDefault="00A62BB0">
        <w:pPr>
          <w:pStyle w:val="Footer"/>
          <w:jc w:val="right"/>
        </w:pPr>
        <w:r>
          <w:fldChar w:fldCharType="begin"/>
        </w:r>
        <w:r>
          <w:instrText xml:space="preserve"> PAGE   \* MERGEFORMAT </w:instrText>
        </w:r>
        <w:r>
          <w:fldChar w:fldCharType="separate"/>
        </w:r>
        <w:r w:rsidR="002300F5">
          <w:rPr>
            <w:noProof/>
          </w:rPr>
          <w:t>3</w:t>
        </w:r>
        <w:r>
          <w:rPr>
            <w:noProof/>
          </w:rPr>
          <w:fldChar w:fldCharType="end"/>
        </w:r>
      </w:p>
    </w:sdtContent>
  </w:sdt>
  <w:p w:rsidR="00A62BB0" w:rsidRDefault="00A62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55" w:rsidRDefault="00AF3A55" w:rsidP="00A62BB0">
      <w:pPr>
        <w:spacing w:after="0" w:line="240" w:lineRule="auto"/>
      </w:pPr>
      <w:r>
        <w:separator/>
      </w:r>
    </w:p>
  </w:footnote>
  <w:footnote w:type="continuationSeparator" w:id="0">
    <w:p w:rsidR="00AF3A55" w:rsidRDefault="00AF3A55" w:rsidP="00A62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B0" w:rsidRDefault="00A62BB0" w:rsidP="00A62BB0">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076645">
      <w:rPr>
        <w:rFonts w:asciiTheme="majorHAnsi" w:hAnsiTheme="majorHAnsi"/>
        <w:b/>
        <w:sz w:val="24"/>
        <w:szCs w:val="24"/>
      </w:rPr>
      <w:t>663</w:t>
    </w:r>
    <w:r>
      <w:rPr>
        <w:rFonts w:asciiTheme="majorHAnsi" w:hAnsiTheme="majorHAnsi"/>
        <w:b/>
        <w:sz w:val="24"/>
        <w:szCs w:val="24"/>
      </w:rPr>
      <w:t>/16</w:t>
    </w:r>
  </w:p>
  <w:p w:rsidR="00A62BB0" w:rsidRDefault="00A62B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1B07"/>
    <w:multiLevelType w:val="hybridMultilevel"/>
    <w:tmpl w:val="56F4497A"/>
    <w:lvl w:ilvl="0" w:tplc="42FC504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EF3353F"/>
    <w:multiLevelType w:val="hybridMultilevel"/>
    <w:tmpl w:val="CA8CF9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3F"/>
    <w:rsid w:val="00076645"/>
    <w:rsid w:val="00193331"/>
    <w:rsid w:val="002300F5"/>
    <w:rsid w:val="002C4165"/>
    <w:rsid w:val="00315B44"/>
    <w:rsid w:val="00770C7F"/>
    <w:rsid w:val="00846BFC"/>
    <w:rsid w:val="009B6508"/>
    <w:rsid w:val="009E4EA3"/>
    <w:rsid w:val="00A1273F"/>
    <w:rsid w:val="00A62BB0"/>
    <w:rsid w:val="00AF3A55"/>
    <w:rsid w:val="00B339B2"/>
    <w:rsid w:val="00B82B19"/>
    <w:rsid w:val="00F333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73F"/>
    <w:pPr>
      <w:ind w:left="720"/>
      <w:contextualSpacing/>
    </w:pPr>
  </w:style>
  <w:style w:type="paragraph" w:styleId="Header">
    <w:name w:val="header"/>
    <w:basedOn w:val="Normal"/>
    <w:link w:val="HeaderChar"/>
    <w:uiPriority w:val="99"/>
    <w:unhideWhenUsed/>
    <w:rsid w:val="00A62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B0"/>
  </w:style>
  <w:style w:type="paragraph" w:styleId="Footer">
    <w:name w:val="footer"/>
    <w:basedOn w:val="Normal"/>
    <w:link w:val="FooterChar"/>
    <w:uiPriority w:val="99"/>
    <w:unhideWhenUsed/>
    <w:rsid w:val="00A62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B0"/>
  </w:style>
  <w:style w:type="paragraph" w:styleId="BalloonText">
    <w:name w:val="Balloon Text"/>
    <w:basedOn w:val="Normal"/>
    <w:link w:val="BalloonTextChar"/>
    <w:uiPriority w:val="99"/>
    <w:semiHidden/>
    <w:unhideWhenUsed/>
    <w:rsid w:val="00230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73F"/>
    <w:pPr>
      <w:ind w:left="720"/>
      <w:contextualSpacing/>
    </w:pPr>
  </w:style>
  <w:style w:type="paragraph" w:styleId="Header">
    <w:name w:val="header"/>
    <w:basedOn w:val="Normal"/>
    <w:link w:val="HeaderChar"/>
    <w:uiPriority w:val="99"/>
    <w:unhideWhenUsed/>
    <w:rsid w:val="00A62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B0"/>
  </w:style>
  <w:style w:type="paragraph" w:styleId="Footer">
    <w:name w:val="footer"/>
    <w:basedOn w:val="Normal"/>
    <w:link w:val="FooterChar"/>
    <w:uiPriority w:val="99"/>
    <w:unhideWhenUsed/>
    <w:rsid w:val="00A62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B0"/>
  </w:style>
  <w:style w:type="paragraph" w:styleId="BalloonText">
    <w:name w:val="Balloon Text"/>
    <w:basedOn w:val="Normal"/>
    <w:link w:val="BalloonTextChar"/>
    <w:uiPriority w:val="99"/>
    <w:semiHidden/>
    <w:unhideWhenUsed/>
    <w:rsid w:val="00230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9</cp:revision>
  <cp:lastPrinted>2016-10-19T13:54:00Z</cp:lastPrinted>
  <dcterms:created xsi:type="dcterms:W3CDTF">2016-10-18T10:19:00Z</dcterms:created>
  <dcterms:modified xsi:type="dcterms:W3CDTF">2016-10-19T13:58:00Z</dcterms:modified>
</cp:coreProperties>
</file>