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35944" w14:textId="77777777" w:rsidR="009D7148" w:rsidRPr="006E2A06" w:rsidRDefault="009D7148" w:rsidP="009D7148">
      <w:pPr>
        <w:spacing w:after="0" w:line="259" w:lineRule="auto"/>
        <w:rPr>
          <w:rFonts w:ascii="Times New Roman" w:hAnsi="Times New Roman" w:cs="Times New Roman"/>
          <w:kern w:val="0"/>
          <w:lang w:val="en-ZW"/>
          <w14:ligatures w14:val="none"/>
        </w:rPr>
      </w:pPr>
      <w:bookmarkStart w:id="0" w:name="_GoBack"/>
      <w:bookmarkEnd w:id="0"/>
      <w:r>
        <w:rPr>
          <w:rFonts w:ascii="Times New Roman" w:hAnsi="Times New Roman" w:cs="Times New Roman"/>
          <w:kern w:val="0"/>
          <w:lang w:val="en-ZW"/>
          <w14:ligatures w14:val="none"/>
        </w:rPr>
        <w:t>ADENIUM TRANSPORT SERVICES (PVT) LIMITED</w:t>
      </w:r>
    </w:p>
    <w:p w14:paraId="2842EDEB" w14:textId="77777777" w:rsidR="009D7148" w:rsidRPr="006E2A06" w:rsidRDefault="009D7148" w:rsidP="009D7148">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versus</w:t>
      </w:r>
    </w:p>
    <w:p w14:paraId="08C75EAD" w14:textId="6D8F0D8E" w:rsidR="00CF39D0" w:rsidRDefault="00CF39D0" w:rsidP="00CF39D0">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ISADORA TRADING (PVT) LIMITED </w:t>
      </w:r>
    </w:p>
    <w:p w14:paraId="3D9312E5" w14:textId="77777777" w:rsidR="009D7148" w:rsidRDefault="009D7148" w:rsidP="009D7148">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and</w:t>
      </w:r>
    </w:p>
    <w:p w14:paraId="6B34CB4C" w14:textId="72242FC1" w:rsidR="00CF39D0" w:rsidRDefault="00CF39D0" w:rsidP="00CF39D0">
      <w:pPr>
        <w:spacing w:after="0" w:line="259" w:lineRule="auto"/>
        <w:rPr>
          <w:rFonts w:ascii="Times New Roman" w:hAnsi="Times New Roman" w:cs="Times New Roman"/>
          <w:kern w:val="0"/>
          <w:lang w:val="en-ZW"/>
          <w14:ligatures w14:val="none"/>
        </w:rPr>
      </w:pPr>
      <w:r>
        <w:rPr>
          <w:rFonts w:ascii="Times New Roman" w:hAnsi="Times New Roman" w:cs="Times New Roman"/>
          <w:kern w:val="0"/>
          <w:lang w:val="en-ZW"/>
          <w14:ligatures w14:val="none"/>
        </w:rPr>
        <w:t>GLADERCOM ENTERPRISES (PVT) LIMITED</w:t>
      </w:r>
    </w:p>
    <w:p w14:paraId="63680537" w14:textId="77777777" w:rsidR="00CF39D0" w:rsidRDefault="00CF39D0" w:rsidP="00CF39D0">
      <w:pPr>
        <w:spacing w:after="0" w:line="259" w:lineRule="auto"/>
        <w:rPr>
          <w:rFonts w:ascii="Times New Roman" w:hAnsi="Times New Roman" w:cs="Times New Roman"/>
          <w:kern w:val="0"/>
          <w:lang w:val="en-ZW"/>
          <w14:ligatures w14:val="none"/>
        </w:rPr>
      </w:pPr>
    </w:p>
    <w:p w14:paraId="289CEA52" w14:textId="77777777" w:rsidR="00CF39D0" w:rsidRPr="006E2A06" w:rsidRDefault="00CF39D0" w:rsidP="00CF39D0">
      <w:pPr>
        <w:spacing w:after="0" w:line="259" w:lineRule="auto"/>
        <w:rPr>
          <w:rFonts w:ascii="Times New Roman" w:hAnsi="Times New Roman" w:cs="Times New Roman"/>
          <w:kern w:val="0"/>
          <w:lang w:val="en-ZW"/>
          <w14:ligatures w14:val="none"/>
        </w:rPr>
      </w:pPr>
    </w:p>
    <w:p w14:paraId="26D60F60" w14:textId="77777777" w:rsidR="00CF39D0" w:rsidRPr="006E2A06" w:rsidRDefault="00CF39D0" w:rsidP="00CF39D0">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HIGH COURT OF ZIMBABWE</w:t>
      </w:r>
    </w:p>
    <w:p w14:paraId="7D18A991" w14:textId="77777777" w:rsidR="00CF39D0" w:rsidRPr="006E2A06" w:rsidRDefault="00CF39D0" w:rsidP="00CF39D0">
      <w:pPr>
        <w:spacing w:after="0" w:line="259" w:lineRule="auto"/>
        <w:rPr>
          <w:rFonts w:ascii="Times New Roman" w:hAnsi="Times New Roman" w:cs="Times New Roman"/>
          <w:b/>
          <w:bCs/>
          <w:kern w:val="0"/>
          <w:lang w:val="en-ZW"/>
          <w14:ligatures w14:val="none"/>
        </w:rPr>
      </w:pPr>
      <w:r w:rsidRPr="006E2A06">
        <w:rPr>
          <w:rFonts w:ascii="Times New Roman" w:hAnsi="Times New Roman" w:cs="Times New Roman"/>
          <w:b/>
          <w:bCs/>
          <w:kern w:val="0"/>
          <w:lang w:val="en-ZW"/>
          <w14:ligatures w14:val="none"/>
        </w:rPr>
        <w:t>CHITAPI J</w:t>
      </w:r>
    </w:p>
    <w:p w14:paraId="362E1BC2" w14:textId="0F8E04B3" w:rsidR="00CF39D0" w:rsidRPr="006E2A06" w:rsidRDefault="00CF39D0" w:rsidP="00CF39D0">
      <w:pPr>
        <w:spacing w:after="0" w:line="259" w:lineRule="auto"/>
        <w:rPr>
          <w:rFonts w:ascii="Times New Roman" w:hAnsi="Times New Roman" w:cs="Times New Roman"/>
          <w:kern w:val="0"/>
          <w:lang w:val="en-ZW"/>
          <w14:ligatures w14:val="none"/>
        </w:rPr>
      </w:pPr>
      <w:r w:rsidRPr="006E2A06">
        <w:rPr>
          <w:rFonts w:ascii="Times New Roman" w:hAnsi="Times New Roman" w:cs="Times New Roman"/>
          <w:kern w:val="0"/>
          <w:lang w:val="en-ZW"/>
          <w14:ligatures w14:val="none"/>
        </w:rPr>
        <w:t>HARARE</w:t>
      </w:r>
      <w:r w:rsidR="001E112A">
        <w:rPr>
          <w:rFonts w:ascii="Times New Roman" w:hAnsi="Times New Roman" w:cs="Times New Roman"/>
          <w:kern w:val="0"/>
          <w:lang w:val="en-ZW"/>
          <w14:ligatures w14:val="none"/>
        </w:rPr>
        <w:t>;</w:t>
      </w:r>
      <w:r>
        <w:rPr>
          <w:rFonts w:ascii="Times New Roman" w:hAnsi="Times New Roman" w:cs="Times New Roman"/>
          <w:kern w:val="0"/>
          <w:lang w:val="en-ZW"/>
          <w14:ligatures w14:val="none"/>
        </w:rPr>
        <w:t xml:space="preserve"> </w:t>
      </w:r>
      <w:r w:rsidR="00691632">
        <w:rPr>
          <w:rFonts w:ascii="Times New Roman" w:hAnsi="Times New Roman" w:cs="Times New Roman"/>
          <w:kern w:val="0"/>
          <w:lang w:val="en-ZW"/>
          <w14:ligatures w14:val="none"/>
        </w:rPr>
        <w:t>2 October 2025</w:t>
      </w:r>
    </w:p>
    <w:p w14:paraId="21EBB386" w14:textId="77777777" w:rsidR="00CF39D0" w:rsidRPr="006E2A06" w:rsidRDefault="00CF39D0" w:rsidP="00CF39D0">
      <w:pPr>
        <w:spacing w:after="0" w:line="259" w:lineRule="auto"/>
        <w:rPr>
          <w:rFonts w:ascii="Times New Roman" w:hAnsi="Times New Roman" w:cs="Times New Roman"/>
          <w:kern w:val="0"/>
          <w:lang w:val="en-ZW"/>
          <w14:ligatures w14:val="none"/>
        </w:rPr>
      </w:pPr>
    </w:p>
    <w:p w14:paraId="6A52F18C" w14:textId="77777777" w:rsidR="00CF39D0" w:rsidRPr="006E2A06" w:rsidRDefault="00CF39D0" w:rsidP="00CF39D0">
      <w:pPr>
        <w:spacing w:after="0" w:line="259" w:lineRule="auto"/>
        <w:rPr>
          <w:rFonts w:ascii="Times New Roman" w:hAnsi="Times New Roman" w:cs="Times New Roman"/>
          <w:kern w:val="0"/>
          <w:lang w:val="en-ZW"/>
          <w14:ligatures w14:val="none"/>
        </w:rPr>
      </w:pPr>
    </w:p>
    <w:p w14:paraId="0B0967D9" w14:textId="31BA3AE6" w:rsidR="00CF39D0" w:rsidRPr="006E2A06" w:rsidRDefault="00737A44" w:rsidP="00CF39D0">
      <w:pPr>
        <w:spacing w:after="0" w:line="259" w:lineRule="auto"/>
        <w:rPr>
          <w:rFonts w:ascii="Times New Roman" w:hAnsi="Times New Roman" w:cs="Times New Roman"/>
          <w:b/>
          <w:kern w:val="0"/>
          <w:lang w:val="en-ZW"/>
          <w14:ligatures w14:val="none"/>
        </w:rPr>
      </w:pPr>
      <w:r>
        <w:rPr>
          <w:rFonts w:ascii="Times New Roman" w:hAnsi="Times New Roman" w:cs="Times New Roman"/>
          <w:b/>
          <w:kern w:val="0"/>
          <w:lang w:val="en-ZW"/>
          <w14:ligatures w14:val="none"/>
        </w:rPr>
        <w:t>Opposed Application</w:t>
      </w:r>
    </w:p>
    <w:p w14:paraId="02E19719" w14:textId="77777777" w:rsidR="00CF39D0" w:rsidRDefault="00CF39D0" w:rsidP="00CF39D0">
      <w:pPr>
        <w:spacing w:after="0" w:line="259" w:lineRule="auto"/>
        <w:rPr>
          <w:rFonts w:ascii="Times New Roman" w:hAnsi="Times New Roman" w:cs="Times New Roman"/>
          <w:b/>
          <w:kern w:val="0"/>
          <w:lang w:val="en-ZW"/>
          <w14:ligatures w14:val="none"/>
        </w:rPr>
      </w:pPr>
    </w:p>
    <w:p w14:paraId="236E5474" w14:textId="77777777" w:rsidR="00CF39D0" w:rsidRDefault="00CF39D0" w:rsidP="00CF39D0">
      <w:pPr>
        <w:spacing w:after="0" w:line="259" w:lineRule="auto"/>
        <w:rPr>
          <w:rFonts w:ascii="Times New Roman" w:hAnsi="Times New Roman" w:cs="Times New Roman"/>
          <w:b/>
          <w:kern w:val="0"/>
          <w:lang w:val="en-ZW"/>
          <w14:ligatures w14:val="none"/>
        </w:rPr>
      </w:pPr>
    </w:p>
    <w:p w14:paraId="5AAAACB9" w14:textId="586DAE40" w:rsidR="00CF39D0" w:rsidRPr="00C27B03" w:rsidRDefault="009D7148" w:rsidP="00CF39D0">
      <w:pPr>
        <w:spacing w:after="0" w:line="259" w:lineRule="auto"/>
        <w:rPr>
          <w:rFonts w:ascii="Times New Roman" w:hAnsi="Times New Roman" w:cs="Times New Roman"/>
          <w:bCs/>
          <w:kern w:val="0"/>
          <w:lang w:val="en-ZW"/>
          <w14:ligatures w14:val="none"/>
        </w:rPr>
      </w:pPr>
      <w:r>
        <w:rPr>
          <w:rFonts w:ascii="Times New Roman" w:hAnsi="Times New Roman" w:cs="Times New Roman"/>
          <w:bCs/>
          <w:i/>
          <w:iCs/>
          <w:kern w:val="0"/>
          <w:lang w:val="en-ZW"/>
          <w14:ligatures w14:val="none"/>
        </w:rPr>
        <w:t>H T Mawema</w:t>
      </w:r>
      <w:r w:rsidR="00CF39D0" w:rsidRPr="00C27B03">
        <w:rPr>
          <w:rFonts w:ascii="Times New Roman" w:hAnsi="Times New Roman" w:cs="Times New Roman"/>
          <w:bCs/>
          <w:kern w:val="0"/>
          <w:lang w:val="en-ZW"/>
          <w14:ligatures w14:val="none"/>
        </w:rPr>
        <w:t xml:space="preserve">, for the </w:t>
      </w:r>
      <w:r>
        <w:rPr>
          <w:rFonts w:ascii="Times New Roman" w:hAnsi="Times New Roman" w:cs="Times New Roman"/>
          <w:bCs/>
          <w:kern w:val="0"/>
          <w:lang w:val="en-ZW"/>
          <w14:ligatures w14:val="none"/>
        </w:rPr>
        <w:t>applicant</w:t>
      </w:r>
    </w:p>
    <w:p w14:paraId="60B12A18" w14:textId="3D190C44" w:rsidR="00CF39D0" w:rsidRDefault="009D7148" w:rsidP="00CF39D0">
      <w:pPr>
        <w:spacing w:after="0" w:line="259" w:lineRule="auto"/>
        <w:rPr>
          <w:rFonts w:ascii="Times New Roman" w:hAnsi="Times New Roman" w:cs="Times New Roman"/>
          <w:bCs/>
          <w:kern w:val="0"/>
          <w:lang w:val="en-ZW"/>
          <w14:ligatures w14:val="none"/>
        </w:rPr>
      </w:pPr>
      <w:r>
        <w:rPr>
          <w:rFonts w:ascii="Times New Roman" w:hAnsi="Times New Roman" w:cs="Times New Roman"/>
          <w:bCs/>
          <w:i/>
          <w:iCs/>
          <w:kern w:val="0"/>
          <w:lang w:val="en-ZW"/>
          <w14:ligatures w14:val="none"/>
        </w:rPr>
        <w:t xml:space="preserve">T </w:t>
      </w:r>
      <w:proofErr w:type="spellStart"/>
      <w:r>
        <w:rPr>
          <w:rFonts w:ascii="Times New Roman" w:hAnsi="Times New Roman" w:cs="Times New Roman"/>
          <w:bCs/>
          <w:i/>
          <w:iCs/>
          <w:kern w:val="0"/>
          <w:lang w:val="en-ZW"/>
          <w14:ligatures w14:val="none"/>
        </w:rPr>
        <w:t>Pfigu</w:t>
      </w:r>
      <w:proofErr w:type="spellEnd"/>
      <w:r w:rsidR="00CF39D0" w:rsidRPr="00C27B03">
        <w:rPr>
          <w:rFonts w:ascii="Times New Roman" w:hAnsi="Times New Roman" w:cs="Times New Roman"/>
          <w:bCs/>
          <w:kern w:val="0"/>
          <w:lang w:val="en-ZW"/>
          <w14:ligatures w14:val="none"/>
        </w:rPr>
        <w:t xml:space="preserve">, for the </w:t>
      </w:r>
      <w:r>
        <w:rPr>
          <w:rFonts w:ascii="Times New Roman" w:hAnsi="Times New Roman" w:cs="Times New Roman"/>
          <w:bCs/>
          <w:kern w:val="0"/>
          <w:lang w:val="en-ZW"/>
          <w14:ligatures w14:val="none"/>
        </w:rPr>
        <w:t>respondent</w:t>
      </w:r>
    </w:p>
    <w:p w14:paraId="07A8C259" w14:textId="77777777" w:rsidR="00CF39D0" w:rsidRPr="00C27B03" w:rsidRDefault="00CF39D0" w:rsidP="00CF39D0">
      <w:pPr>
        <w:spacing w:after="0" w:line="259" w:lineRule="auto"/>
        <w:rPr>
          <w:rFonts w:ascii="Times New Roman" w:hAnsi="Times New Roman" w:cs="Times New Roman"/>
          <w:bCs/>
          <w:kern w:val="0"/>
          <w:lang w:val="en-ZW"/>
          <w14:ligatures w14:val="none"/>
        </w:rPr>
      </w:pPr>
    </w:p>
    <w:p w14:paraId="70348BD3" w14:textId="77777777" w:rsidR="00CF39D0" w:rsidRPr="006E2A06" w:rsidRDefault="00CF39D0" w:rsidP="00CF39D0">
      <w:pPr>
        <w:spacing w:after="0" w:line="259" w:lineRule="auto"/>
        <w:rPr>
          <w:rFonts w:ascii="Times New Roman" w:hAnsi="Times New Roman" w:cs="Times New Roman"/>
          <w:kern w:val="0"/>
          <w:lang w:val="en-ZW"/>
          <w14:ligatures w14:val="none"/>
        </w:rPr>
      </w:pPr>
    </w:p>
    <w:p w14:paraId="25467005" w14:textId="65CE94E5" w:rsidR="00691673" w:rsidRDefault="00CF39D0" w:rsidP="005C0C0B">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CHITAPI J:  </w:t>
      </w:r>
      <w:r w:rsidR="005D17A8">
        <w:rPr>
          <w:rFonts w:ascii="Times New Roman" w:hAnsi="Times New Roman" w:cs="Times New Roman"/>
          <w:kern w:val="0"/>
          <w:lang w:val="en-ZW"/>
          <w14:ligatures w14:val="none"/>
        </w:rPr>
        <w:t>The applicant, first and second respondents as described in the heading are registered limited liability companies in accordance with the laws of Zimbabwe</w:t>
      </w:r>
      <w:r w:rsidR="00CE7361">
        <w:rPr>
          <w:rFonts w:ascii="Times New Roman" w:hAnsi="Times New Roman" w:cs="Times New Roman"/>
          <w:kern w:val="0"/>
          <w:lang w:val="en-ZW"/>
          <w14:ligatures w14:val="none"/>
        </w:rPr>
        <w:t xml:space="preserve">.  </w:t>
      </w:r>
      <w:r w:rsidR="00737A44">
        <w:rPr>
          <w:rFonts w:ascii="Times New Roman" w:hAnsi="Times New Roman" w:cs="Times New Roman"/>
          <w:kern w:val="0"/>
          <w:lang w:val="en-ZW"/>
          <w14:ligatures w14:val="none"/>
        </w:rPr>
        <w:t>T</w:t>
      </w:r>
      <w:r w:rsidR="00CE7361">
        <w:rPr>
          <w:rFonts w:ascii="Times New Roman" w:hAnsi="Times New Roman" w:cs="Times New Roman"/>
          <w:kern w:val="0"/>
          <w:lang w:val="en-ZW"/>
          <w14:ligatures w14:val="none"/>
        </w:rPr>
        <w:t xml:space="preserve">he applicant is the second defendant in case number HC 3336/21 in which the first respondent is the plaintiff and the second respondent is the first defendant.  In case number HC 3336/21 this court per </w:t>
      </w:r>
      <w:proofErr w:type="spellStart"/>
      <w:r w:rsidR="00CE7361" w:rsidRPr="00CE7361">
        <w:rPr>
          <w:rFonts w:ascii="Times New Roman" w:hAnsi="Times New Roman" w:cs="Times New Roman"/>
          <w:smallCaps/>
          <w:kern w:val="0"/>
          <w:lang w:val="en-ZW"/>
          <w14:ligatures w14:val="none"/>
        </w:rPr>
        <w:t>Chinamora</w:t>
      </w:r>
      <w:proofErr w:type="spellEnd"/>
      <w:r w:rsidR="00CE7361">
        <w:rPr>
          <w:rFonts w:ascii="Times New Roman" w:hAnsi="Times New Roman" w:cs="Times New Roman"/>
          <w:kern w:val="0"/>
          <w:lang w:val="en-ZW"/>
          <w14:ligatures w14:val="none"/>
        </w:rPr>
        <w:t xml:space="preserve"> J granted a default judgment </w:t>
      </w:r>
      <w:r w:rsidR="00E81F75">
        <w:rPr>
          <w:rFonts w:ascii="Times New Roman" w:hAnsi="Times New Roman" w:cs="Times New Roman"/>
          <w:kern w:val="0"/>
          <w:lang w:val="en-ZW"/>
          <w14:ligatures w14:val="none"/>
        </w:rPr>
        <w:t xml:space="preserve">on dated 5 July, 2023 in favour of the first respondent against the applicant herein for payment </w:t>
      </w:r>
      <w:r w:rsidR="00E6353D">
        <w:rPr>
          <w:rFonts w:ascii="Times New Roman" w:hAnsi="Times New Roman" w:cs="Times New Roman"/>
          <w:kern w:val="0"/>
          <w:lang w:val="en-ZW"/>
          <w14:ligatures w14:val="none"/>
        </w:rPr>
        <w:t xml:space="preserve">of the sums of US$24 26.00 and US$36520.00 and </w:t>
      </w:r>
      <w:r w:rsidR="00691673">
        <w:rPr>
          <w:rFonts w:ascii="Times New Roman" w:hAnsi="Times New Roman" w:cs="Times New Roman"/>
          <w:kern w:val="0"/>
          <w:lang w:val="en-ZW"/>
          <w14:ligatures w14:val="none"/>
        </w:rPr>
        <w:t>US$6000.00</w:t>
      </w:r>
      <w:r w:rsidR="00737A44">
        <w:rPr>
          <w:rFonts w:ascii="Times New Roman" w:hAnsi="Times New Roman" w:cs="Times New Roman"/>
          <w:kern w:val="0"/>
          <w:lang w:val="en-ZW"/>
          <w14:ligatures w14:val="none"/>
        </w:rPr>
        <w:t xml:space="preserve"> or its equivalence in </w:t>
      </w:r>
      <w:r w:rsidR="00691673">
        <w:rPr>
          <w:rFonts w:ascii="Times New Roman" w:hAnsi="Times New Roman" w:cs="Times New Roman"/>
          <w:kern w:val="0"/>
          <w:lang w:val="en-ZW"/>
          <w14:ligatures w14:val="none"/>
        </w:rPr>
        <w:t xml:space="preserve"> local currency calculate</w:t>
      </w:r>
      <w:r w:rsidR="00737A44">
        <w:rPr>
          <w:rFonts w:ascii="Times New Roman" w:hAnsi="Times New Roman" w:cs="Times New Roman"/>
          <w:kern w:val="0"/>
          <w:lang w:val="en-ZW"/>
          <w14:ligatures w14:val="none"/>
        </w:rPr>
        <w:t>d at</w:t>
      </w:r>
      <w:r w:rsidR="00691673">
        <w:rPr>
          <w:rFonts w:ascii="Times New Roman" w:hAnsi="Times New Roman" w:cs="Times New Roman"/>
          <w:kern w:val="0"/>
          <w:lang w:val="en-ZW"/>
          <w14:ligatures w14:val="none"/>
        </w:rPr>
        <w:t xml:space="preserve"> the prevailing </w:t>
      </w:r>
      <w:proofErr w:type="spellStart"/>
      <w:r w:rsidR="00691673">
        <w:rPr>
          <w:rFonts w:ascii="Times New Roman" w:hAnsi="Times New Roman" w:cs="Times New Roman"/>
          <w:kern w:val="0"/>
          <w:lang w:val="en-ZW"/>
          <w14:ligatures w14:val="none"/>
        </w:rPr>
        <w:t>inter bank</w:t>
      </w:r>
      <w:proofErr w:type="spellEnd"/>
      <w:r w:rsidR="00691673">
        <w:rPr>
          <w:rFonts w:ascii="Times New Roman" w:hAnsi="Times New Roman" w:cs="Times New Roman"/>
          <w:kern w:val="0"/>
          <w:lang w:val="en-ZW"/>
          <w14:ligatures w14:val="none"/>
        </w:rPr>
        <w:t xml:space="preserve"> rate.  The court also ordered payment of interest calculate at the prescribed.</w:t>
      </w:r>
    </w:p>
    <w:p w14:paraId="37B2AD11" w14:textId="3B2A215D" w:rsidR="00BB2150" w:rsidRDefault="00691673" w:rsidP="005C0C0B">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second respondent seeks a rescission of the default judgment aforesaid.  It filed case </w:t>
      </w:r>
      <w:r w:rsidR="005C0C0B">
        <w:rPr>
          <w:rFonts w:ascii="Times New Roman" w:hAnsi="Times New Roman" w:cs="Times New Roman"/>
          <w:kern w:val="0"/>
          <w:lang w:val="en-ZW"/>
          <w14:ligatures w14:val="none"/>
        </w:rPr>
        <w:t>No HC 6786/23</w:t>
      </w:r>
      <w:r w:rsidR="00737A44">
        <w:rPr>
          <w:rFonts w:ascii="Times New Roman" w:hAnsi="Times New Roman" w:cs="Times New Roman"/>
          <w:kern w:val="0"/>
          <w:lang w:val="en-ZW"/>
          <w14:ligatures w14:val="none"/>
        </w:rPr>
        <w:t xml:space="preserve"> s</w:t>
      </w:r>
      <w:r w:rsidR="005C0C0B">
        <w:rPr>
          <w:rFonts w:ascii="Times New Roman" w:hAnsi="Times New Roman" w:cs="Times New Roman"/>
          <w:kern w:val="0"/>
          <w:lang w:val="en-ZW"/>
          <w14:ligatures w14:val="none"/>
        </w:rPr>
        <w:t>eeking rescission of the default judgment.  The second respondent also filed an urgent application for stay</w:t>
      </w:r>
      <w:r w:rsidR="00737A44">
        <w:rPr>
          <w:rFonts w:ascii="Times New Roman" w:hAnsi="Times New Roman" w:cs="Times New Roman"/>
          <w:kern w:val="0"/>
          <w:lang w:val="en-ZW"/>
          <w14:ligatures w14:val="none"/>
        </w:rPr>
        <w:t xml:space="preserve"> of</w:t>
      </w:r>
      <w:r w:rsidR="005C0C0B">
        <w:rPr>
          <w:rFonts w:ascii="Times New Roman" w:hAnsi="Times New Roman" w:cs="Times New Roman"/>
          <w:kern w:val="0"/>
          <w:lang w:val="en-ZW"/>
          <w14:ligatures w14:val="none"/>
        </w:rPr>
        <w:t xml:space="preserve"> execution of the judgment whose rescission was sought.  The urgent application was filed under case No HC 6797/23.  At the hearing of the matter the parties consented to consolidate the urgent application with the rescission of judgment so that the matters are heard at the same time.  A temporary of execution was granted pending the determination of the consolidated applications</w:t>
      </w:r>
      <w:r w:rsidR="003C11D6">
        <w:rPr>
          <w:rFonts w:ascii="Times New Roman" w:hAnsi="Times New Roman" w:cs="Times New Roman"/>
          <w:kern w:val="0"/>
          <w:lang w:val="en-ZW"/>
          <w14:ligatures w14:val="none"/>
        </w:rPr>
        <w:t xml:space="preserve">.  In essence the effect of the consolidation was to </w:t>
      </w:r>
      <w:r w:rsidR="003C11D6">
        <w:rPr>
          <w:rFonts w:ascii="Times New Roman" w:hAnsi="Times New Roman" w:cs="Times New Roman"/>
          <w:kern w:val="0"/>
          <w:lang w:val="en-ZW"/>
          <w14:ligatures w14:val="none"/>
        </w:rPr>
        <w:lastRenderedPageBreak/>
        <w:t xml:space="preserve">accelerate the hearing of the rescission of judgment application thus rendering the hearing of the merits of the urgent application on the merits academic.  This is so because a failed rescission application means that the urgent application dies a natural death since the sought was to protect the rescission application.  On the other </w:t>
      </w:r>
      <w:r w:rsidR="00C7411F">
        <w:rPr>
          <w:rFonts w:ascii="Times New Roman" w:hAnsi="Times New Roman" w:cs="Times New Roman"/>
          <w:kern w:val="0"/>
          <w:lang w:val="en-ZW"/>
          <w14:ligatures w14:val="none"/>
        </w:rPr>
        <w:t>hand,</w:t>
      </w:r>
      <w:r w:rsidR="00BB2150">
        <w:rPr>
          <w:rFonts w:ascii="Times New Roman" w:hAnsi="Times New Roman" w:cs="Times New Roman"/>
          <w:kern w:val="0"/>
          <w:lang w:val="en-ZW"/>
          <w14:ligatures w14:val="none"/>
        </w:rPr>
        <w:t xml:space="preserve"> id rescission is granted, then there ceases to be a court order on which execution may be levied.</w:t>
      </w:r>
    </w:p>
    <w:p w14:paraId="278DE5D0" w14:textId="77777777" w:rsidR="00315E4A" w:rsidRDefault="00C7411F" w:rsidP="005C0C0B">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 therefore, deal with the rescission of judgment but will pronounce on the fate of the urgent application as well.  The </w:t>
      </w:r>
      <w:proofErr w:type="gramStart"/>
      <w:r>
        <w:rPr>
          <w:rFonts w:ascii="Times New Roman" w:hAnsi="Times New Roman" w:cs="Times New Roman"/>
          <w:kern w:val="0"/>
          <w:lang w:val="en-ZW"/>
          <w14:ligatures w14:val="none"/>
        </w:rPr>
        <w:t>parties</w:t>
      </w:r>
      <w:proofErr w:type="gramEnd"/>
      <w:r>
        <w:rPr>
          <w:rFonts w:ascii="Times New Roman" w:hAnsi="Times New Roman" w:cs="Times New Roman"/>
          <w:kern w:val="0"/>
          <w:lang w:val="en-ZW"/>
          <w14:ligatures w14:val="none"/>
        </w:rPr>
        <w:t xml:space="preserve"> legal practitioners stood by the</w:t>
      </w:r>
      <w:r w:rsidR="00315E4A">
        <w:rPr>
          <w:rFonts w:ascii="Times New Roman" w:hAnsi="Times New Roman" w:cs="Times New Roman"/>
          <w:kern w:val="0"/>
          <w:lang w:val="en-ZW"/>
          <w14:ligatures w14:val="none"/>
        </w:rPr>
        <w:t>ir papers and heads of argument and did not make further submissions.</w:t>
      </w:r>
    </w:p>
    <w:p w14:paraId="50411858" w14:textId="77777777" w:rsidR="00315E4A" w:rsidRPr="00315E4A" w:rsidRDefault="00315E4A" w:rsidP="005C0C0B">
      <w:pPr>
        <w:spacing w:after="0" w:line="360" w:lineRule="auto"/>
        <w:ind w:firstLine="720"/>
        <w:jc w:val="both"/>
        <w:rPr>
          <w:rFonts w:ascii="Times New Roman" w:hAnsi="Times New Roman" w:cs="Times New Roman"/>
          <w:kern w:val="0"/>
          <w:u w:val="single"/>
          <w:lang w:val="en-ZW"/>
          <w14:ligatures w14:val="none"/>
        </w:rPr>
      </w:pPr>
      <w:r w:rsidRPr="00315E4A">
        <w:rPr>
          <w:rFonts w:ascii="Times New Roman" w:hAnsi="Times New Roman" w:cs="Times New Roman"/>
          <w:kern w:val="0"/>
          <w:u w:val="single"/>
          <w:lang w:val="en-ZW"/>
          <w14:ligatures w14:val="none"/>
        </w:rPr>
        <w:t>Main Case HC 3336/21</w:t>
      </w:r>
    </w:p>
    <w:p w14:paraId="00A04424" w14:textId="5D7B8BF9" w:rsidR="00BB2150" w:rsidRDefault="00315E4A" w:rsidP="005C0C0B">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background to the application and the dispute</w:t>
      </w:r>
      <w:r w:rsidR="00467EC9">
        <w:rPr>
          <w:rFonts w:ascii="Times New Roman" w:hAnsi="Times New Roman" w:cs="Times New Roman"/>
          <w:kern w:val="0"/>
          <w:lang w:val="en-ZW"/>
          <w14:ligatures w14:val="none"/>
        </w:rPr>
        <w:t xml:space="preserve"> in the main matter case No HC 3336/21 was that the first respondent as plaintiff sued the applicant as second defendant and the second respondent herein as the first defendant for payment of the sums of </w:t>
      </w:r>
      <w:r w:rsidR="00850EFB">
        <w:rPr>
          <w:rFonts w:ascii="Times New Roman" w:hAnsi="Times New Roman" w:cs="Times New Roman"/>
          <w:kern w:val="0"/>
          <w:lang w:val="en-ZW"/>
          <w14:ligatures w14:val="none"/>
        </w:rPr>
        <w:t xml:space="preserve">money as granted in the judgment whose rescission is </w:t>
      </w:r>
      <w:r w:rsidR="001A4F71">
        <w:rPr>
          <w:rFonts w:ascii="Times New Roman" w:hAnsi="Times New Roman" w:cs="Times New Roman"/>
          <w:kern w:val="0"/>
          <w:lang w:val="en-ZW"/>
          <w14:ligatures w14:val="none"/>
        </w:rPr>
        <w:t xml:space="preserve">sought </w:t>
      </w:r>
      <w:r w:rsidR="00737A44">
        <w:rPr>
          <w:rFonts w:ascii="Times New Roman" w:hAnsi="Times New Roman" w:cs="Times New Roman"/>
          <w:kern w:val="0"/>
          <w:lang w:val="en-ZW"/>
          <w14:ligatures w14:val="none"/>
        </w:rPr>
        <w:t>in case No HC 6986/23</w:t>
      </w:r>
      <w:r w:rsidR="001A4F71">
        <w:rPr>
          <w:rFonts w:ascii="Times New Roman" w:hAnsi="Times New Roman" w:cs="Times New Roman"/>
          <w:kern w:val="0"/>
          <w:lang w:val="en-ZW"/>
          <w14:ligatures w14:val="none"/>
        </w:rPr>
        <w:t>.  The summons alleged that the second respondent as fr</w:t>
      </w:r>
      <w:r w:rsidR="00737A44">
        <w:rPr>
          <w:rFonts w:ascii="Times New Roman" w:hAnsi="Times New Roman" w:cs="Times New Roman"/>
          <w:kern w:val="0"/>
          <w:lang w:val="en-ZW"/>
          <w14:ligatures w14:val="none"/>
        </w:rPr>
        <w:t>e</w:t>
      </w:r>
      <w:r w:rsidR="001A4F71">
        <w:rPr>
          <w:rFonts w:ascii="Times New Roman" w:hAnsi="Times New Roman" w:cs="Times New Roman"/>
          <w:kern w:val="0"/>
          <w:lang w:val="en-ZW"/>
          <w14:ligatures w14:val="none"/>
        </w:rPr>
        <w:t xml:space="preserve">ight agent was engaged by the first </w:t>
      </w:r>
      <w:r w:rsidR="0005636C">
        <w:rPr>
          <w:rFonts w:ascii="Times New Roman" w:hAnsi="Times New Roman" w:cs="Times New Roman"/>
          <w:kern w:val="0"/>
          <w:lang w:val="en-ZW"/>
          <w14:ligatures w14:val="none"/>
        </w:rPr>
        <w:t xml:space="preserve">respondent </w:t>
      </w:r>
      <w:r w:rsidR="00BE5CFE">
        <w:rPr>
          <w:rFonts w:ascii="Times New Roman" w:hAnsi="Times New Roman" w:cs="Times New Roman"/>
          <w:kern w:val="0"/>
          <w:lang w:val="en-ZW"/>
          <w14:ligatures w14:val="none"/>
        </w:rPr>
        <w:t xml:space="preserve">to transport by freight </w:t>
      </w:r>
      <w:r w:rsidR="002174BC">
        <w:rPr>
          <w:rFonts w:ascii="Times New Roman" w:hAnsi="Times New Roman" w:cs="Times New Roman"/>
          <w:kern w:val="0"/>
          <w:lang w:val="en-ZW"/>
          <w14:ligatures w14:val="none"/>
        </w:rPr>
        <w:t xml:space="preserve">and clear a consignment from China to Zimbabwe.  </w:t>
      </w:r>
      <w:r w:rsidR="00BD25DC">
        <w:rPr>
          <w:rFonts w:ascii="Times New Roman" w:hAnsi="Times New Roman" w:cs="Times New Roman"/>
          <w:kern w:val="0"/>
          <w:lang w:val="en-ZW"/>
          <w14:ligatures w14:val="none"/>
        </w:rPr>
        <w:t>I</w:t>
      </w:r>
      <w:r w:rsidR="002174BC">
        <w:rPr>
          <w:rFonts w:ascii="Times New Roman" w:hAnsi="Times New Roman" w:cs="Times New Roman"/>
          <w:kern w:val="0"/>
          <w:lang w:val="en-ZW"/>
          <w14:ligatures w14:val="none"/>
        </w:rPr>
        <w:t>t was</w:t>
      </w:r>
      <w:r w:rsidR="001A6AAA">
        <w:rPr>
          <w:rFonts w:ascii="Times New Roman" w:hAnsi="Times New Roman" w:cs="Times New Roman"/>
          <w:kern w:val="0"/>
          <w:lang w:val="en-ZW"/>
          <w14:ligatures w14:val="none"/>
        </w:rPr>
        <w:t xml:space="preserve"> </w:t>
      </w:r>
      <w:r w:rsidR="00A86D7C">
        <w:rPr>
          <w:rFonts w:ascii="Times New Roman" w:hAnsi="Times New Roman" w:cs="Times New Roman"/>
          <w:kern w:val="0"/>
          <w:lang w:val="en-ZW"/>
          <w14:ligatures w14:val="none"/>
        </w:rPr>
        <w:t xml:space="preserve">alleged that upon the arrival of the consignment in South Africa, the second respondent contracted the applicant to transport the consignment from South Africa to Zimbabwe.  </w:t>
      </w:r>
      <w:r w:rsidR="00737A44">
        <w:rPr>
          <w:rFonts w:ascii="Times New Roman" w:hAnsi="Times New Roman" w:cs="Times New Roman"/>
          <w:kern w:val="0"/>
          <w:lang w:val="en-ZW"/>
          <w14:ligatures w14:val="none"/>
        </w:rPr>
        <w:t>T</w:t>
      </w:r>
      <w:r w:rsidR="00A86D7C">
        <w:rPr>
          <w:rFonts w:ascii="Times New Roman" w:hAnsi="Times New Roman" w:cs="Times New Roman"/>
          <w:kern w:val="0"/>
          <w:lang w:val="en-ZW"/>
          <w14:ligatures w14:val="none"/>
        </w:rPr>
        <w:t xml:space="preserve">he consignment did not </w:t>
      </w:r>
      <w:r w:rsidR="00737A44">
        <w:rPr>
          <w:rFonts w:ascii="Times New Roman" w:hAnsi="Times New Roman" w:cs="Times New Roman"/>
          <w:kern w:val="0"/>
          <w:lang w:val="en-ZW"/>
          <w14:ligatures w14:val="none"/>
        </w:rPr>
        <w:t xml:space="preserve">however </w:t>
      </w:r>
      <w:r w:rsidR="00A86D7C">
        <w:rPr>
          <w:rFonts w:ascii="Times New Roman" w:hAnsi="Times New Roman" w:cs="Times New Roman"/>
          <w:kern w:val="0"/>
          <w:lang w:val="en-ZW"/>
          <w14:ligatures w14:val="none"/>
        </w:rPr>
        <w:t xml:space="preserve">reach the Zimbabwe it having reportedly been subject of a hijack in South Africa.  The first respondent in the summons claimed the reimbursement and damages arising from the </w:t>
      </w:r>
      <w:proofErr w:type="spellStart"/>
      <w:r w:rsidR="00A86D7C">
        <w:rPr>
          <w:rFonts w:ascii="Times New Roman" w:hAnsi="Times New Roman" w:cs="Times New Roman"/>
          <w:kern w:val="0"/>
          <w:lang w:val="en-ZW"/>
          <w14:ligatures w14:val="none"/>
        </w:rPr>
        <w:t>non delivery</w:t>
      </w:r>
      <w:proofErr w:type="spellEnd"/>
      <w:r w:rsidR="00A86D7C">
        <w:rPr>
          <w:rFonts w:ascii="Times New Roman" w:hAnsi="Times New Roman" w:cs="Times New Roman"/>
          <w:kern w:val="0"/>
          <w:lang w:val="en-ZW"/>
          <w14:ligatures w14:val="none"/>
        </w:rPr>
        <w:t xml:space="preserve"> of the consignment.  In its claim, the first respondent apportioned joint and several liability for the claim upon the applicant and the second respondent as </w:t>
      </w:r>
      <w:proofErr w:type="spellStart"/>
      <w:r w:rsidR="00A86D7C">
        <w:rPr>
          <w:rFonts w:ascii="Times New Roman" w:hAnsi="Times New Roman" w:cs="Times New Roman"/>
          <w:kern w:val="0"/>
          <w:lang w:val="en-ZW"/>
          <w14:ligatures w14:val="none"/>
        </w:rPr>
        <w:t>co defendants</w:t>
      </w:r>
      <w:proofErr w:type="spellEnd"/>
      <w:r w:rsidR="00A86D7C">
        <w:rPr>
          <w:rFonts w:ascii="Times New Roman" w:hAnsi="Times New Roman" w:cs="Times New Roman"/>
          <w:kern w:val="0"/>
          <w:lang w:val="en-ZW"/>
          <w14:ligatures w14:val="none"/>
        </w:rPr>
        <w:t>, one paying the other to be absolved.</w:t>
      </w:r>
    </w:p>
    <w:p w14:paraId="3012F6F8" w14:textId="20FECE5E" w:rsidR="00A86D7C" w:rsidRDefault="00A86D7C" w:rsidP="005C0C0B">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applicant and filed a plea in which it denied liability.  It denied that there was any privity of contract between it and the first respondent since the freight contract </w:t>
      </w:r>
      <w:r w:rsidR="00994461">
        <w:rPr>
          <w:rFonts w:ascii="Times New Roman" w:hAnsi="Times New Roman" w:cs="Times New Roman"/>
          <w:kern w:val="0"/>
          <w:lang w:val="en-ZW"/>
          <w14:ligatures w14:val="none"/>
        </w:rPr>
        <w:t>was concluded between the applicant and a South African</w:t>
      </w:r>
      <w:r w:rsidR="001F0E2C">
        <w:rPr>
          <w:rFonts w:ascii="Times New Roman" w:hAnsi="Times New Roman" w:cs="Times New Roman"/>
          <w:kern w:val="0"/>
          <w:lang w:val="en-ZW"/>
          <w14:ligatures w14:val="none"/>
        </w:rPr>
        <w:t xml:space="preserve"> </w:t>
      </w:r>
      <w:r w:rsidR="00406411">
        <w:rPr>
          <w:rFonts w:ascii="Times New Roman" w:hAnsi="Times New Roman" w:cs="Times New Roman"/>
          <w:kern w:val="0"/>
          <w:lang w:val="en-ZW"/>
          <w14:ligatures w14:val="none"/>
        </w:rPr>
        <w:t>company called Reg Freight International Freight.  The applicant also averred that in any event the consign</w:t>
      </w:r>
      <w:r w:rsidR="004275CD">
        <w:rPr>
          <w:rFonts w:ascii="Times New Roman" w:hAnsi="Times New Roman" w:cs="Times New Roman"/>
          <w:kern w:val="0"/>
          <w:lang w:val="en-ZW"/>
          <w14:ligatures w14:val="none"/>
        </w:rPr>
        <w:t>ment</w:t>
      </w:r>
      <w:r w:rsidR="00406411">
        <w:rPr>
          <w:rFonts w:ascii="Times New Roman" w:hAnsi="Times New Roman" w:cs="Times New Roman"/>
          <w:kern w:val="0"/>
          <w:lang w:val="en-ZW"/>
          <w14:ligatures w14:val="none"/>
        </w:rPr>
        <w:t xml:space="preserve"> was hijacked which resulted in the applicant’s i</w:t>
      </w:r>
      <w:r w:rsidR="00C67CD1">
        <w:rPr>
          <w:rFonts w:ascii="Times New Roman" w:hAnsi="Times New Roman" w:cs="Times New Roman"/>
          <w:kern w:val="0"/>
          <w:lang w:val="en-ZW"/>
          <w14:ligatures w14:val="none"/>
        </w:rPr>
        <w:t>n</w:t>
      </w:r>
      <w:r w:rsidR="00406411">
        <w:rPr>
          <w:rFonts w:ascii="Times New Roman" w:hAnsi="Times New Roman" w:cs="Times New Roman"/>
          <w:kern w:val="0"/>
          <w:lang w:val="en-ZW"/>
          <w14:ligatures w14:val="none"/>
        </w:rPr>
        <w:t>surer CBZ Insurance paying to the applicant $ZWG 535500.00 for the loss.  The applicant in deposited the amount into the a</w:t>
      </w:r>
      <w:r w:rsidR="00CB458F">
        <w:rPr>
          <w:rFonts w:ascii="Times New Roman" w:hAnsi="Times New Roman" w:cs="Times New Roman"/>
          <w:kern w:val="0"/>
          <w:lang w:val="en-ZW"/>
          <w14:ligatures w14:val="none"/>
        </w:rPr>
        <w:t>ccount of the second respondent.  The first respondent however, refused</w:t>
      </w:r>
      <w:r w:rsidR="004275CD">
        <w:rPr>
          <w:rFonts w:ascii="Times New Roman" w:hAnsi="Times New Roman" w:cs="Times New Roman"/>
          <w:kern w:val="0"/>
          <w:lang w:val="en-ZW"/>
          <w14:ligatures w14:val="none"/>
        </w:rPr>
        <w:t xml:space="preserve"> the</w:t>
      </w:r>
      <w:r w:rsidR="00CB458F">
        <w:rPr>
          <w:rFonts w:ascii="Times New Roman" w:hAnsi="Times New Roman" w:cs="Times New Roman"/>
          <w:kern w:val="0"/>
          <w:lang w:val="en-ZW"/>
          <w14:ligatures w14:val="none"/>
        </w:rPr>
        <w:t xml:space="preserve"> tender of the amount.</w:t>
      </w:r>
    </w:p>
    <w:p w14:paraId="03CFC00C" w14:textId="576E99C3" w:rsidR="00CB458F" w:rsidRDefault="00CB458F" w:rsidP="005C0C0B">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lastRenderedPageBreak/>
        <w:t xml:space="preserve">The applicant further pleaded that the first respondent sued it in case No. HC 686/21 demanding payment of US$57160.40 but withdrew the </w:t>
      </w:r>
      <w:r w:rsidR="000C3078">
        <w:rPr>
          <w:rFonts w:ascii="Times New Roman" w:hAnsi="Times New Roman" w:cs="Times New Roman"/>
          <w:kern w:val="0"/>
          <w:lang w:val="en-ZW"/>
          <w14:ligatures w14:val="none"/>
        </w:rPr>
        <w:t>summons</w:t>
      </w:r>
      <w:r w:rsidR="004275CD">
        <w:rPr>
          <w:rFonts w:ascii="Times New Roman" w:hAnsi="Times New Roman" w:cs="Times New Roman"/>
          <w:kern w:val="0"/>
          <w:lang w:val="en-ZW"/>
          <w14:ligatures w14:val="none"/>
        </w:rPr>
        <w:t>. T</w:t>
      </w:r>
      <w:r w:rsidR="000C3078">
        <w:rPr>
          <w:rFonts w:ascii="Times New Roman" w:hAnsi="Times New Roman" w:cs="Times New Roman"/>
          <w:kern w:val="0"/>
          <w:lang w:val="en-ZW"/>
          <w14:ligatures w14:val="none"/>
        </w:rPr>
        <w:t xml:space="preserve">he applicant pleaded that the amount </w:t>
      </w:r>
      <w:r w:rsidR="004275CD">
        <w:rPr>
          <w:rFonts w:ascii="Times New Roman" w:hAnsi="Times New Roman" w:cs="Times New Roman"/>
          <w:kern w:val="0"/>
          <w:lang w:val="en-ZW"/>
          <w14:ligatures w14:val="none"/>
        </w:rPr>
        <w:t xml:space="preserve">of ZWG 535 500.00 </w:t>
      </w:r>
      <w:r w:rsidR="000C3078">
        <w:rPr>
          <w:rFonts w:ascii="Times New Roman" w:hAnsi="Times New Roman" w:cs="Times New Roman"/>
          <w:kern w:val="0"/>
          <w:lang w:val="en-ZW"/>
          <w14:ligatures w14:val="none"/>
        </w:rPr>
        <w:t>remained held in trust by the second respondents’ legal practitioners at</w:t>
      </w:r>
      <w:r w:rsidR="004275CD">
        <w:rPr>
          <w:rFonts w:ascii="Times New Roman" w:hAnsi="Times New Roman" w:cs="Times New Roman"/>
          <w:kern w:val="0"/>
          <w:lang w:val="en-ZW"/>
          <w14:ligatures w14:val="none"/>
        </w:rPr>
        <w:t xml:space="preserve"> and is at</w:t>
      </w:r>
      <w:r w:rsidR="000C3078">
        <w:rPr>
          <w:rFonts w:ascii="Times New Roman" w:hAnsi="Times New Roman" w:cs="Times New Roman"/>
          <w:kern w:val="0"/>
          <w:lang w:val="en-ZW"/>
          <w14:ligatures w14:val="none"/>
        </w:rPr>
        <w:t xml:space="preserve"> the disposal of the first respondent upon its providing banking details.  The applicant denied liability </w:t>
      </w:r>
      <w:r w:rsidR="004506DD">
        <w:rPr>
          <w:rFonts w:ascii="Times New Roman" w:hAnsi="Times New Roman" w:cs="Times New Roman"/>
          <w:kern w:val="0"/>
          <w:lang w:val="en-ZW"/>
          <w14:ligatures w14:val="none"/>
        </w:rPr>
        <w:t>for the rest of the first respondents’ claims</w:t>
      </w:r>
      <w:r w:rsidR="00ED5C0F">
        <w:rPr>
          <w:rFonts w:ascii="Times New Roman" w:hAnsi="Times New Roman" w:cs="Times New Roman"/>
          <w:kern w:val="0"/>
          <w:lang w:val="en-ZW"/>
          <w14:ligatures w14:val="none"/>
        </w:rPr>
        <w:t xml:space="preserve"> for loss </w:t>
      </w:r>
      <w:r w:rsidR="005F3B45">
        <w:rPr>
          <w:rFonts w:ascii="Times New Roman" w:hAnsi="Times New Roman" w:cs="Times New Roman"/>
          <w:kern w:val="0"/>
          <w:lang w:val="en-ZW"/>
          <w14:ligatures w14:val="none"/>
        </w:rPr>
        <w:t>of business on the basis that the first respondent refused to accept the insurance settlement, hence the acclaimed loss of business was not attributable to the applicant.</w:t>
      </w:r>
    </w:p>
    <w:p w14:paraId="612779F0" w14:textId="07057692" w:rsidR="005F3B45" w:rsidRDefault="005F3B45" w:rsidP="005C0C0B">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second respondent also denied liability on various grounds set out in its plea.  Since the second respondent is not an applicant for rescission and still remains in court th</w:t>
      </w:r>
      <w:r w:rsidR="004275CD">
        <w:rPr>
          <w:rFonts w:ascii="Times New Roman" w:hAnsi="Times New Roman" w:cs="Times New Roman"/>
          <w:kern w:val="0"/>
          <w:lang w:val="en-ZW"/>
          <w14:ligatures w14:val="none"/>
        </w:rPr>
        <w:t>ere</w:t>
      </w:r>
      <w:r>
        <w:rPr>
          <w:rFonts w:ascii="Times New Roman" w:hAnsi="Times New Roman" w:cs="Times New Roman"/>
          <w:kern w:val="0"/>
          <w:lang w:val="en-ZW"/>
          <w14:ligatures w14:val="none"/>
        </w:rPr>
        <w:t xml:space="preserve"> is no need to interrogate its plea.  The court will determine the matter on the application filed by the applicant.</w:t>
      </w:r>
    </w:p>
    <w:p w14:paraId="3A550FE3" w14:textId="2D784923" w:rsidR="00264837" w:rsidRDefault="007E7C5F" w:rsidP="004275CD">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It is common cause that the main matter proceeded through all stages of filing pleadings up to the pre-trial conference stage.  On the date scheduled for the pre-trial conference on 5 July 2023</w:t>
      </w:r>
      <w:r w:rsidR="004275CD">
        <w:rPr>
          <w:rFonts w:ascii="Times New Roman" w:hAnsi="Times New Roman" w:cs="Times New Roman"/>
          <w:kern w:val="0"/>
          <w:lang w:val="en-ZW"/>
          <w14:ligatures w14:val="none"/>
        </w:rPr>
        <w:t>.</w:t>
      </w:r>
      <w:r>
        <w:rPr>
          <w:rFonts w:ascii="Times New Roman" w:hAnsi="Times New Roman" w:cs="Times New Roman"/>
          <w:kern w:val="0"/>
          <w:lang w:val="en-ZW"/>
          <w14:ligatures w14:val="none"/>
        </w:rPr>
        <w:t xml:space="preserve"> </w:t>
      </w:r>
      <w:r w:rsidR="004275CD">
        <w:rPr>
          <w:rFonts w:ascii="Times New Roman" w:hAnsi="Times New Roman" w:cs="Times New Roman"/>
          <w:kern w:val="0"/>
          <w:lang w:val="en-ZW"/>
          <w14:ligatures w14:val="none"/>
        </w:rPr>
        <w:t xml:space="preserve"> </w:t>
      </w:r>
      <w:r w:rsidR="00755CBA">
        <w:rPr>
          <w:rFonts w:ascii="Times New Roman" w:hAnsi="Times New Roman" w:cs="Times New Roman"/>
          <w:kern w:val="0"/>
          <w:lang w:val="en-ZW"/>
          <w14:ligatures w14:val="none"/>
        </w:rPr>
        <w:t>Isadora also replicated to the plea of Adenium.  It pleaded that it did not join CBZ Insurance because it had no contractual relationship with that entity.  It further persisted</w:t>
      </w:r>
      <w:r w:rsidR="007000CF">
        <w:rPr>
          <w:rFonts w:ascii="Times New Roman" w:hAnsi="Times New Roman" w:cs="Times New Roman"/>
          <w:kern w:val="0"/>
          <w:lang w:val="en-ZW"/>
          <w14:ligatures w14:val="none"/>
        </w:rPr>
        <w:t xml:space="preserve"> that Adenium was hired by </w:t>
      </w:r>
      <w:proofErr w:type="spellStart"/>
      <w:r w:rsidR="007000CF">
        <w:rPr>
          <w:rFonts w:ascii="Times New Roman" w:hAnsi="Times New Roman" w:cs="Times New Roman"/>
          <w:kern w:val="0"/>
          <w:lang w:val="en-ZW"/>
          <w14:ligatures w14:val="none"/>
        </w:rPr>
        <w:t>Gladercom</w:t>
      </w:r>
      <w:proofErr w:type="spellEnd"/>
      <w:r w:rsidR="007000CF">
        <w:rPr>
          <w:rFonts w:ascii="Times New Roman" w:hAnsi="Times New Roman" w:cs="Times New Roman"/>
          <w:kern w:val="0"/>
          <w:lang w:val="en-ZW"/>
          <w14:ligatures w14:val="none"/>
        </w:rPr>
        <w:t xml:space="preserve"> and that quotations by Adenium were forwarded </w:t>
      </w:r>
      <w:r w:rsidR="00B3097B">
        <w:rPr>
          <w:rFonts w:ascii="Times New Roman" w:hAnsi="Times New Roman" w:cs="Times New Roman"/>
          <w:kern w:val="0"/>
          <w:lang w:val="en-ZW"/>
          <w14:ligatures w14:val="none"/>
        </w:rPr>
        <w:t xml:space="preserve">for payment by Isadora by </w:t>
      </w:r>
      <w:proofErr w:type="spellStart"/>
      <w:r w:rsidR="00B3097B">
        <w:rPr>
          <w:rFonts w:ascii="Times New Roman" w:hAnsi="Times New Roman" w:cs="Times New Roman"/>
          <w:kern w:val="0"/>
          <w:lang w:val="en-ZW"/>
          <w14:ligatures w14:val="none"/>
        </w:rPr>
        <w:t>Gladercom</w:t>
      </w:r>
      <w:proofErr w:type="spellEnd"/>
      <w:r w:rsidR="00B3097B">
        <w:rPr>
          <w:rFonts w:ascii="Times New Roman" w:hAnsi="Times New Roman" w:cs="Times New Roman"/>
          <w:kern w:val="0"/>
          <w:lang w:val="en-ZW"/>
          <w14:ligatures w14:val="none"/>
        </w:rPr>
        <w:t xml:space="preserve"> thus connecting </w:t>
      </w:r>
      <w:proofErr w:type="spellStart"/>
      <w:r w:rsidR="00B3097B">
        <w:rPr>
          <w:rFonts w:ascii="Times New Roman" w:hAnsi="Times New Roman" w:cs="Times New Roman"/>
          <w:kern w:val="0"/>
          <w:lang w:val="en-ZW"/>
          <w14:ligatures w14:val="none"/>
        </w:rPr>
        <w:t>Gladercom</w:t>
      </w:r>
      <w:proofErr w:type="spellEnd"/>
      <w:r w:rsidR="00B3097B">
        <w:rPr>
          <w:rFonts w:ascii="Times New Roman" w:hAnsi="Times New Roman" w:cs="Times New Roman"/>
          <w:kern w:val="0"/>
          <w:lang w:val="en-ZW"/>
          <w14:ligatures w14:val="none"/>
        </w:rPr>
        <w:t xml:space="preserve"> and Adenium.  It persisted that both </w:t>
      </w:r>
      <w:proofErr w:type="spellStart"/>
      <w:r w:rsidR="002E4D49">
        <w:rPr>
          <w:rFonts w:ascii="Times New Roman" w:hAnsi="Times New Roman" w:cs="Times New Roman"/>
          <w:kern w:val="0"/>
          <w:lang w:val="en-ZW"/>
          <w14:ligatures w14:val="none"/>
        </w:rPr>
        <w:t>Gladerson</w:t>
      </w:r>
      <w:proofErr w:type="spellEnd"/>
      <w:r w:rsidR="002E4D49">
        <w:rPr>
          <w:rFonts w:ascii="Times New Roman" w:hAnsi="Times New Roman" w:cs="Times New Roman"/>
          <w:kern w:val="0"/>
          <w:lang w:val="en-ZW"/>
          <w14:ligatures w14:val="none"/>
        </w:rPr>
        <w:t xml:space="preserve"> and </w:t>
      </w:r>
      <w:proofErr w:type="spellStart"/>
      <w:r w:rsidR="00264837">
        <w:rPr>
          <w:rFonts w:ascii="Times New Roman" w:hAnsi="Times New Roman" w:cs="Times New Roman"/>
          <w:kern w:val="0"/>
          <w:lang w:val="en-ZW"/>
          <w14:ligatures w14:val="none"/>
        </w:rPr>
        <w:t>Adenium</w:t>
      </w:r>
      <w:proofErr w:type="spellEnd"/>
      <w:r w:rsidR="00264837">
        <w:rPr>
          <w:rFonts w:ascii="Times New Roman" w:hAnsi="Times New Roman" w:cs="Times New Roman"/>
          <w:kern w:val="0"/>
          <w:lang w:val="en-ZW"/>
          <w14:ligatures w14:val="none"/>
        </w:rPr>
        <w:t xml:space="preserve"> were liable </w:t>
      </w:r>
      <w:r w:rsidR="004275CD">
        <w:rPr>
          <w:rFonts w:ascii="Times New Roman" w:hAnsi="Times New Roman" w:cs="Times New Roman"/>
          <w:kern w:val="0"/>
          <w:lang w:val="en-ZW"/>
          <w14:ligatures w14:val="none"/>
        </w:rPr>
        <w:t xml:space="preserve">to </w:t>
      </w:r>
      <w:r w:rsidR="00264837">
        <w:rPr>
          <w:rFonts w:ascii="Times New Roman" w:hAnsi="Times New Roman" w:cs="Times New Roman"/>
          <w:kern w:val="0"/>
          <w:lang w:val="en-ZW"/>
          <w14:ligatures w14:val="none"/>
        </w:rPr>
        <w:t>Isadora for the lost consignment.</w:t>
      </w:r>
    </w:p>
    <w:p w14:paraId="604FD96B" w14:textId="61B00587" w:rsidR="00755CBA" w:rsidRDefault="0007634D" w:rsidP="00D17B3B">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matter was progressed to pre-trial conference stage.  It is common cause that Adenium filed all pre-trial conference documents and effected discovery.  A round table conference was held between the legal representati</w:t>
      </w:r>
      <w:r w:rsidR="004275CD">
        <w:rPr>
          <w:rFonts w:ascii="Times New Roman" w:hAnsi="Times New Roman" w:cs="Times New Roman"/>
          <w:kern w:val="0"/>
          <w:lang w:val="en-ZW"/>
          <w14:ligatures w14:val="none"/>
        </w:rPr>
        <w:t>ves</w:t>
      </w:r>
      <w:r>
        <w:rPr>
          <w:rFonts w:ascii="Times New Roman" w:hAnsi="Times New Roman" w:cs="Times New Roman"/>
          <w:kern w:val="0"/>
          <w:lang w:val="en-ZW"/>
          <w14:ligatures w14:val="none"/>
        </w:rPr>
        <w:t xml:space="preserve"> of Isadora and Adenium on 14 Ju</w:t>
      </w:r>
      <w:r w:rsidR="00C94678">
        <w:rPr>
          <w:rFonts w:ascii="Times New Roman" w:hAnsi="Times New Roman" w:cs="Times New Roman"/>
          <w:kern w:val="0"/>
          <w:lang w:val="en-ZW"/>
          <w14:ligatures w14:val="none"/>
        </w:rPr>
        <w:t xml:space="preserve">ly 2022 at the offices of Isadora’s legal practitioners </w:t>
      </w:r>
      <w:proofErr w:type="spellStart"/>
      <w:r w:rsidR="00C94678">
        <w:rPr>
          <w:rFonts w:ascii="Times New Roman" w:hAnsi="Times New Roman" w:cs="Times New Roman"/>
          <w:kern w:val="0"/>
          <w:lang w:val="en-ZW"/>
          <w14:ligatures w14:val="none"/>
        </w:rPr>
        <w:t>Gladercom</w:t>
      </w:r>
      <w:proofErr w:type="spellEnd"/>
      <w:r w:rsidR="00C94678">
        <w:rPr>
          <w:rFonts w:ascii="Times New Roman" w:hAnsi="Times New Roman" w:cs="Times New Roman"/>
          <w:kern w:val="0"/>
          <w:lang w:val="en-ZW"/>
          <w14:ligatures w14:val="none"/>
        </w:rPr>
        <w:t xml:space="preserve"> was not in attendance.  The round table minutes were filed on 22 September 2022.  A pre-trial conference before </w:t>
      </w:r>
      <w:proofErr w:type="spellStart"/>
      <w:r w:rsidR="00C94678" w:rsidRPr="00C94678">
        <w:rPr>
          <w:rFonts w:ascii="Times New Roman" w:hAnsi="Times New Roman" w:cs="Times New Roman"/>
          <w:smallCaps/>
          <w:kern w:val="0"/>
          <w:lang w:val="en-ZW"/>
          <w14:ligatures w14:val="none"/>
        </w:rPr>
        <w:t>Manzunzu</w:t>
      </w:r>
      <w:proofErr w:type="spellEnd"/>
      <w:r w:rsidR="00C94678">
        <w:rPr>
          <w:rFonts w:ascii="Times New Roman" w:hAnsi="Times New Roman" w:cs="Times New Roman"/>
          <w:kern w:val="0"/>
          <w:lang w:val="en-ZW"/>
          <w14:ligatures w14:val="none"/>
        </w:rPr>
        <w:t xml:space="preserve"> J was scheduled on 24 March 2023.  Adenium was not present.</w:t>
      </w:r>
      <w:r w:rsidR="00755CBA">
        <w:rPr>
          <w:rFonts w:ascii="Times New Roman" w:hAnsi="Times New Roman" w:cs="Times New Roman"/>
          <w:kern w:val="0"/>
          <w:lang w:val="en-ZW"/>
          <w14:ligatures w14:val="none"/>
        </w:rPr>
        <w:t xml:space="preserve"> </w:t>
      </w:r>
      <w:r w:rsidR="00C94678">
        <w:rPr>
          <w:rFonts w:ascii="Times New Roman" w:hAnsi="Times New Roman" w:cs="Times New Roman"/>
          <w:kern w:val="0"/>
          <w:lang w:val="en-ZW"/>
          <w14:ligatures w14:val="none"/>
        </w:rPr>
        <w:t xml:space="preserve"> </w:t>
      </w:r>
      <w:proofErr w:type="spellStart"/>
      <w:r w:rsidR="004F087C" w:rsidRPr="009E21C5">
        <w:rPr>
          <w:rFonts w:ascii="Times New Roman" w:hAnsi="Times New Roman" w:cs="Times New Roman"/>
          <w:smallCaps/>
          <w:kern w:val="0"/>
          <w:lang w:val="en-ZW"/>
          <w14:ligatures w14:val="none"/>
        </w:rPr>
        <w:t>Manzunzu</w:t>
      </w:r>
      <w:proofErr w:type="spellEnd"/>
      <w:r w:rsidR="004F087C">
        <w:rPr>
          <w:rFonts w:ascii="Times New Roman" w:hAnsi="Times New Roman" w:cs="Times New Roman"/>
          <w:kern w:val="0"/>
          <w:lang w:val="en-ZW"/>
          <w14:ligatures w14:val="none"/>
        </w:rPr>
        <w:t xml:space="preserve"> J made </w:t>
      </w:r>
      <w:r w:rsidR="009E21C5">
        <w:rPr>
          <w:rFonts w:ascii="Times New Roman" w:hAnsi="Times New Roman" w:cs="Times New Roman"/>
          <w:kern w:val="0"/>
          <w:lang w:val="en-ZW"/>
          <w14:ligatures w14:val="none"/>
        </w:rPr>
        <w:t xml:space="preserve">an order that “No appearance for second defendant.  The parties to further engage with a view to strike a settlement.  The parties shall meet on 28 March 2023 at an agreed time and venue.  Matter </w:t>
      </w:r>
      <w:r w:rsidR="001966AF">
        <w:rPr>
          <w:rFonts w:ascii="Times New Roman" w:hAnsi="Times New Roman" w:cs="Times New Roman"/>
          <w:kern w:val="0"/>
          <w:lang w:val="en-ZW"/>
          <w14:ligatures w14:val="none"/>
        </w:rPr>
        <w:t>postponed to 30 March 2023 at 10.00am.”</w:t>
      </w:r>
    </w:p>
    <w:p w14:paraId="7280AC98" w14:textId="4C160EA5" w:rsidR="001966AF" w:rsidRDefault="001966AF" w:rsidP="00D17B3B">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On 30 March 2023, the pre-trial conference was reconvened.  </w:t>
      </w:r>
      <w:proofErr w:type="spellStart"/>
      <w:r w:rsidRPr="003A4167">
        <w:rPr>
          <w:rFonts w:ascii="Times New Roman" w:hAnsi="Times New Roman" w:cs="Times New Roman"/>
          <w:smallCaps/>
          <w:kern w:val="0"/>
          <w:lang w:val="en-ZW"/>
          <w14:ligatures w14:val="none"/>
        </w:rPr>
        <w:t>Manzunzu</w:t>
      </w:r>
      <w:proofErr w:type="spellEnd"/>
      <w:r>
        <w:rPr>
          <w:rFonts w:ascii="Times New Roman" w:hAnsi="Times New Roman" w:cs="Times New Roman"/>
          <w:kern w:val="0"/>
          <w:lang w:val="en-ZW"/>
          <w14:ligatures w14:val="none"/>
        </w:rPr>
        <w:t xml:space="preserve"> J refereed the </w:t>
      </w:r>
      <w:r w:rsidR="00BA4149">
        <w:rPr>
          <w:rFonts w:ascii="Times New Roman" w:hAnsi="Times New Roman" w:cs="Times New Roman"/>
          <w:kern w:val="0"/>
          <w:lang w:val="en-ZW"/>
          <w14:ligatures w14:val="none"/>
        </w:rPr>
        <w:t xml:space="preserve">matter to trial in relation to Isadora and </w:t>
      </w:r>
      <w:proofErr w:type="spellStart"/>
      <w:r w:rsidR="00BA4149">
        <w:rPr>
          <w:rFonts w:ascii="Times New Roman" w:hAnsi="Times New Roman" w:cs="Times New Roman"/>
          <w:kern w:val="0"/>
          <w:lang w:val="en-ZW"/>
          <w14:ligatures w14:val="none"/>
        </w:rPr>
        <w:t>Gladercom</w:t>
      </w:r>
      <w:proofErr w:type="spellEnd"/>
      <w:r w:rsidR="00BA4149">
        <w:rPr>
          <w:rFonts w:ascii="Times New Roman" w:hAnsi="Times New Roman" w:cs="Times New Roman"/>
          <w:kern w:val="0"/>
          <w:lang w:val="en-ZW"/>
          <w14:ligatures w14:val="none"/>
        </w:rPr>
        <w:t xml:space="preserve">.  The details of the reference do not concern </w:t>
      </w:r>
      <w:r w:rsidR="00BA4149">
        <w:rPr>
          <w:rFonts w:ascii="Times New Roman" w:hAnsi="Times New Roman" w:cs="Times New Roman"/>
          <w:kern w:val="0"/>
          <w:lang w:val="en-ZW"/>
          <w14:ligatures w14:val="none"/>
        </w:rPr>
        <w:lastRenderedPageBreak/>
        <w:t xml:space="preserve">this judgment directly and comments thereon may impact on the court’s judgment at trial.  In respect of Adenium, the </w:t>
      </w:r>
      <w:r w:rsidR="00FD390D">
        <w:rPr>
          <w:rFonts w:ascii="Times New Roman" w:hAnsi="Times New Roman" w:cs="Times New Roman"/>
          <w:kern w:val="0"/>
          <w:lang w:val="en-ZW"/>
          <w14:ligatures w14:val="none"/>
        </w:rPr>
        <w:t>learned judge issued the following order;</w:t>
      </w:r>
    </w:p>
    <w:p w14:paraId="0283D841" w14:textId="0D21314B" w:rsidR="00FD390D" w:rsidRPr="00FD390D" w:rsidRDefault="00FD390D" w:rsidP="00FD390D">
      <w:pPr>
        <w:spacing w:after="0" w:line="240" w:lineRule="auto"/>
        <w:ind w:left="720"/>
        <w:jc w:val="both"/>
        <w:rPr>
          <w:rFonts w:ascii="Times New Roman" w:hAnsi="Times New Roman" w:cs="Times New Roman"/>
          <w:kern w:val="0"/>
          <w:sz w:val="22"/>
          <w:szCs w:val="22"/>
          <w:lang w:val="en-ZW"/>
          <w14:ligatures w14:val="none"/>
        </w:rPr>
      </w:pPr>
      <w:r w:rsidRPr="00FD390D">
        <w:rPr>
          <w:rFonts w:ascii="Times New Roman" w:hAnsi="Times New Roman" w:cs="Times New Roman"/>
          <w:kern w:val="0"/>
          <w:sz w:val="22"/>
          <w:szCs w:val="22"/>
          <w:lang w:val="en-ZW"/>
          <w14:ligatures w14:val="none"/>
        </w:rPr>
        <w:t>“1.The second defendant was in default at the pre-trail conference on 24 March 2023 and 30 March 2023.</w:t>
      </w:r>
    </w:p>
    <w:p w14:paraId="5FF0B14A" w14:textId="4782CB2A" w:rsidR="00FD390D" w:rsidRDefault="00FD390D" w:rsidP="00FD390D">
      <w:pPr>
        <w:spacing w:after="0" w:line="240" w:lineRule="auto"/>
        <w:ind w:left="720"/>
        <w:jc w:val="both"/>
        <w:rPr>
          <w:rFonts w:ascii="Times New Roman" w:hAnsi="Times New Roman" w:cs="Times New Roman"/>
          <w:kern w:val="0"/>
          <w:sz w:val="22"/>
          <w:szCs w:val="22"/>
          <w:lang w:val="en-ZW"/>
          <w14:ligatures w14:val="none"/>
        </w:rPr>
      </w:pPr>
      <w:r w:rsidRPr="00FD390D">
        <w:rPr>
          <w:rFonts w:ascii="Times New Roman" w:hAnsi="Times New Roman" w:cs="Times New Roman"/>
          <w:kern w:val="0"/>
          <w:sz w:val="22"/>
          <w:szCs w:val="22"/>
          <w:lang w:val="en-ZW"/>
          <w14:ligatures w14:val="none"/>
        </w:rPr>
        <w:t>2. The plaintiff having applied for default judgment against the second defendant, the matter is referred to the unopposed roll.”</w:t>
      </w:r>
    </w:p>
    <w:p w14:paraId="1F0C647A" w14:textId="77777777" w:rsidR="00FD390D" w:rsidRPr="00FD390D" w:rsidRDefault="00FD390D" w:rsidP="00FD390D">
      <w:pPr>
        <w:spacing w:after="0" w:line="240" w:lineRule="auto"/>
        <w:ind w:left="720"/>
        <w:jc w:val="both"/>
        <w:rPr>
          <w:rFonts w:ascii="Times New Roman" w:hAnsi="Times New Roman" w:cs="Times New Roman"/>
          <w:kern w:val="0"/>
          <w:sz w:val="22"/>
          <w:szCs w:val="22"/>
          <w:lang w:val="en-ZW"/>
          <w14:ligatures w14:val="none"/>
        </w:rPr>
      </w:pPr>
    </w:p>
    <w:p w14:paraId="7124FAFF" w14:textId="6FA69BB4" w:rsidR="00FD390D" w:rsidRDefault="00FD390D" w:rsidP="00D17B3B">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Subsequent to the above order, Isadora filed a court application</w:t>
      </w:r>
      <w:r w:rsidR="004275CD">
        <w:rPr>
          <w:rFonts w:ascii="Times New Roman" w:hAnsi="Times New Roman" w:cs="Times New Roman"/>
          <w:kern w:val="0"/>
          <w:lang w:val="en-ZW"/>
          <w14:ligatures w14:val="none"/>
        </w:rPr>
        <w:t xml:space="preserve"> for</w:t>
      </w:r>
      <w:r>
        <w:rPr>
          <w:rFonts w:ascii="Times New Roman" w:hAnsi="Times New Roman" w:cs="Times New Roman"/>
          <w:kern w:val="0"/>
          <w:lang w:val="en-ZW"/>
          <w14:ligatures w14:val="none"/>
        </w:rPr>
        <w:t xml:space="preserve"> default judgment on 15 June 2023 against Adenium.  On 5 July 2023 </w:t>
      </w:r>
      <w:proofErr w:type="spellStart"/>
      <w:r w:rsidRPr="00FD390D">
        <w:rPr>
          <w:rFonts w:ascii="Times New Roman" w:hAnsi="Times New Roman" w:cs="Times New Roman"/>
          <w:smallCaps/>
          <w:kern w:val="0"/>
          <w:lang w:val="en-ZW"/>
          <w14:ligatures w14:val="none"/>
        </w:rPr>
        <w:t>Chinamora</w:t>
      </w:r>
      <w:proofErr w:type="spellEnd"/>
      <w:r>
        <w:rPr>
          <w:rFonts w:ascii="Times New Roman" w:hAnsi="Times New Roman" w:cs="Times New Roman"/>
          <w:kern w:val="0"/>
          <w:lang w:val="en-ZW"/>
          <w14:ligatures w14:val="none"/>
        </w:rPr>
        <w:t xml:space="preserve"> J granted the application aforesaid as per the order referred to herein above.</w:t>
      </w:r>
    </w:p>
    <w:p w14:paraId="29C58854" w14:textId="7DB87665" w:rsidR="00FD390D" w:rsidRDefault="00FD390D" w:rsidP="00D17B3B">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Isadora proceeded to enforce the default judgment by writ of execution issued on 29 August 2023.  The legal practitioners for Isadora filed a bond of </w:t>
      </w:r>
      <w:r w:rsidR="00737E22">
        <w:rPr>
          <w:rFonts w:ascii="Times New Roman" w:hAnsi="Times New Roman" w:cs="Times New Roman"/>
          <w:kern w:val="0"/>
          <w:lang w:val="en-ZW"/>
          <w14:ligatures w14:val="none"/>
        </w:rPr>
        <w:t>indemnity which bear their signature with the date 31</w:t>
      </w:r>
      <w:r w:rsidR="00737E22" w:rsidRPr="00737E22">
        <w:rPr>
          <w:rFonts w:ascii="Times New Roman" w:hAnsi="Times New Roman" w:cs="Times New Roman"/>
          <w:kern w:val="0"/>
          <w:vertAlign w:val="superscript"/>
          <w:lang w:val="en-ZW"/>
          <w14:ligatures w14:val="none"/>
        </w:rPr>
        <w:t>st</w:t>
      </w:r>
      <w:r w:rsidR="00737E22">
        <w:rPr>
          <w:rFonts w:ascii="Times New Roman" w:hAnsi="Times New Roman" w:cs="Times New Roman"/>
          <w:kern w:val="0"/>
          <w:lang w:val="en-ZW"/>
          <w14:ligatures w14:val="none"/>
        </w:rPr>
        <w:t xml:space="preserve"> July 2023.  On </w:t>
      </w:r>
      <w:r w:rsidR="00D12464">
        <w:rPr>
          <w:rFonts w:ascii="Times New Roman" w:hAnsi="Times New Roman" w:cs="Times New Roman"/>
          <w:kern w:val="0"/>
          <w:lang w:val="en-ZW"/>
          <w14:ligatures w14:val="none"/>
        </w:rPr>
        <w:t xml:space="preserve">18 July 2023 the Sheriff attached under notice of seizure and attachment and at 6A Justitia Road, </w:t>
      </w:r>
      <w:proofErr w:type="spellStart"/>
      <w:r w:rsidR="00D12464">
        <w:rPr>
          <w:rFonts w:ascii="Times New Roman" w:hAnsi="Times New Roman" w:cs="Times New Roman"/>
          <w:kern w:val="0"/>
          <w:lang w:val="en-ZW"/>
          <w14:ligatures w14:val="none"/>
        </w:rPr>
        <w:t>Beitbridge</w:t>
      </w:r>
      <w:proofErr w:type="spellEnd"/>
      <w:r w:rsidR="00D12464">
        <w:rPr>
          <w:rFonts w:ascii="Times New Roman" w:hAnsi="Times New Roman" w:cs="Times New Roman"/>
          <w:kern w:val="0"/>
          <w:lang w:val="en-ZW"/>
          <w14:ligatures w14:val="none"/>
        </w:rPr>
        <w:t xml:space="preserve">, a </w:t>
      </w:r>
      <w:proofErr w:type="spellStart"/>
      <w:r w:rsidR="00D12464">
        <w:rPr>
          <w:rFonts w:ascii="Times New Roman" w:hAnsi="Times New Roman" w:cs="Times New Roman"/>
          <w:kern w:val="0"/>
          <w:lang w:val="en-ZW"/>
          <w14:ligatures w14:val="none"/>
        </w:rPr>
        <w:t>scania</w:t>
      </w:r>
      <w:proofErr w:type="spellEnd"/>
      <w:r w:rsidR="00D12464">
        <w:rPr>
          <w:rFonts w:ascii="Times New Roman" w:hAnsi="Times New Roman" w:cs="Times New Roman"/>
          <w:kern w:val="0"/>
          <w:lang w:val="en-ZW"/>
          <w14:ligatures w14:val="none"/>
        </w:rPr>
        <w:t xml:space="preserve"> horse track registration </w:t>
      </w:r>
      <w:r w:rsidR="005E6382">
        <w:rPr>
          <w:rFonts w:ascii="Times New Roman" w:hAnsi="Times New Roman" w:cs="Times New Roman"/>
          <w:kern w:val="0"/>
          <w:lang w:val="en-ZW"/>
          <w14:ligatures w14:val="none"/>
        </w:rPr>
        <w:t xml:space="preserve">No ABQ5646 belonging </w:t>
      </w:r>
      <w:r w:rsidR="00DC0522">
        <w:rPr>
          <w:rFonts w:ascii="Times New Roman" w:hAnsi="Times New Roman" w:cs="Times New Roman"/>
          <w:kern w:val="0"/>
          <w:lang w:val="en-ZW"/>
          <w14:ligatures w14:val="none"/>
        </w:rPr>
        <w:t xml:space="preserve">to Adenium.  The notice aforesaid indicated that the attachment was pursuant to a warrant issued on 12 October 2023.  The removal date was endorsed as 17 October 2023.  From the record it is evident that the seizure and attachment could not have been done pursuant to a writ issued on 29 August 2023 since the attachment and seizure notice pre-dates the date of issue of the writ.  Equally, the seizure and attachment notice purports to have been made pursuant to a warrant issued on 12 October 2023.  Again, on the face of it, the seizure and attachment notice predated the date of the warrant of seizure.  No doubt the contradictory documents would need </w:t>
      </w:r>
      <w:r w:rsidR="00565109">
        <w:rPr>
          <w:rFonts w:ascii="Times New Roman" w:hAnsi="Times New Roman" w:cs="Times New Roman"/>
          <w:kern w:val="0"/>
          <w:lang w:val="en-ZW"/>
          <w14:ligatures w14:val="none"/>
        </w:rPr>
        <w:t>to be explained to put the paper trial and record straight.</w:t>
      </w:r>
    </w:p>
    <w:p w14:paraId="350C15EB" w14:textId="77777777" w:rsidR="004275CD" w:rsidRPr="004275CD" w:rsidRDefault="00B76646" w:rsidP="00D17B3B">
      <w:pPr>
        <w:spacing w:after="0" w:line="360" w:lineRule="auto"/>
        <w:ind w:firstLine="720"/>
        <w:jc w:val="both"/>
        <w:rPr>
          <w:rFonts w:ascii="Times New Roman" w:hAnsi="Times New Roman" w:cs="Times New Roman"/>
          <w:kern w:val="0"/>
          <w:u w:val="single"/>
          <w:lang w:val="en-ZW"/>
          <w14:ligatures w14:val="none"/>
        </w:rPr>
      </w:pPr>
      <w:r w:rsidRPr="004275CD">
        <w:rPr>
          <w:rFonts w:ascii="Times New Roman" w:hAnsi="Times New Roman" w:cs="Times New Roman"/>
          <w:kern w:val="0"/>
          <w:u w:val="single"/>
          <w:lang w:val="en-ZW"/>
          <w14:ligatures w14:val="none"/>
        </w:rPr>
        <w:t xml:space="preserve">Rescission of judgment case No. HC 6786/23 </w:t>
      </w:r>
    </w:p>
    <w:p w14:paraId="100A2714" w14:textId="1C194A40" w:rsidR="00565109" w:rsidRDefault="00B76646" w:rsidP="00D17B3B">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Adenium filed this application on 18 October 2021.  It alleged that it beca</w:t>
      </w:r>
      <w:r w:rsidR="004275CD">
        <w:rPr>
          <w:rFonts w:ascii="Times New Roman" w:hAnsi="Times New Roman" w:cs="Times New Roman"/>
          <w:kern w:val="0"/>
          <w:lang w:val="en-ZW"/>
          <w14:ligatures w14:val="none"/>
        </w:rPr>
        <w:t xml:space="preserve">me </w:t>
      </w:r>
      <w:r>
        <w:rPr>
          <w:rFonts w:ascii="Times New Roman" w:hAnsi="Times New Roman" w:cs="Times New Roman"/>
          <w:kern w:val="0"/>
          <w:lang w:val="en-ZW"/>
          <w14:ligatures w14:val="none"/>
        </w:rPr>
        <w:t>aware of the default judgment granted in case No HC 3336/21 on 12 October 2023 when the order was served on it by the Sheriff together with a writ of execution and notice of seizure and removal.</w:t>
      </w:r>
    </w:p>
    <w:p w14:paraId="466AAD2B" w14:textId="77777777" w:rsidR="00270084" w:rsidRDefault="00270084" w:rsidP="00D17B3B">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It being common cause that default judgment was granted pursuant to the default by Adenium to attend a pre-trial conference.  Adenium explained that it was let down by its erstwhile legal practitioners Masawi and Partners.  Not only did the legal practitioners not inform Adenium of the pre-trial conference, they did not themselves appear before the judge or </w:t>
      </w:r>
      <w:r>
        <w:rPr>
          <w:rFonts w:ascii="Times New Roman" w:hAnsi="Times New Roman" w:cs="Times New Roman"/>
          <w:kern w:val="0"/>
          <w:lang w:val="en-ZW"/>
          <w14:ligatures w14:val="none"/>
        </w:rPr>
        <w:lastRenderedPageBreak/>
        <w:t>renounce agency according to the record.  Adenium averred that it did not attend the pre-trial conference because the legal practitioners did not inform it of the set down.</w:t>
      </w:r>
    </w:p>
    <w:p w14:paraId="4F49A67C" w14:textId="0E250914" w:rsidR="00270084" w:rsidRDefault="00270084" w:rsidP="00D17B3B">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Isadora averred that Adenium was not </w:t>
      </w:r>
      <w:r w:rsidR="004275CD">
        <w:rPr>
          <w:rFonts w:ascii="Times New Roman" w:hAnsi="Times New Roman" w:cs="Times New Roman"/>
          <w:kern w:val="0"/>
          <w:lang w:val="en-ZW"/>
          <w14:ligatures w14:val="none"/>
        </w:rPr>
        <w:t>telling</w:t>
      </w:r>
      <w:r>
        <w:rPr>
          <w:rFonts w:ascii="Times New Roman" w:hAnsi="Times New Roman" w:cs="Times New Roman"/>
          <w:kern w:val="0"/>
          <w:lang w:val="en-ZW"/>
          <w14:ligatures w14:val="none"/>
        </w:rPr>
        <w:t xml:space="preserve"> the truth that it only beca</w:t>
      </w:r>
      <w:r w:rsidR="004275CD">
        <w:rPr>
          <w:rFonts w:ascii="Times New Roman" w:hAnsi="Times New Roman" w:cs="Times New Roman"/>
          <w:kern w:val="0"/>
          <w:lang w:val="en-ZW"/>
          <w14:ligatures w14:val="none"/>
        </w:rPr>
        <w:t>me</w:t>
      </w:r>
      <w:r>
        <w:rPr>
          <w:rFonts w:ascii="Times New Roman" w:hAnsi="Times New Roman" w:cs="Times New Roman"/>
          <w:kern w:val="0"/>
          <w:lang w:val="en-ZW"/>
          <w14:ligatures w14:val="none"/>
        </w:rPr>
        <w:t xml:space="preserve"> aware of the default judgment on 12 October 2023.  It averred as follows in para 23 of the opposing affidavit:</w:t>
      </w:r>
    </w:p>
    <w:p w14:paraId="47844290" w14:textId="77777777" w:rsidR="00270084" w:rsidRPr="00C01133" w:rsidRDefault="00270084" w:rsidP="00C01133">
      <w:pPr>
        <w:spacing w:after="0" w:line="240" w:lineRule="auto"/>
        <w:ind w:firstLine="720"/>
        <w:jc w:val="both"/>
        <w:rPr>
          <w:rFonts w:ascii="Times New Roman" w:hAnsi="Times New Roman" w:cs="Times New Roman"/>
          <w:kern w:val="0"/>
          <w:sz w:val="22"/>
          <w:szCs w:val="22"/>
          <w:lang w:val="en-ZW"/>
          <w14:ligatures w14:val="none"/>
        </w:rPr>
      </w:pPr>
      <w:r w:rsidRPr="00C01133">
        <w:rPr>
          <w:rFonts w:ascii="Times New Roman" w:hAnsi="Times New Roman" w:cs="Times New Roman"/>
          <w:kern w:val="0"/>
          <w:sz w:val="22"/>
          <w:szCs w:val="22"/>
          <w:lang w:val="en-ZW"/>
          <w14:ligatures w14:val="none"/>
        </w:rPr>
        <w:t>“AD PARA NATURE OF THE APPLICATION 4-6</w:t>
      </w:r>
    </w:p>
    <w:p w14:paraId="78D3D9B2" w14:textId="463B44B2" w:rsidR="00F379DC" w:rsidRDefault="00270084" w:rsidP="00C01133">
      <w:pPr>
        <w:spacing w:after="0" w:line="240" w:lineRule="auto"/>
        <w:ind w:left="720" w:firstLine="60"/>
        <w:jc w:val="both"/>
        <w:rPr>
          <w:rFonts w:ascii="Times New Roman" w:hAnsi="Times New Roman" w:cs="Times New Roman"/>
          <w:kern w:val="0"/>
          <w:sz w:val="22"/>
          <w:szCs w:val="22"/>
          <w:lang w:val="en-ZW"/>
          <w14:ligatures w14:val="none"/>
        </w:rPr>
      </w:pPr>
      <w:r w:rsidRPr="00C01133">
        <w:rPr>
          <w:rFonts w:ascii="Times New Roman" w:hAnsi="Times New Roman" w:cs="Times New Roman"/>
          <w:kern w:val="0"/>
          <w:sz w:val="22"/>
          <w:szCs w:val="22"/>
          <w:lang w:val="en-ZW"/>
          <w14:ligatures w14:val="none"/>
        </w:rPr>
        <w:t xml:space="preserve">I note the contents of these paragraphs. </w:t>
      </w:r>
      <w:r w:rsidR="004275CD">
        <w:rPr>
          <w:rFonts w:ascii="Times New Roman" w:hAnsi="Times New Roman" w:cs="Times New Roman"/>
          <w:kern w:val="0"/>
          <w:sz w:val="22"/>
          <w:szCs w:val="22"/>
          <w:lang w:val="en-ZW"/>
          <w14:ligatures w14:val="none"/>
        </w:rPr>
        <w:t xml:space="preserve"> I confirm </w:t>
      </w:r>
      <w:r w:rsidRPr="00C01133">
        <w:rPr>
          <w:rFonts w:ascii="Times New Roman" w:hAnsi="Times New Roman" w:cs="Times New Roman"/>
          <w:kern w:val="0"/>
          <w:sz w:val="22"/>
          <w:szCs w:val="22"/>
          <w:lang w:val="en-ZW"/>
          <w14:ligatures w14:val="none"/>
        </w:rPr>
        <w:t xml:space="preserve">that the applicant is not telling the truth that he became aware of the order on 12 October 2023.  The truth of the matter is that the applicant is now trying to run away from his responsibilities by using a different lawyer who was not present during </w:t>
      </w:r>
      <w:r w:rsidR="00F75B2E" w:rsidRPr="00C01133">
        <w:rPr>
          <w:rFonts w:ascii="Times New Roman" w:hAnsi="Times New Roman" w:cs="Times New Roman"/>
          <w:kern w:val="0"/>
          <w:sz w:val="22"/>
          <w:szCs w:val="22"/>
          <w:lang w:val="en-ZW"/>
          <w14:ligatures w14:val="none"/>
        </w:rPr>
        <w:t xml:space="preserve">the </w:t>
      </w:r>
      <w:r w:rsidR="005256C6" w:rsidRPr="00C01133">
        <w:rPr>
          <w:rFonts w:ascii="Times New Roman" w:hAnsi="Times New Roman" w:cs="Times New Roman"/>
          <w:kern w:val="0"/>
          <w:sz w:val="22"/>
          <w:szCs w:val="22"/>
          <w:lang w:val="en-ZW"/>
          <w14:ligatures w14:val="none"/>
        </w:rPr>
        <w:t xml:space="preserve">proceedings.  The applicants’ legal practitioners were aware of the order since they failed to show up on the pre-trail meeting </w:t>
      </w:r>
      <w:r w:rsidR="003D583C" w:rsidRPr="00C01133">
        <w:rPr>
          <w:rFonts w:ascii="Times New Roman" w:hAnsi="Times New Roman" w:cs="Times New Roman"/>
          <w:kern w:val="0"/>
          <w:sz w:val="22"/>
          <w:szCs w:val="22"/>
          <w:lang w:val="en-ZW"/>
          <w14:ligatures w14:val="none"/>
        </w:rPr>
        <w:t xml:space="preserve">before Honourable Justice </w:t>
      </w:r>
      <w:proofErr w:type="spellStart"/>
      <w:r w:rsidR="003D583C" w:rsidRPr="00C01133">
        <w:rPr>
          <w:rFonts w:ascii="Times New Roman" w:hAnsi="Times New Roman" w:cs="Times New Roman"/>
          <w:kern w:val="0"/>
          <w:sz w:val="22"/>
          <w:szCs w:val="22"/>
          <w:lang w:val="en-ZW"/>
          <w14:ligatures w14:val="none"/>
        </w:rPr>
        <w:t>Manzunzu</w:t>
      </w:r>
      <w:proofErr w:type="spellEnd"/>
      <w:r w:rsidR="003D583C" w:rsidRPr="00C01133">
        <w:rPr>
          <w:rFonts w:ascii="Times New Roman" w:hAnsi="Times New Roman" w:cs="Times New Roman"/>
          <w:kern w:val="0"/>
          <w:sz w:val="22"/>
          <w:szCs w:val="22"/>
          <w:lang w:val="en-ZW"/>
          <w14:ligatures w14:val="none"/>
        </w:rPr>
        <w:t xml:space="preserve">.  This is why the applicant has not attached any single threat of evidence from his erstwhile </w:t>
      </w:r>
      <w:r w:rsidR="00F379DC" w:rsidRPr="00C01133">
        <w:rPr>
          <w:rFonts w:ascii="Times New Roman" w:hAnsi="Times New Roman" w:cs="Times New Roman"/>
          <w:kern w:val="0"/>
          <w:sz w:val="22"/>
          <w:szCs w:val="22"/>
          <w:lang w:val="en-ZW"/>
          <w14:ligatures w14:val="none"/>
        </w:rPr>
        <w:t>legal practitioners.”</w:t>
      </w:r>
    </w:p>
    <w:p w14:paraId="513078AD" w14:textId="77777777" w:rsidR="00C01133" w:rsidRPr="00C01133" w:rsidRDefault="00C01133" w:rsidP="00C01133">
      <w:pPr>
        <w:spacing w:after="0" w:line="240" w:lineRule="auto"/>
        <w:ind w:left="720" w:firstLine="60"/>
        <w:jc w:val="both"/>
        <w:rPr>
          <w:rFonts w:ascii="Times New Roman" w:hAnsi="Times New Roman" w:cs="Times New Roman"/>
          <w:kern w:val="0"/>
          <w:sz w:val="22"/>
          <w:szCs w:val="22"/>
          <w:lang w:val="en-ZW"/>
          <w14:ligatures w14:val="none"/>
        </w:rPr>
      </w:pPr>
    </w:p>
    <w:p w14:paraId="10FF8DE6" w14:textId="000B4A42" w:rsidR="007F58D2" w:rsidRDefault="00F379DC" w:rsidP="00D17B3B">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Isadora in the opposing affidavit </w:t>
      </w:r>
      <w:r w:rsidR="004275CD">
        <w:rPr>
          <w:rFonts w:ascii="Times New Roman" w:hAnsi="Times New Roman" w:cs="Times New Roman"/>
          <w:kern w:val="0"/>
          <w:lang w:val="en-ZW"/>
          <w14:ligatures w14:val="none"/>
        </w:rPr>
        <w:t xml:space="preserve">averred </w:t>
      </w:r>
      <w:r>
        <w:rPr>
          <w:rFonts w:ascii="Times New Roman" w:hAnsi="Times New Roman" w:cs="Times New Roman"/>
          <w:kern w:val="0"/>
          <w:lang w:val="en-ZW"/>
          <w14:ligatures w14:val="none"/>
        </w:rPr>
        <w:t xml:space="preserve">that the Adenium representative </w:t>
      </w:r>
      <w:r w:rsidR="00AB09D9">
        <w:rPr>
          <w:rFonts w:ascii="Times New Roman" w:hAnsi="Times New Roman" w:cs="Times New Roman"/>
          <w:kern w:val="0"/>
          <w:lang w:val="en-ZW"/>
          <w14:ligatures w14:val="none"/>
        </w:rPr>
        <w:t xml:space="preserve">engaged in the </w:t>
      </w:r>
      <w:r w:rsidR="004649EE">
        <w:rPr>
          <w:rFonts w:ascii="Times New Roman" w:hAnsi="Times New Roman" w:cs="Times New Roman"/>
          <w:kern w:val="0"/>
          <w:lang w:val="en-ZW"/>
          <w14:ligatures w14:val="none"/>
        </w:rPr>
        <w:t xml:space="preserve">round table meeting on loud speaker.  It also averred that at the pre-trial conference before </w:t>
      </w:r>
      <w:proofErr w:type="spellStart"/>
      <w:r w:rsidR="004649EE" w:rsidRPr="00A556B2">
        <w:rPr>
          <w:rFonts w:ascii="Times New Roman" w:hAnsi="Times New Roman" w:cs="Times New Roman"/>
          <w:smallCaps/>
          <w:kern w:val="0"/>
          <w:lang w:val="en-ZW"/>
          <w14:ligatures w14:val="none"/>
        </w:rPr>
        <w:t>Manzunzu</w:t>
      </w:r>
      <w:proofErr w:type="spellEnd"/>
      <w:r w:rsidR="004649EE">
        <w:rPr>
          <w:rFonts w:ascii="Times New Roman" w:hAnsi="Times New Roman" w:cs="Times New Roman"/>
          <w:kern w:val="0"/>
          <w:lang w:val="en-ZW"/>
          <w14:ligatures w14:val="none"/>
        </w:rPr>
        <w:t xml:space="preserve"> J both the legal practitioners for and Aden</w:t>
      </w:r>
      <w:r w:rsidR="00867EB5">
        <w:rPr>
          <w:rFonts w:ascii="Times New Roman" w:hAnsi="Times New Roman" w:cs="Times New Roman"/>
          <w:kern w:val="0"/>
          <w:lang w:val="en-ZW"/>
          <w14:ligatures w14:val="none"/>
        </w:rPr>
        <w:t>i</w:t>
      </w:r>
      <w:r w:rsidR="004649EE">
        <w:rPr>
          <w:rFonts w:ascii="Times New Roman" w:hAnsi="Times New Roman" w:cs="Times New Roman"/>
          <w:kern w:val="0"/>
          <w:lang w:val="en-ZW"/>
          <w14:ligatures w14:val="none"/>
        </w:rPr>
        <w:t xml:space="preserve">um were in default </w:t>
      </w:r>
      <w:r w:rsidR="002C3D4B">
        <w:rPr>
          <w:rFonts w:ascii="Times New Roman" w:hAnsi="Times New Roman" w:cs="Times New Roman"/>
          <w:kern w:val="0"/>
          <w:lang w:val="en-ZW"/>
          <w14:ligatures w14:val="none"/>
        </w:rPr>
        <w:t xml:space="preserve">on the two occasions.  There </w:t>
      </w:r>
      <w:r w:rsidR="001A5C5E">
        <w:rPr>
          <w:rFonts w:ascii="Times New Roman" w:hAnsi="Times New Roman" w:cs="Times New Roman"/>
          <w:kern w:val="0"/>
          <w:lang w:val="en-ZW"/>
          <w14:ligatures w14:val="none"/>
        </w:rPr>
        <w:t>is no ind</w:t>
      </w:r>
      <w:r w:rsidR="005D1E23">
        <w:rPr>
          <w:rFonts w:ascii="Times New Roman" w:hAnsi="Times New Roman" w:cs="Times New Roman"/>
          <w:kern w:val="0"/>
          <w:lang w:val="en-ZW"/>
          <w14:ligatures w14:val="none"/>
        </w:rPr>
        <w:t>i</w:t>
      </w:r>
      <w:r w:rsidR="001A5C5E">
        <w:rPr>
          <w:rFonts w:ascii="Times New Roman" w:hAnsi="Times New Roman" w:cs="Times New Roman"/>
          <w:kern w:val="0"/>
          <w:lang w:val="en-ZW"/>
          <w14:ligatures w14:val="none"/>
        </w:rPr>
        <w:t>cation</w:t>
      </w:r>
      <w:r w:rsidR="005D1E23">
        <w:rPr>
          <w:rFonts w:ascii="Times New Roman" w:hAnsi="Times New Roman" w:cs="Times New Roman"/>
          <w:kern w:val="0"/>
          <w:lang w:val="en-ZW"/>
          <w14:ligatures w14:val="none"/>
        </w:rPr>
        <w:t xml:space="preserve"> given on whether and how after the postponement </w:t>
      </w:r>
      <w:r w:rsidR="008A1030">
        <w:rPr>
          <w:rFonts w:ascii="Times New Roman" w:hAnsi="Times New Roman" w:cs="Times New Roman"/>
          <w:kern w:val="0"/>
          <w:lang w:val="en-ZW"/>
          <w14:ligatures w14:val="none"/>
        </w:rPr>
        <w:t>granted by the judge Adenium and its legal practitioners were made aware of the postponement date of 30 March 2023.</w:t>
      </w:r>
    </w:p>
    <w:p w14:paraId="3FC6F05E" w14:textId="3989DF5A" w:rsidR="00BE5FBE" w:rsidRDefault="00BE5FBE" w:rsidP="00D17B3B">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In relation to the </w:t>
      </w:r>
      <w:r w:rsidRPr="00BE5FBE">
        <w:rPr>
          <w:rFonts w:ascii="Times New Roman" w:hAnsi="Times New Roman" w:cs="Times New Roman"/>
          <w:i/>
          <w:iCs/>
          <w:kern w:val="0"/>
          <w:lang w:val="en-ZW"/>
          <w14:ligatures w14:val="none"/>
        </w:rPr>
        <w:t>bona fide</w:t>
      </w:r>
      <w:r>
        <w:rPr>
          <w:rFonts w:ascii="Times New Roman" w:hAnsi="Times New Roman" w:cs="Times New Roman"/>
          <w:kern w:val="0"/>
          <w:lang w:val="en-ZW"/>
          <w14:ligatures w14:val="none"/>
        </w:rPr>
        <w:t xml:space="preserve"> defence of Adenium, it averred </w:t>
      </w:r>
      <w:r w:rsidR="001318A5">
        <w:rPr>
          <w:rFonts w:ascii="Times New Roman" w:hAnsi="Times New Roman" w:cs="Times New Roman"/>
          <w:kern w:val="0"/>
          <w:lang w:val="en-ZW"/>
          <w14:ligatures w14:val="none"/>
        </w:rPr>
        <w:t xml:space="preserve">that Isadora did not join the insurance company to the suit.  It </w:t>
      </w:r>
      <w:r w:rsidR="00721AD2">
        <w:rPr>
          <w:rFonts w:ascii="Times New Roman" w:hAnsi="Times New Roman" w:cs="Times New Roman"/>
          <w:kern w:val="0"/>
          <w:lang w:val="en-ZW"/>
          <w14:ligatures w14:val="none"/>
        </w:rPr>
        <w:t>averred that damages for loss of business were un</w:t>
      </w:r>
      <w:r w:rsidR="004275CD">
        <w:rPr>
          <w:rFonts w:ascii="Times New Roman" w:hAnsi="Times New Roman" w:cs="Times New Roman"/>
          <w:kern w:val="0"/>
          <w:lang w:val="en-ZW"/>
          <w14:ligatures w14:val="none"/>
        </w:rPr>
        <w:t xml:space="preserve">quantified </w:t>
      </w:r>
      <w:r w:rsidR="00721AD2">
        <w:rPr>
          <w:rFonts w:ascii="Times New Roman" w:hAnsi="Times New Roman" w:cs="Times New Roman"/>
          <w:kern w:val="0"/>
          <w:lang w:val="en-ZW"/>
          <w14:ligatures w14:val="none"/>
        </w:rPr>
        <w:t xml:space="preserve">and that a trial was required to deal with the issue.  It also averred that there were material disputes of </w:t>
      </w:r>
      <w:r w:rsidR="00E24E1F">
        <w:rPr>
          <w:rFonts w:ascii="Times New Roman" w:hAnsi="Times New Roman" w:cs="Times New Roman"/>
          <w:kern w:val="0"/>
          <w:lang w:val="en-ZW"/>
          <w14:ligatures w14:val="none"/>
        </w:rPr>
        <w:t xml:space="preserve">fact in the matter which required ventilation at trial.  Adenium </w:t>
      </w:r>
      <w:r w:rsidR="00D164F1">
        <w:rPr>
          <w:rFonts w:ascii="Times New Roman" w:hAnsi="Times New Roman" w:cs="Times New Roman"/>
          <w:kern w:val="0"/>
          <w:lang w:val="en-ZW"/>
          <w14:ligatures w14:val="none"/>
        </w:rPr>
        <w:t xml:space="preserve">averred that any prejudice to be suffered by Isadora could be </w:t>
      </w:r>
      <w:r w:rsidR="000A3378">
        <w:rPr>
          <w:rFonts w:ascii="Times New Roman" w:hAnsi="Times New Roman" w:cs="Times New Roman"/>
          <w:kern w:val="0"/>
          <w:lang w:val="en-ZW"/>
          <w14:ligatures w14:val="none"/>
        </w:rPr>
        <w:t>cured</w:t>
      </w:r>
      <w:r w:rsidR="00185052">
        <w:rPr>
          <w:rFonts w:ascii="Times New Roman" w:hAnsi="Times New Roman" w:cs="Times New Roman"/>
          <w:kern w:val="0"/>
          <w:lang w:val="en-ZW"/>
          <w14:ligatures w14:val="none"/>
        </w:rPr>
        <w:t xml:space="preserve"> by a costs order.</w:t>
      </w:r>
    </w:p>
    <w:p w14:paraId="7F4C42E2" w14:textId="6B9D14E6" w:rsidR="00185052" w:rsidRDefault="00185052" w:rsidP="00D17B3B">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Isadora averred that the deponent to the founding affidavit had no authority by Adenium to </w:t>
      </w:r>
      <w:r w:rsidR="00FB2073">
        <w:rPr>
          <w:rFonts w:ascii="Times New Roman" w:hAnsi="Times New Roman" w:cs="Times New Roman"/>
          <w:kern w:val="0"/>
          <w:lang w:val="en-ZW"/>
          <w14:ligatures w14:val="none"/>
        </w:rPr>
        <w:t xml:space="preserve">represent the company.  Adenium filed </w:t>
      </w:r>
      <w:r w:rsidR="004275CD">
        <w:rPr>
          <w:rFonts w:ascii="Times New Roman" w:hAnsi="Times New Roman" w:cs="Times New Roman"/>
          <w:kern w:val="0"/>
          <w:lang w:val="en-ZW"/>
          <w14:ligatures w14:val="none"/>
        </w:rPr>
        <w:t>its</w:t>
      </w:r>
      <w:r w:rsidR="00FB2073">
        <w:rPr>
          <w:rFonts w:ascii="Times New Roman" w:hAnsi="Times New Roman" w:cs="Times New Roman"/>
          <w:kern w:val="0"/>
          <w:lang w:val="en-ZW"/>
          <w14:ligatures w14:val="none"/>
        </w:rPr>
        <w:t xml:space="preserve"> resolution appointing the deponent to the opposing affidavit to represent it</w:t>
      </w:r>
      <w:r w:rsidR="004275CD">
        <w:rPr>
          <w:rFonts w:ascii="Times New Roman" w:hAnsi="Times New Roman" w:cs="Times New Roman"/>
          <w:kern w:val="0"/>
          <w:lang w:val="en-ZW"/>
          <w14:ligatures w14:val="none"/>
        </w:rPr>
        <w:t xml:space="preserve">. </w:t>
      </w:r>
      <w:r w:rsidR="00FB2073">
        <w:rPr>
          <w:rFonts w:ascii="Times New Roman" w:hAnsi="Times New Roman" w:cs="Times New Roman"/>
          <w:kern w:val="0"/>
          <w:lang w:val="en-ZW"/>
          <w14:ligatures w14:val="none"/>
        </w:rPr>
        <w:t xml:space="preserve"> </w:t>
      </w:r>
      <w:r w:rsidR="004275CD">
        <w:rPr>
          <w:rFonts w:ascii="Times New Roman" w:hAnsi="Times New Roman" w:cs="Times New Roman"/>
          <w:kern w:val="0"/>
          <w:lang w:val="en-ZW"/>
          <w14:ligatures w14:val="none"/>
        </w:rPr>
        <w:t>T</w:t>
      </w:r>
      <w:r w:rsidR="00FB2073">
        <w:rPr>
          <w:rFonts w:ascii="Times New Roman" w:hAnsi="Times New Roman" w:cs="Times New Roman"/>
          <w:kern w:val="0"/>
          <w:lang w:val="en-ZW"/>
          <w14:ligatures w14:val="none"/>
        </w:rPr>
        <w:t>hat</w:t>
      </w:r>
      <w:r w:rsidR="004275CD">
        <w:rPr>
          <w:rFonts w:ascii="Times New Roman" w:hAnsi="Times New Roman" w:cs="Times New Roman"/>
          <w:kern w:val="0"/>
          <w:lang w:val="en-ZW"/>
          <w14:ligatures w14:val="none"/>
        </w:rPr>
        <w:t xml:space="preserve"> put </w:t>
      </w:r>
      <w:r w:rsidR="00FB2073">
        <w:rPr>
          <w:rFonts w:ascii="Times New Roman" w:hAnsi="Times New Roman" w:cs="Times New Roman"/>
          <w:kern w:val="0"/>
          <w:lang w:val="en-ZW"/>
          <w14:ligatures w14:val="none"/>
        </w:rPr>
        <w:t xml:space="preserve">paid to the </w:t>
      </w:r>
      <w:r w:rsidR="004275CD">
        <w:rPr>
          <w:rFonts w:ascii="Times New Roman" w:hAnsi="Times New Roman" w:cs="Times New Roman"/>
          <w:kern w:val="0"/>
          <w:lang w:val="en-ZW"/>
          <w14:ligatures w14:val="none"/>
        </w:rPr>
        <w:t>issue</w:t>
      </w:r>
      <w:r w:rsidR="00FB2073">
        <w:rPr>
          <w:rFonts w:ascii="Times New Roman" w:hAnsi="Times New Roman" w:cs="Times New Roman"/>
          <w:kern w:val="0"/>
          <w:lang w:val="en-ZW"/>
          <w14:ligatures w14:val="none"/>
        </w:rPr>
        <w:t xml:space="preserve"> of authority.</w:t>
      </w:r>
    </w:p>
    <w:p w14:paraId="5F430F08" w14:textId="1DE40FD5" w:rsidR="005765BA" w:rsidRDefault="00C33539" w:rsidP="005765BA">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It seems to me that Adenium has established that it was not in wilful </w:t>
      </w:r>
      <w:r w:rsidR="00372038">
        <w:rPr>
          <w:rFonts w:ascii="Times New Roman" w:hAnsi="Times New Roman" w:cs="Times New Roman"/>
          <w:kern w:val="0"/>
          <w:lang w:val="en-ZW"/>
          <w14:ligatures w14:val="none"/>
        </w:rPr>
        <w:t xml:space="preserve">default.  It is common cause that this litigation proceeded all the way to round table conference at which the parties agreed that there were issues for trial and that the matter be escalated to a pre-trial conference before the judge.  Even </w:t>
      </w:r>
      <w:r w:rsidR="004275CD">
        <w:rPr>
          <w:rFonts w:ascii="Times New Roman" w:hAnsi="Times New Roman" w:cs="Times New Roman"/>
          <w:kern w:val="0"/>
          <w:lang w:val="en-ZW"/>
          <w14:ligatures w14:val="none"/>
        </w:rPr>
        <w:t>in</w:t>
      </w:r>
      <w:r w:rsidR="00372038">
        <w:rPr>
          <w:rFonts w:ascii="Times New Roman" w:hAnsi="Times New Roman" w:cs="Times New Roman"/>
          <w:kern w:val="0"/>
          <w:lang w:val="en-ZW"/>
          <w14:ligatures w14:val="none"/>
        </w:rPr>
        <w:t xml:space="preserve"> respect of </w:t>
      </w:r>
      <w:proofErr w:type="spellStart"/>
      <w:r w:rsidR="00372038">
        <w:rPr>
          <w:rFonts w:ascii="Times New Roman" w:hAnsi="Times New Roman" w:cs="Times New Roman"/>
          <w:kern w:val="0"/>
          <w:lang w:val="en-ZW"/>
          <w14:ligatures w14:val="none"/>
        </w:rPr>
        <w:t>Glodercom</w:t>
      </w:r>
      <w:proofErr w:type="spellEnd"/>
      <w:r w:rsidR="00372038">
        <w:rPr>
          <w:rFonts w:ascii="Times New Roman" w:hAnsi="Times New Roman" w:cs="Times New Roman"/>
          <w:kern w:val="0"/>
          <w:lang w:val="en-ZW"/>
          <w14:ligatures w14:val="none"/>
        </w:rPr>
        <w:t xml:space="preserve"> which attended the pre-trial conference, the learned judge noted that tr</w:t>
      </w:r>
      <w:r w:rsidR="005765BA">
        <w:rPr>
          <w:rFonts w:ascii="Times New Roman" w:hAnsi="Times New Roman" w:cs="Times New Roman"/>
          <w:kern w:val="0"/>
          <w:lang w:val="en-ZW"/>
          <w14:ligatures w14:val="none"/>
        </w:rPr>
        <w:t>i</w:t>
      </w:r>
      <w:r w:rsidR="00372038">
        <w:rPr>
          <w:rFonts w:ascii="Times New Roman" w:hAnsi="Times New Roman" w:cs="Times New Roman"/>
          <w:kern w:val="0"/>
          <w:lang w:val="en-ZW"/>
          <w14:ligatures w14:val="none"/>
        </w:rPr>
        <w:t>able issues arose from the pleadings.</w:t>
      </w:r>
    </w:p>
    <w:p w14:paraId="52E62CB4" w14:textId="210B8619" w:rsidR="00187808" w:rsidRDefault="005765BA" w:rsidP="005765BA">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lastRenderedPageBreak/>
        <w:t xml:space="preserve">In dealing with whether or not there is a </w:t>
      </w:r>
      <w:r w:rsidRPr="005765BA">
        <w:rPr>
          <w:rFonts w:ascii="Times New Roman" w:hAnsi="Times New Roman" w:cs="Times New Roman"/>
          <w:i/>
          <w:iCs/>
          <w:kern w:val="0"/>
          <w:lang w:val="en-ZW"/>
          <w14:ligatures w14:val="none"/>
        </w:rPr>
        <w:t>bona fide</w:t>
      </w:r>
      <w:r>
        <w:rPr>
          <w:rFonts w:ascii="Times New Roman" w:hAnsi="Times New Roman" w:cs="Times New Roman"/>
          <w:kern w:val="0"/>
          <w:lang w:val="en-ZW"/>
          <w14:ligatures w14:val="none"/>
        </w:rPr>
        <w:t xml:space="preserve"> defence, to the claim, the court also considers </w:t>
      </w:r>
      <w:r w:rsidR="00CE73E0">
        <w:rPr>
          <w:rFonts w:ascii="Times New Roman" w:hAnsi="Times New Roman" w:cs="Times New Roman"/>
          <w:kern w:val="0"/>
          <w:lang w:val="en-ZW"/>
          <w14:ligatures w14:val="none"/>
        </w:rPr>
        <w:t>the pleadings and in particular the particular of the claim as set out in the declaration</w:t>
      </w:r>
      <w:r w:rsidR="004275CD">
        <w:rPr>
          <w:rFonts w:ascii="Times New Roman" w:hAnsi="Times New Roman" w:cs="Times New Roman"/>
          <w:kern w:val="0"/>
          <w:lang w:val="en-ZW"/>
          <w14:ligatures w14:val="none"/>
        </w:rPr>
        <w:t xml:space="preserve">. </w:t>
      </w:r>
      <w:r w:rsidR="00CE73E0">
        <w:rPr>
          <w:rFonts w:ascii="Times New Roman" w:hAnsi="Times New Roman" w:cs="Times New Roman"/>
          <w:kern w:val="0"/>
          <w:lang w:val="en-ZW"/>
          <w14:ligatures w14:val="none"/>
        </w:rPr>
        <w:t xml:space="preserve"> </w:t>
      </w:r>
      <w:r w:rsidR="004275CD">
        <w:rPr>
          <w:rFonts w:ascii="Times New Roman" w:hAnsi="Times New Roman" w:cs="Times New Roman"/>
          <w:kern w:val="0"/>
          <w:lang w:val="en-ZW"/>
          <w14:ligatures w14:val="none"/>
        </w:rPr>
        <w:t>A</w:t>
      </w:r>
      <w:r w:rsidR="00CE73E0">
        <w:rPr>
          <w:rFonts w:ascii="Times New Roman" w:hAnsi="Times New Roman" w:cs="Times New Roman"/>
          <w:kern w:val="0"/>
          <w:lang w:val="en-ZW"/>
          <w14:ligatures w14:val="none"/>
        </w:rPr>
        <w:t xml:space="preserve">s already noted Isadora did not </w:t>
      </w:r>
      <w:r w:rsidR="00C76449">
        <w:rPr>
          <w:rFonts w:ascii="Times New Roman" w:hAnsi="Times New Roman" w:cs="Times New Roman"/>
          <w:kern w:val="0"/>
          <w:lang w:val="en-ZW"/>
          <w14:ligatures w14:val="none"/>
        </w:rPr>
        <w:t xml:space="preserve">plead any ground </w:t>
      </w:r>
      <w:r w:rsidR="00E16518">
        <w:rPr>
          <w:rFonts w:ascii="Times New Roman" w:hAnsi="Times New Roman" w:cs="Times New Roman"/>
          <w:kern w:val="0"/>
          <w:lang w:val="en-ZW"/>
          <w14:ligatures w14:val="none"/>
        </w:rPr>
        <w:t xml:space="preserve">of liability or its connection with Adenium.  It is not clear </w:t>
      </w:r>
      <w:r w:rsidR="00187808">
        <w:rPr>
          <w:rFonts w:ascii="Times New Roman" w:hAnsi="Times New Roman" w:cs="Times New Roman"/>
          <w:kern w:val="0"/>
          <w:lang w:val="en-ZW"/>
          <w14:ligatures w14:val="none"/>
        </w:rPr>
        <w:t>at all whether Isadora sued Adenium in delict, in contract or other cognizable ground at law.  In the replication Isadora pleaded that Adenium did not respond to a letter of demand and that resulted in Isador issuing summons against Adenium.</w:t>
      </w:r>
    </w:p>
    <w:p w14:paraId="75FB9F8D" w14:textId="5AF3B031" w:rsidR="0026441E" w:rsidRDefault="002C40B7" w:rsidP="005765BA">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It is in any event common cause that the goods were stolen in a hijack in South African </w:t>
      </w:r>
      <w:r w:rsidR="0026441E">
        <w:rPr>
          <w:rFonts w:ascii="Times New Roman" w:hAnsi="Times New Roman" w:cs="Times New Roman"/>
          <w:kern w:val="0"/>
          <w:lang w:val="en-ZW"/>
          <w14:ligatures w14:val="none"/>
        </w:rPr>
        <w:t xml:space="preserve">which was reported to the police.  It is also common cause that a claim was made by Adenium to its insurer CBZ Insurance.  Counsel For Isadora aptly quoted the case of </w:t>
      </w:r>
      <w:r w:rsidR="0026441E" w:rsidRPr="0026441E">
        <w:rPr>
          <w:rFonts w:ascii="Times New Roman" w:hAnsi="Times New Roman" w:cs="Times New Roman"/>
          <w:i/>
          <w:iCs/>
          <w:kern w:val="0"/>
          <w:lang w:val="en-ZW"/>
          <w14:ligatures w14:val="none"/>
        </w:rPr>
        <w:t xml:space="preserve">Cotton Marketing Board </w:t>
      </w:r>
      <w:r w:rsidR="0026441E" w:rsidRPr="0026441E">
        <w:rPr>
          <w:rFonts w:ascii="Times New Roman" w:hAnsi="Times New Roman" w:cs="Times New Roman"/>
          <w:kern w:val="0"/>
          <w:lang w:val="en-ZW"/>
          <w14:ligatures w14:val="none"/>
        </w:rPr>
        <w:t xml:space="preserve">v </w:t>
      </w:r>
      <w:r w:rsidR="0026441E" w:rsidRPr="0026441E">
        <w:rPr>
          <w:rFonts w:ascii="Times New Roman" w:hAnsi="Times New Roman" w:cs="Times New Roman"/>
          <w:i/>
          <w:iCs/>
          <w:kern w:val="0"/>
          <w:lang w:val="en-ZW"/>
          <w14:ligatures w14:val="none"/>
        </w:rPr>
        <w:t>National Railways of Zimbabwe</w:t>
      </w:r>
      <w:r w:rsidR="0026441E">
        <w:rPr>
          <w:rFonts w:ascii="Times New Roman" w:hAnsi="Times New Roman" w:cs="Times New Roman"/>
          <w:kern w:val="0"/>
          <w:lang w:val="en-ZW"/>
          <w14:ligatures w14:val="none"/>
        </w:rPr>
        <w:t xml:space="preserve"> 1988(1) ZLR 304 wherein the head note </w:t>
      </w:r>
      <w:r w:rsidR="0026441E" w:rsidRPr="0026441E">
        <w:rPr>
          <w:rFonts w:ascii="Times New Roman" w:hAnsi="Times New Roman" w:cs="Times New Roman"/>
          <w:i/>
          <w:iCs/>
          <w:kern w:val="0"/>
          <w:lang w:val="en-ZW"/>
          <w14:ligatures w14:val="none"/>
        </w:rPr>
        <w:t>inter alia</w:t>
      </w:r>
      <w:r w:rsidR="0026441E">
        <w:rPr>
          <w:rFonts w:ascii="Times New Roman" w:hAnsi="Times New Roman" w:cs="Times New Roman"/>
          <w:kern w:val="0"/>
          <w:lang w:val="en-ZW"/>
          <w14:ligatures w14:val="none"/>
        </w:rPr>
        <w:t xml:space="preserve"> reads;</w:t>
      </w:r>
    </w:p>
    <w:p w14:paraId="39D00B58" w14:textId="5A361A10" w:rsidR="005765BA" w:rsidRDefault="0026441E" w:rsidP="005B154B">
      <w:pPr>
        <w:spacing w:after="0" w:line="240" w:lineRule="auto"/>
        <w:ind w:left="720"/>
        <w:jc w:val="both"/>
        <w:rPr>
          <w:rFonts w:ascii="Times New Roman" w:hAnsi="Times New Roman" w:cs="Times New Roman"/>
          <w:kern w:val="0"/>
          <w:sz w:val="22"/>
          <w:szCs w:val="22"/>
          <w:lang w:val="en-ZW"/>
          <w14:ligatures w14:val="none"/>
        </w:rPr>
      </w:pPr>
      <w:r w:rsidRPr="005B154B">
        <w:rPr>
          <w:rFonts w:ascii="Times New Roman" w:hAnsi="Times New Roman" w:cs="Times New Roman"/>
          <w:kern w:val="0"/>
          <w:sz w:val="22"/>
          <w:szCs w:val="22"/>
          <w:lang w:val="en-ZW"/>
          <w14:ligatures w14:val="none"/>
        </w:rPr>
        <w:t>“</w:t>
      </w:r>
      <w:proofErr w:type="gramStart"/>
      <w:r w:rsidR="00AF228B" w:rsidRPr="005B154B">
        <w:rPr>
          <w:rFonts w:ascii="Times New Roman" w:hAnsi="Times New Roman" w:cs="Times New Roman"/>
          <w:kern w:val="0"/>
          <w:sz w:val="22"/>
          <w:szCs w:val="22"/>
          <w:lang w:val="en-ZW"/>
          <w14:ligatures w14:val="none"/>
        </w:rPr>
        <w:t>in</w:t>
      </w:r>
      <w:proofErr w:type="gramEnd"/>
      <w:r w:rsidR="00AF228B" w:rsidRPr="005B154B">
        <w:rPr>
          <w:rFonts w:ascii="Times New Roman" w:hAnsi="Times New Roman" w:cs="Times New Roman"/>
          <w:kern w:val="0"/>
          <w:sz w:val="22"/>
          <w:szCs w:val="22"/>
          <w:lang w:val="en-ZW"/>
          <w14:ligatures w14:val="none"/>
        </w:rPr>
        <w:t xml:space="preserve"> any action against a carrier for loss of or damage to goods, the owner of the goods need not prove how the goods were damaged, lost or destroyed.  The onus </w:t>
      </w:r>
      <w:r w:rsidR="009564F3" w:rsidRPr="005B154B">
        <w:rPr>
          <w:rFonts w:ascii="Times New Roman" w:hAnsi="Times New Roman" w:cs="Times New Roman"/>
          <w:kern w:val="0"/>
          <w:sz w:val="22"/>
          <w:szCs w:val="22"/>
          <w:lang w:val="en-ZW"/>
          <w14:ligatures w14:val="none"/>
        </w:rPr>
        <w:t>i</w:t>
      </w:r>
      <w:r w:rsidR="00AF228B" w:rsidRPr="005B154B">
        <w:rPr>
          <w:rFonts w:ascii="Times New Roman" w:hAnsi="Times New Roman" w:cs="Times New Roman"/>
          <w:kern w:val="0"/>
          <w:sz w:val="22"/>
          <w:szCs w:val="22"/>
          <w:lang w:val="en-ZW"/>
          <w14:ligatures w14:val="none"/>
        </w:rPr>
        <w:t xml:space="preserve">s in the carrier to prove that the loss </w:t>
      </w:r>
      <w:r w:rsidR="009564F3" w:rsidRPr="005B154B">
        <w:rPr>
          <w:rFonts w:ascii="Times New Roman" w:hAnsi="Times New Roman" w:cs="Times New Roman"/>
          <w:kern w:val="0"/>
          <w:sz w:val="22"/>
          <w:szCs w:val="22"/>
          <w:lang w:val="en-ZW"/>
          <w14:ligatures w14:val="none"/>
        </w:rPr>
        <w:t>was due to vis major or to damnum fatale, to inherent vice</w:t>
      </w:r>
      <w:r w:rsidR="005B154B" w:rsidRPr="005B154B">
        <w:rPr>
          <w:rFonts w:ascii="Times New Roman" w:hAnsi="Times New Roman" w:cs="Times New Roman"/>
          <w:kern w:val="0"/>
          <w:sz w:val="22"/>
          <w:szCs w:val="22"/>
          <w:lang w:val="en-ZW"/>
          <w14:ligatures w14:val="none"/>
        </w:rPr>
        <w:t xml:space="preserve"> in the goods or to the negligence of the owner of the goods or the negligence of the owner of the goods.  All that he requires to s</w:t>
      </w:r>
      <w:r w:rsidR="004275CD">
        <w:rPr>
          <w:rFonts w:ascii="Times New Roman" w:hAnsi="Times New Roman" w:cs="Times New Roman"/>
          <w:kern w:val="0"/>
          <w:sz w:val="22"/>
          <w:szCs w:val="22"/>
          <w:lang w:val="en-ZW"/>
          <w14:ligatures w14:val="none"/>
        </w:rPr>
        <w:t xml:space="preserve">hake </w:t>
      </w:r>
      <w:r w:rsidR="005B154B" w:rsidRPr="005B154B">
        <w:rPr>
          <w:rFonts w:ascii="Times New Roman" w:hAnsi="Times New Roman" w:cs="Times New Roman"/>
          <w:kern w:val="0"/>
          <w:sz w:val="22"/>
          <w:szCs w:val="22"/>
          <w:lang w:val="en-ZW"/>
          <w14:ligatures w14:val="none"/>
        </w:rPr>
        <w:t xml:space="preserve">off liability is to prove that the occurrence resulting in the event was unforeseen, unexpected and </w:t>
      </w:r>
      <w:proofErr w:type="spellStart"/>
      <w:r w:rsidR="005B154B" w:rsidRPr="005B154B">
        <w:rPr>
          <w:rFonts w:ascii="Times New Roman" w:hAnsi="Times New Roman" w:cs="Times New Roman"/>
          <w:kern w:val="0"/>
          <w:sz w:val="22"/>
          <w:szCs w:val="22"/>
          <w:lang w:val="en-ZW"/>
          <w14:ligatures w14:val="none"/>
        </w:rPr>
        <w:t>irrest</w:t>
      </w:r>
      <w:r w:rsidR="004275CD">
        <w:rPr>
          <w:rFonts w:ascii="Times New Roman" w:hAnsi="Times New Roman" w:cs="Times New Roman"/>
          <w:kern w:val="0"/>
          <w:sz w:val="22"/>
          <w:szCs w:val="22"/>
          <w:lang w:val="en-ZW"/>
          <w14:ligatures w14:val="none"/>
        </w:rPr>
        <w:t>i</w:t>
      </w:r>
      <w:r w:rsidR="005B154B" w:rsidRPr="005B154B">
        <w:rPr>
          <w:rFonts w:ascii="Times New Roman" w:hAnsi="Times New Roman" w:cs="Times New Roman"/>
          <w:kern w:val="0"/>
          <w:sz w:val="22"/>
          <w:szCs w:val="22"/>
          <w:lang w:val="en-ZW"/>
          <w14:ligatures w14:val="none"/>
        </w:rPr>
        <w:t>ble</w:t>
      </w:r>
      <w:proofErr w:type="spellEnd"/>
      <w:r w:rsidR="005B154B" w:rsidRPr="005B154B">
        <w:rPr>
          <w:rFonts w:ascii="Times New Roman" w:hAnsi="Times New Roman" w:cs="Times New Roman"/>
          <w:kern w:val="0"/>
          <w:sz w:val="22"/>
          <w:szCs w:val="22"/>
          <w:lang w:val="en-ZW"/>
          <w14:ligatures w14:val="none"/>
        </w:rPr>
        <w:t xml:space="preserve"> and that human</w:t>
      </w:r>
      <w:r w:rsidR="004275CD">
        <w:rPr>
          <w:rFonts w:ascii="Times New Roman" w:hAnsi="Times New Roman" w:cs="Times New Roman"/>
          <w:kern w:val="0"/>
          <w:sz w:val="22"/>
          <w:szCs w:val="22"/>
          <w:lang w:val="en-ZW"/>
          <w14:ligatures w14:val="none"/>
        </w:rPr>
        <w:t>s</w:t>
      </w:r>
      <w:r w:rsidR="005B154B" w:rsidRPr="005B154B">
        <w:rPr>
          <w:rFonts w:ascii="Times New Roman" w:hAnsi="Times New Roman" w:cs="Times New Roman"/>
          <w:kern w:val="0"/>
          <w:sz w:val="22"/>
          <w:szCs w:val="22"/>
          <w:lang w:val="en-ZW"/>
          <w14:ligatures w14:val="none"/>
        </w:rPr>
        <w:t xml:space="preserve"> could not have guarded against it.”</w:t>
      </w:r>
    </w:p>
    <w:p w14:paraId="0CA696B4" w14:textId="77777777" w:rsidR="005B154B" w:rsidRPr="005B154B" w:rsidRDefault="005B154B" w:rsidP="005B154B">
      <w:pPr>
        <w:spacing w:after="0" w:line="240" w:lineRule="auto"/>
        <w:ind w:left="720"/>
        <w:jc w:val="both"/>
        <w:rPr>
          <w:rFonts w:ascii="Times New Roman" w:hAnsi="Times New Roman" w:cs="Times New Roman"/>
          <w:kern w:val="0"/>
          <w:sz w:val="22"/>
          <w:szCs w:val="22"/>
          <w:lang w:val="en-ZW"/>
          <w14:ligatures w14:val="none"/>
        </w:rPr>
      </w:pPr>
    </w:p>
    <w:p w14:paraId="46965D38" w14:textId="13E26B35" w:rsidR="00626E75" w:rsidRDefault="005B154B" w:rsidP="005765BA">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When</w:t>
      </w:r>
      <w:r w:rsidR="00626E75">
        <w:rPr>
          <w:rFonts w:ascii="Times New Roman" w:hAnsi="Times New Roman" w:cs="Times New Roman"/>
          <w:kern w:val="0"/>
          <w:lang w:val="en-ZW"/>
          <w14:ligatures w14:val="none"/>
        </w:rPr>
        <w:t xml:space="preserve"> one considers the facts averred by Adenium that the consignment was hijacked and the matter reported to the police, it would in my view </w:t>
      </w:r>
      <w:r w:rsidR="004275CD">
        <w:rPr>
          <w:rFonts w:ascii="Times New Roman" w:hAnsi="Times New Roman" w:cs="Times New Roman"/>
          <w:kern w:val="0"/>
          <w:lang w:val="en-ZW"/>
          <w14:ligatures w14:val="none"/>
        </w:rPr>
        <w:t xml:space="preserve">be </w:t>
      </w:r>
      <w:r w:rsidR="00626E75">
        <w:rPr>
          <w:rFonts w:ascii="Times New Roman" w:hAnsi="Times New Roman" w:cs="Times New Roman"/>
          <w:kern w:val="0"/>
          <w:lang w:val="en-ZW"/>
          <w14:ligatures w14:val="none"/>
        </w:rPr>
        <w:t xml:space="preserve">illogical to hold that Adenium cannot mount a </w:t>
      </w:r>
      <w:r w:rsidR="00626E75" w:rsidRPr="00626E75">
        <w:rPr>
          <w:rFonts w:ascii="Times New Roman" w:hAnsi="Times New Roman" w:cs="Times New Roman"/>
          <w:i/>
          <w:iCs/>
          <w:kern w:val="0"/>
          <w:lang w:val="en-ZW"/>
          <w14:ligatures w14:val="none"/>
        </w:rPr>
        <w:t>bona fide</w:t>
      </w:r>
      <w:r w:rsidR="00626E75">
        <w:rPr>
          <w:rFonts w:ascii="Times New Roman" w:hAnsi="Times New Roman" w:cs="Times New Roman"/>
          <w:kern w:val="0"/>
          <w:lang w:val="en-ZW"/>
          <w14:ligatures w14:val="none"/>
        </w:rPr>
        <w:t xml:space="preserve"> defence.  Bearing in mind that the specifi</w:t>
      </w:r>
      <w:r w:rsidR="004275CD">
        <w:rPr>
          <w:rFonts w:ascii="Times New Roman" w:hAnsi="Times New Roman" w:cs="Times New Roman"/>
          <w:kern w:val="0"/>
          <w:lang w:val="en-ZW"/>
          <w14:ligatures w14:val="none"/>
        </w:rPr>
        <w:t>c</w:t>
      </w:r>
      <w:r w:rsidR="00626E75">
        <w:rPr>
          <w:rFonts w:ascii="Times New Roman" w:hAnsi="Times New Roman" w:cs="Times New Roman"/>
          <w:kern w:val="0"/>
          <w:lang w:val="en-ZW"/>
          <w14:ligatures w14:val="none"/>
        </w:rPr>
        <w:t xml:space="preserve">s of the basis of the liability of Adenium are not pleaded by Isadora, it is in my view clear that Adenium has a </w:t>
      </w:r>
      <w:r w:rsidR="00626E75" w:rsidRPr="00626E75">
        <w:rPr>
          <w:rFonts w:ascii="Times New Roman" w:hAnsi="Times New Roman" w:cs="Times New Roman"/>
          <w:i/>
          <w:iCs/>
          <w:kern w:val="0"/>
          <w:lang w:val="en-ZW"/>
          <w14:ligatures w14:val="none"/>
        </w:rPr>
        <w:t>bona fide</w:t>
      </w:r>
      <w:r w:rsidR="00626E75">
        <w:rPr>
          <w:rFonts w:ascii="Times New Roman" w:hAnsi="Times New Roman" w:cs="Times New Roman"/>
          <w:kern w:val="0"/>
          <w:lang w:val="en-ZW"/>
          <w14:ligatures w14:val="none"/>
        </w:rPr>
        <w:t xml:space="preserve"> defence with good prospects of success.</w:t>
      </w:r>
    </w:p>
    <w:p w14:paraId="05831817" w14:textId="4060700F" w:rsidR="006727DE" w:rsidRDefault="00695279" w:rsidP="005765BA">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Therefore,</w:t>
      </w:r>
      <w:r w:rsidR="00626E75">
        <w:rPr>
          <w:rFonts w:ascii="Times New Roman" w:hAnsi="Times New Roman" w:cs="Times New Roman"/>
          <w:kern w:val="0"/>
          <w:lang w:val="en-ZW"/>
          <w14:ligatures w14:val="none"/>
        </w:rPr>
        <w:t xml:space="preserve"> to sum it up, the court was satisfied that the default by Adenium to attend the pre-trial conference was neither wilful nor deliberate.  The allegation that Adenium was not notified by its legal practitioners was more than probable given the fact that Adenium had a</w:t>
      </w:r>
      <w:r w:rsidR="003123E2">
        <w:rPr>
          <w:rFonts w:ascii="Times New Roman" w:hAnsi="Times New Roman" w:cs="Times New Roman"/>
          <w:kern w:val="0"/>
          <w:lang w:val="en-ZW"/>
          <w14:ligatures w14:val="none"/>
        </w:rPr>
        <w:t xml:space="preserve">ll along been </w:t>
      </w:r>
      <w:r w:rsidR="004275CD">
        <w:rPr>
          <w:rFonts w:ascii="Times New Roman" w:hAnsi="Times New Roman" w:cs="Times New Roman"/>
          <w:kern w:val="0"/>
          <w:lang w:val="en-ZW"/>
          <w14:ligatures w14:val="none"/>
        </w:rPr>
        <w:t xml:space="preserve">actively involved </w:t>
      </w:r>
      <w:r w:rsidR="003123E2">
        <w:rPr>
          <w:rFonts w:ascii="Times New Roman" w:hAnsi="Times New Roman" w:cs="Times New Roman"/>
          <w:kern w:val="0"/>
          <w:lang w:val="en-ZW"/>
          <w14:ligatures w14:val="none"/>
        </w:rPr>
        <w:t xml:space="preserve">unvalued in </w:t>
      </w:r>
      <w:r w:rsidR="00274A6E">
        <w:rPr>
          <w:rFonts w:ascii="Times New Roman" w:hAnsi="Times New Roman" w:cs="Times New Roman"/>
          <w:kern w:val="0"/>
          <w:lang w:val="en-ZW"/>
          <w14:ligatures w14:val="none"/>
        </w:rPr>
        <w:t xml:space="preserve">defending itself.  There was nothing said or which can be implied from the facts to infer that Adenium </w:t>
      </w:r>
      <w:r w:rsidR="00BF01B8">
        <w:rPr>
          <w:rFonts w:ascii="Times New Roman" w:hAnsi="Times New Roman" w:cs="Times New Roman"/>
          <w:kern w:val="0"/>
          <w:lang w:val="en-ZW"/>
          <w14:ligatures w14:val="none"/>
        </w:rPr>
        <w:t>suddenly lost its zeal to defend the case</w:t>
      </w:r>
      <w:r w:rsidR="006727DE">
        <w:rPr>
          <w:rFonts w:ascii="Times New Roman" w:hAnsi="Times New Roman" w:cs="Times New Roman"/>
          <w:kern w:val="0"/>
          <w:lang w:val="en-ZW"/>
          <w14:ligatures w14:val="none"/>
        </w:rPr>
        <w:t>.</w:t>
      </w:r>
    </w:p>
    <w:p w14:paraId="65E34995" w14:textId="51DF8BD2" w:rsidR="00695279" w:rsidRDefault="006727DE" w:rsidP="005765BA">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submission by Isadora that the legal practitioners ought to have filed a supporting affidavit to support the point that they did not notify Adenium of the PTC date is not a rule of </w:t>
      </w:r>
      <w:r w:rsidR="00A32B09">
        <w:rPr>
          <w:rFonts w:ascii="Times New Roman" w:hAnsi="Times New Roman" w:cs="Times New Roman"/>
          <w:kern w:val="0"/>
          <w:lang w:val="en-ZW"/>
          <w14:ligatures w14:val="none"/>
        </w:rPr>
        <w:t xml:space="preserve">thumb.  The circumstances of each case are considered.  The legal practitioners in issue were no </w:t>
      </w:r>
      <w:r w:rsidR="00A32B09">
        <w:rPr>
          <w:rFonts w:ascii="Times New Roman" w:hAnsi="Times New Roman" w:cs="Times New Roman"/>
          <w:kern w:val="0"/>
          <w:lang w:val="en-ZW"/>
          <w14:ligatures w14:val="none"/>
        </w:rPr>
        <w:lastRenderedPageBreak/>
        <w:t xml:space="preserve">longer representing Adenium.  They were themselves in default.  It is illogical to think that </w:t>
      </w:r>
      <w:r w:rsidR="002F3743">
        <w:rPr>
          <w:rFonts w:ascii="Times New Roman" w:hAnsi="Times New Roman" w:cs="Times New Roman"/>
          <w:kern w:val="0"/>
          <w:lang w:val="en-ZW"/>
          <w14:ligatures w14:val="none"/>
        </w:rPr>
        <w:t xml:space="preserve">they </w:t>
      </w:r>
      <w:r w:rsidR="004275CD">
        <w:rPr>
          <w:rFonts w:ascii="Times New Roman" w:hAnsi="Times New Roman" w:cs="Times New Roman"/>
          <w:kern w:val="0"/>
          <w:lang w:val="en-ZW"/>
          <w14:ligatures w14:val="none"/>
        </w:rPr>
        <w:t xml:space="preserve">connived </w:t>
      </w:r>
      <w:r w:rsidR="002F3743">
        <w:rPr>
          <w:rFonts w:ascii="Times New Roman" w:hAnsi="Times New Roman" w:cs="Times New Roman"/>
          <w:kern w:val="0"/>
          <w:lang w:val="en-ZW"/>
          <w14:ligatures w14:val="none"/>
        </w:rPr>
        <w:t xml:space="preserve">with Adenium to default.  The </w:t>
      </w:r>
      <w:r w:rsidR="00D41032">
        <w:rPr>
          <w:rFonts w:ascii="Times New Roman" w:hAnsi="Times New Roman" w:cs="Times New Roman"/>
          <w:kern w:val="0"/>
          <w:lang w:val="en-ZW"/>
          <w14:ligatures w14:val="none"/>
        </w:rPr>
        <w:t xml:space="preserve">logical explanation is </w:t>
      </w:r>
      <w:r w:rsidR="004275CD">
        <w:rPr>
          <w:rFonts w:ascii="Times New Roman" w:hAnsi="Times New Roman" w:cs="Times New Roman"/>
          <w:kern w:val="0"/>
          <w:lang w:val="en-ZW"/>
          <w14:ligatures w14:val="none"/>
        </w:rPr>
        <w:t xml:space="preserve">that </w:t>
      </w:r>
      <w:r w:rsidR="00D41032">
        <w:rPr>
          <w:rFonts w:ascii="Times New Roman" w:hAnsi="Times New Roman" w:cs="Times New Roman"/>
          <w:kern w:val="0"/>
          <w:lang w:val="en-ZW"/>
          <w14:ligatures w14:val="none"/>
        </w:rPr>
        <w:t xml:space="preserve">Adenium was not notified </w:t>
      </w:r>
      <w:r w:rsidR="00AA032F">
        <w:rPr>
          <w:rFonts w:ascii="Times New Roman" w:hAnsi="Times New Roman" w:cs="Times New Roman"/>
          <w:kern w:val="0"/>
          <w:lang w:val="en-ZW"/>
          <w14:ligatures w14:val="none"/>
        </w:rPr>
        <w:t>of the hearing</w:t>
      </w:r>
      <w:r w:rsidR="00893595">
        <w:rPr>
          <w:rFonts w:ascii="Times New Roman" w:hAnsi="Times New Roman" w:cs="Times New Roman"/>
          <w:kern w:val="0"/>
          <w:lang w:val="en-ZW"/>
          <w14:ligatures w14:val="none"/>
        </w:rPr>
        <w:t>.  The requirements for rescission of judgment</w:t>
      </w:r>
      <w:r w:rsidR="00695279">
        <w:rPr>
          <w:rFonts w:ascii="Times New Roman" w:hAnsi="Times New Roman" w:cs="Times New Roman"/>
          <w:kern w:val="0"/>
          <w:lang w:val="en-ZW"/>
          <w14:ligatures w14:val="none"/>
        </w:rPr>
        <w:t xml:space="preserve"> as set out in the </w:t>
      </w:r>
      <w:r w:rsidR="00695279" w:rsidRPr="00695279">
        <w:rPr>
          <w:rFonts w:ascii="Times New Roman" w:hAnsi="Times New Roman" w:cs="Times New Roman"/>
          <w:i/>
          <w:iCs/>
          <w:kern w:val="0"/>
          <w:lang w:val="en-ZW"/>
          <w14:ligatures w14:val="none"/>
        </w:rPr>
        <w:t xml:space="preserve">case </w:t>
      </w:r>
      <w:proofErr w:type="spellStart"/>
      <w:r w:rsidR="00695279" w:rsidRPr="00695279">
        <w:rPr>
          <w:rFonts w:ascii="Times New Roman" w:hAnsi="Times New Roman" w:cs="Times New Roman"/>
          <w:i/>
          <w:iCs/>
          <w:kern w:val="0"/>
          <w:lang w:val="en-ZW"/>
          <w14:ligatures w14:val="none"/>
        </w:rPr>
        <w:t>Stockil</w:t>
      </w:r>
      <w:proofErr w:type="spellEnd"/>
      <w:r w:rsidR="00695279" w:rsidRPr="00695279">
        <w:rPr>
          <w:rFonts w:ascii="Times New Roman" w:hAnsi="Times New Roman" w:cs="Times New Roman"/>
          <w:i/>
          <w:iCs/>
          <w:kern w:val="0"/>
          <w:lang w:val="en-ZW"/>
          <w14:ligatures w14:val="none"/>
        </w:rPr>
        <w:t xml:space="preserve"> </w:t>
      </w:r>
      <w:r w:rsidR="00695279" w:rsidRPr="00695279">
        <w:rPr>
          <w:rFonts w:ascii="Times New Roman" w:hAnsi="Times New Roman" w:cs="Times New Roman"/>
          <w:kern w:val="0"/>
          <w:lang w:val="en-ZW"/>
          <w14:ligatures w14:val="none"/>
        </w:rPr>
        <w:t>v</w:t>
      </w:r>
      <w:r w:rsidR="00695279" w:rsidRPr="00695279">
        <w:rPr>
          <w:rFonts w:ascii="Times New Roman" w:hAnsi="Times New Roman" w:cs="Times New Roman"/>
          <w:i/>
          <w:iCs/>
          <w:kern w:val="0"/>
          <w:lang w:val="en-ZW"/>
          <w14:ligatures w14:val="none"/>
        </w:rPr>
        <w:t xml:space="preserve"> Griffiths</w:t>
      </w:r>
      <w:r w:rsidR="00695279">
        <w:rPr>
          <w:rFonts w:ascii="Times New Roman" w:hAnsi="Times New Roman" w:cs="Times New Roman"/>
          <w:kern w:val="0"/>
          <w:lang w:val="en-ZW"/>
          <w14:ligatures w14:val="none"/>
        </w:rPr>
        <w:t xml:space="preserve"> 1992(1) ZLR 172 SC were met.  These are:</w:t>
      </w:r>
    </w:p>
    <w:p w14:paraId="00E45207" w14:textId="7EB832E1" w:rsidR="00B75C7B" w:rsidRDefault="00B75C7B" w:rsidP="00B75C7B">
      <w:pPr>
        <w:pStyle w:val="ListParagraph"/>
        <w:numPr>
          <w:ilvl w:val="0"/>
          <w:numId w:val="1"/>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reasonableness of the </w:t>
      </w:r>
      <w:proofErr w:type="gramStart"/>
      <w:r>
        <w:rPr>
          <w:rFonts w:ascii="Times New Roman" w:hAnsi="Times New Roman" w:cs="Times New Roman"/>
          <w:kern w:val="0"/>
          <w:lang w:val="en-ZW"/>
          <w14:ligatures w14:val="none"/>
        </w:rPr>
        <w:t>applicants</w:t>
      </w:r>
      <w:proofErr w:type="gramEnd"/>
      <w:r>
        <w:rPr>
          <w:rFonts w:ascii="Times New Roman" w:hAnsi="Times New Roman" w:cs="Times New Roman"/>
          <w:kern w:val="0"/>
          <w:lang w:val="en-ZW"/>
          <w14:ligatures w14:val="none"/>
        </w:rPr>
        <w:t xml:space="preserve"> explanation for the default.</w:t>
      </w:r>
    </w:p>
    <w:p w14:paraId="314A69FD" w14:textId="2E8DC3D7" w:rsidR="00B75C7B" w:rsidRDefault="00B75C7B" w:rsidP="00B75C7B">
      <w:pPr>
        <w:pStyle w:val="ListParagraph"/>
        <w:numPr>
          <w:ilvl w:val="0"/>
          <w:numId w:val="1"/>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w:t>
      </w:r>
      <w:r w:rsidRPr="00C01133">
        <w:rPr>
          <w:rFonts w:ascii="Times New Roman" w:hAnsi="Times New Roman" w:cs="Times New Roman"/>
          <w:i/>
          <w:iCs/>
          <w:kern w:val="0"/>
          <w:lang w:val="en-ZW"/>
          <w14:ligatures w14:val="none"/>
        </w:rPr>
        <w:t>bona fides</w:t>
      </w:r>
      <w:r>
        <w:rPr>
          <w:rFonts w:ascii="Times New Roman" w:hAnsi="Times New Roman" w:cs="Times New Roman"/>
          <w:kern w:val="0"/>
          <w:lang w:val="en-ZW"/>
          <w14:ligatures w14:val="none"/>
        </w:rPr>
        <w:t xml:space="preserve"> of the application to rescind the judgment.</w:t>
      </w:r>
    </w:p>
    <w:p w14:paraId="240C6E0D" w14:textId="36ECC247" w:rsidR="00490A9A" w:rsidRDefault="00490A9A" w:rsidP="00490A9A">
      <w:pPr>
        <w:pStyle w:val="ListParagraph"/>
        <w:numPr>
          <w:ilvl w:val="0"/>
          <w:numId w:val="1"/>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w:t>
      </w:r>
      <w:r w:rsidRPr="00490A9A">
        <w:rPr>
          <w:rFonts w:ascii="Times New Roman" w:hAnsi="Times New Roman" w:cs="Times New Roman"/>
          <w:i/>
          <w:iCs/>
          <w:kern w:val="0"/>
          <w:lang w:val="en-ZW"/>
          <w14:ligatures w14:val="none"/>
        </w:rPr>
        <w:t>bona fides</w:t>
      </w:r>
      <w:r>
        <w:rPr>
          <w:rFonts w:ascii="Times New Roman" w:hAnsi="Times New Roman" w:cs="Times New Roman"/>
          <w:kern w:val="0"/>
          <w:lang w:val="en-ZW"/>
          <w14:ligatures w14:val="none"/>
        </w:rPr>
        <w:t xml:space="preserve"> of the application which carries some prospects of success.</w:t>
      </w:r>
    </w:p>
    <w:p w14:paraId="18DEC99B" w14:textId="52CE8F93" w:rsidR="004275CD" w:rsidRPr="004275CD" w:rsidRDefault="004275CD" w:rsidP="004275CD">
      <w:pPr>
        <w:spacing w:after="0" w:line="360" w:lineRule="auto"/>
        <w:ind w:left="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factors taken cumulatively have been established by the Adenium.</w:t>
      </w:r>
    </w:p>
    <w:p w14:paraId="15E72FB8" w14:textId="4D39181E" w:rsidR="00490A9A" w:rsidRDefault="00490A9A" w:rsidP="00490A9A">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 therefore, grant the application.  As </w:t>
      </w:r>
      <w:r w:rsidR="004275CD">
        <w:rPr>
          <w:rFonts w:ascii="Times New Roman" w:hAnsi="Times New Roman" w:cs="Times New Roman"/>
          <w:kern w:val="0"/>
          <w:lang w:val="en-ZW"/>
          <w14:ligatures w14:val="none"/>
        </w:rPr>
        <w:t>regards</w:t>
      </w:r>
      <w:r>
        <w:rPr>
          <w:rFonts w:ascii="Times New Roman" w:hAnsi="Times New Roman" w:cs="Times New Roman"/>
          <w:kern w:val="0"/>
          <w:lang w:val="en-ZW"/>
          <w14:ligatures w14:val="none"/>
        </w:rPr>
        <w:t xml:space="preserve"> the issue of costs they will be in the main case No. HC 3336/21 since the litigation is ongoing.</w:t>
      </w:r>
    </w:p>
    <w:p w14:paraId="4F651A5C" w14:textId="51092CCD" w:rsidR="00490A9A" w:rsidRDefault="00490A9A" w:rsidP="00490A9A">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Case No 6797/23.  This is the urgent application which was intended to arrest execution of the judgment now rescinded pending the determination of the rescission application.  The application must fall away since the writ of execution has no judgment to support it.  I also need to record that there was irregularity apparent or ex facie the writ of execution issued by the court and the execution itself because execution appears to have taken place before the writ on which it stands was issued.  The writ of execution is</w:t>
      </w:r>
      <w:r w:rsidR="004275CD">
        <w:rPr>
          <w:rFonts w:ascii="Times New Roman" w:hAnsi="Times New Roman" w:cs="Times New Roman"/>
          <w:kern w:val="0"/>
          <w:lang w:val="en-ZW"/>
          <w14:ligatures w14:val="none"/>
        </w:rPr>
        <w:t xml:space="preserve"> </w:t>
      </w:r>
      <w:r>
        <w:rPr>
          <w:rFonts w:ascii="Times New Roman" w:hAnsi="Times New Roman" w:cs="Times New Roman"/>
          <w:kern w:val="0"/>
          <w:lang w:val="en-ZW"/>
          <w14:ligatures w14:val="none"/>
        </w:rPr>
        <w:t xml:space="preserve">to be set aside.  </w:t>
      </w:r>
    </w:p>
    <w:p w14:paraId="15E72F40" w14:textId="4B8938A1" w:rsidR="00490A9A" w:rsidRDefault="00490A9A" w:rsidP="00490A9A">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Accordingly, the </w:t>
      </w:r>
      <w:proofErr w:type="gramStart"/>
      <w:r>
        <w:rPr>
          <w:rFonts w:ascii="Times New Roman" w:hAnsi="Times New Roman" w:cs="Times New Roman"/>
          <w:kern w:val="0"/>
          <w:lang w:val="en-ZW"/>
          <w14:ligatures w14:val="none"/>
        </w:rPr>
        <w:t>application are</w:t>
      </w:r>
      <w:proofErr w:type="gramEnd"/>
      <w:r>
        <w:rPr>
          <w:rFonts w:ascii="Times New Roman" w:hAnsi="Times New Roman" w:cs="Times New Roman"/>
          <w:kern w:val="0"/>
          <w:lang w:val="en-ZW"/>
          <w14:ligatures w14:val="none"/>
        </w:rPr>
        <w:t xml:space="preserve"> determined as follows:</w:t>
      </w:r>
    </w:p>
    <w:p w14:paraId="5A76E9A7" w14:textId="7346EFAD" w:rsidR="00490A9A" w:rsidRDefault="00490A9A" w:rsidP="00490A9A">
      <w:pPr>
        <w:spacing w:after="0" w:line="360" w:lineRule="auto"/>
        <w:ind w:firstLine="720"/>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IT IS ORDERED THAT </w:t>
      </w:r>
    </w:p>
    <w:p w14:paraId="6F801BBF" w14:textId="0E9E32F5" w:rsidR="00490A9A" w:rsidRDefault="00490A9A" w:rsidP="00490A9A">
      <w:pPr>
        <w:pStyle w:val="ListParagraph"/>
        <w:numPr>
          <w:ilvl w:val="0"/>
          <w:numId w:val="2"/>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default judgment granted by this court dated 5 July 2023 in case No HC 3336/21 is rescinded.</w:t>
      </w:r>
    </w:p>
    <w:p w14:paraId="64823934" w14:textId="39C7B925" w:rsidR="00490A9A" w:rsidRDefault="00490A9A" w:rsidP="00490A9A">
      <w:pPr>
        <w:pStyle w:val="ListParagraph"/>
        <w:numPr>
          <w:ilvl w:val="0"/>
          <w:numId w:val="2"/>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second defendant therein is granted leave to continue its defence of the case</w:t>
      </w:r>
      <w:r w:rsidR="00402601">
        <w:rPr>
          <w:rFonts w:ascii="Times New Roman" w:hAnsi="Times New Roman" w:cs="Times New Roman"/>
          <w:kern w:val="0"/>
          <w:lang w:val="en-ZW"/>
          <w14:ligatures w14:val="none"/>
        </w:rPr>
        <w:t>.</w:t>
      </w:r>
    </w:p>
    <w:p w14:paraId="02ED5C0F" w14:textId="01E1BFCA" w:rsidR="00402601" w:rsidRDefault="00402601" w:rsidP="00490A9A">
      <w:pPr>
        <w:pStyle w:val="ListParagraph"/>
        <w:numPr>
          <w:ilvl w:val="0"/>
          <w:numId w:val="2"/>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The Registrar shall relist the matter case No HC 3336/21 for pre-trial conference in relation to the plaintiff and second defendants.</w:t>
      </w:r>
    </w:p>
    <w:p w14:paraId="364B5983" w14:textId="7A296694" w:rsidR="007848B7" w:rsidRPr="00317D38" w:rsidRDefault="00402601" w:rsidP="007848B7">
      <w:pPr>
        <w:pStyle w:val="ListParagraph"/>
        <w:numPr>
          <w:ilvl w:val="0"/>
          <w:numId w:val="2"/>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In relation to case No HC 6797/23, the writ of execution </w:t>
      </w:r>
      <w:r w:rsidR="006513CC">
        <w:rPr>
          <w:rFonts w:ascii="Times New Roman" w:hAnsi="Times New Roman" w:cs="Times New Roman"/>
          <w:kern w:val="0"/>
          <w:lang w:val="en-ZW"/>
          <w14:ligatures w14:val="none"/>
        </w:rPr>
        <w:t xml:space="preserve">in case No HC 3336/21 on which execution the subject of case No HC 6797/23 was levied is set aside and no further execution shall be levied in case No HC 3336/21 until its finalisation </w:t>
      </w:r>
      <w:r w:rsidR="00C24C11">
        <w:rPr>
          <w:rFonts w:ascii="Times New Roman" w:hAnsi="Times New Roman" w:cs="Times New Roman"/>
          <w:kern w:val="0"/>
          <w:lang w:val="en-ZW"/>
          <w14:ligatures w14:val="none"/>
        </w:rPr>
        <w:t>or unless the court orders otherwise.</w:t>
      </w:r>
    </w:p>
    <w:p w14:paraId="33FB2ED0" w14:textId="798E1107" w:rsidR="007848B7" w:rsidRDefault="00C24C11" w:rsidP="007848B7">
      <w:pPr>
        <w:pStyle w:val="ListParagraph"/>
        <w:numPr>
          <w:ilvl w:val="0"/>
          <w:numId w:val="2"/>
        </w:numPr>
        <w:spacing w:after="0" w:line="360" w:lineRule="auto"/>
        <w:jc w:val="both"/>
        <w:rPr>
          <w:rFonts w:ascii="Times New Roman" w:hAnsi="Times New Roman" w:cs="Times New Roman"/>
          <w:kern w:val="0"/>
          <w:lang w:val="en-ZW"/>
          <w14:ligatures w14:val="none"/>
        </w:rPr>
      </w:pPr>
      <w:r>
        <w:rPr>
          <w:rFonts w:ascii="Times New Roman" w:hAnsi="Times New Roman" w:cs="Times New Roman"/>
          <w:kern w:val="0"/>
          <w:lang w:val="en-ZW"/>
          <w14:ligatures w14:val="none"/>
        </w:rPr>
        <w:t xml:space="preserve">The costs for both case No HCH 6786/23 and HCH 6797/23 shall be </w:t>
      </w:r>
      <w:r w:rsidR="00317D38">
        <w:rPr>
          <w:rFonts w:ascii="Times New Roman" w:hAnsi="Times New Roman" w:cs="Times New Roman"/>
          <w:kern w:val="0"/>
          <w:lang w:val="en-ZW"/>
          <w14:ligatures w14:val="none"/>
        </w:rPr>
        <w:t>cause</w:t>
      </w:r>
      <w:r>
        <w:rPr>
          <w:rFonts w:ascii="Times New Roman" w:hAnsi="Times New Roman" w:cs="Times New Roman"/>
          <w:kern w:val="0"/>
          <w:lang w:val="en-ZW"/>
          <w14:ligatures w14:val="none"/>
        </w:rPr>
        <w:t xml:space="preserve"> in the c</w:t>
      </w:r>
      <w:r w:rsidR="004275CD">
        <w:rPr>
          <w:rFonts w:ascii="Times New Roman" w:hAnsi="Times New Roman" w:cs="Times New Roman"/>
          <w:kern w:val="0"/>
          <w:lang w:val="en-ZW"/>
          <w14:ligatures w14:val="none"/>
        </w:rPr>
        <w:t>ause</w:t>
      </w:r>
      <w:r w:rsidR="00317D38">
        <w:rPr>
          <w:rFonts w:ascii="Times New Roman" w:hAnsi="Times New Roman" w:cs="Times New Roman"/>
          <w:kern w:val="0"/>
          <w:lang w:val="en-ZW"/>
          <w14:ligatures w14:val="none"/>
        </w:rPr>
        <w:t xml:space="preserve"> </w:t>
      </w:r>
      <w:r>
        <w:rPr>
          <w:rFonts w:ascii="Times New Roman" w:hAnsi="Times New Roman" w:cs="Times New Roman"/>
          <w:kern w:val="0"/>
          <w:lang w:val="en-ZW"/>
          <w14:ligatures w14:val="none"/>
        </w:rPr>
        <w:t>in case No HC 336/21</w:t>
      </w:r>
      <w:r w:rsidR="007848B7">
        <w:rPr>
          <w:rFonts w:ascii="Times New Roman" w:hAnsi="Times New Roman" w:cs="Times New Roman"/>
          <w:kern w:val="0"/>
          <w:lang w:val="en-ZW"/>
          <w14:ligatures w14:val="none"/>
        </w:rPr>
        <w:t>.</w:t>
      </w:r>
    </w:p>
    <w:p w14:paraId="3C031AB5" w14:textId="77777777" w:rsidR="007848B7" w:rsidRPr="007848B7" w:rsidRDefault="007848B7" w:rsidP="007848B7">
      <w:pPr>
        <w:spacing w:after="0" w:line="360" w:lineRule="auto"/>
        <w:jc w:val="both"/>
        <w:rPr>
          <w:rFonts w:ascii="Times New Roman" w:hAnsi="Times New Roman" w:cs="Times New Roman"/>
          <w:kern w:val="0"/>
          <w:lang w:val="en-ZW"/>
          <w14:ligatures w14:val="none"/>
        </w:rPr>
      </w:pPr>
    </w:p>
    <w:p w14:paraId="7C31F9D1" w14:textId="0B75C09B" w:rsidR="007848B7" w:rsidRDefault="007848B7" w:rsidP="007848B7">
      <w:pPr>
        <w:spacing w:after="0" w:line="360" w:lineRule="auto"/>
        <w:jc w:val="both"/>
        <w:rPr>
          <w:rFonts w:ascii="Times New Roman" w:hAnsi="Times New Roman" w:cs="Times New Roman"/>
          <w:b/>
          <w:bCs/>
          <w:kern w:val="0"/>
          <w:lang w:val="en-ZW"/>
          <w14:ligatures w14:val="none"/>
        </w:rPr>
      </w:pPr>
      <w:r w:rsidRPr="007848B7">
        <w:rPr>
          <w:rFonts w:ascii="Times New Roman" w:hAnsi="Times New Roman" w:cs="Times New Roman"/>
          <w:b/>
          <w:bCs/>
          <w:smallCaps/>
          <w:kern w:val="0"/>
          <w:lang w:val="en-ZW"/>
          <w14:ligatures w14:val="none"/>
        </w:rPr>
        <w:t>Chitapi</w:t>
      </w:r>
      <w:r w:rsidRPr="007848B7">
        <w:rPr>
          <w:rFonts w:ascii="Times New Roman" w:hAnsi="Times New Roman" w:cs="Times New Roman"/>
          <w:b/>
          <w:bCs/>
          <w:kern w:val="0"/>
          <w:lang w:val="en-ZW"/>
          <w14:ligatures w14:val="none"/>
        </w:rPr>
        <w:t xml:space="preserve"> J</w:t>
      </w:r>
      <w:proofErr w:type="gramStart"/>
      <w:r w:rsidRPr="007848B7">
        <w:rPr>
          <w:rFonts w:ascii="Times New Roman" w:hAnsi="Times New Roman" w:cs="Times New Roman"/>
          <w:b/>
          <w:bCs/>
          <w:kern w:val="0"/>
          <w:lang w:val="en-ZW"/>
          <w14:ligatures w14:val="none"/>
        </w:rPr>
        <w:t>:………………………..</w:t>
      </w:r>
      <w:proofErr w:type="gramEnd"/>
    </w:p>
    <w:p w14:paraId="6FCDABDB" w14:textId="77777777" w:rsidR="007848B7" w:rsidRPr="007848B7" w:rsidRDefault="007848B7" w:rsidP="007848B7">
      <w:pPr>
        <w:spacing w:after="0" w:line="360" w:lineRule="auto"/>
        <w:jc w:val="both"/>
        <w:rPr>
          <w:rFonts w:ascii="Times New Roman" w:hAnsi="Times New Roman" w:cs="Times New Roman"/>
          <w:b/>
          <w:bCs/>
          <w:kern w:val="0"/>
          <w:lang w:val="en-ZW"/>
          <w14:ligatures w14:val="none"/>
        </w:rPr>
      </w:pPr>
    </w:p>
    <w:p w14:paraId="48A673F3" w14:textId="25483438" w:rsidR="007848B7" w:rsidRDefault="007848B7" w:rsidP="00955E51">
      <w:pPr>
        <w:spacing w:after="0" w:line="240" w:lineRule="auto"/>
        <w:jc w:val="both"/>
        <w:rPr>
          <w:rFonts w:ascii="Times New Roman" w:hAnsi="Times New Roman" w:cs="Times New Roman"/>
          <w:kern w:val="0"/>
          <w:lang w:val="en-ZW"/>
          <w14:ligatures w14:val="none"/>
        </w:rPr>
      </w:pPr>
      <w:proofErr w:type="spellStart"/>
      <w:r w:rsidRPr="007848B7">
        <w:rPr>
          <w:rFonts w:ascii="Times New Roman" w:hAnsi="Times New Roman" w:cs="Times New Roman"/>
          <w:i/>
          <w:iCs/>
          <w:kern w:val="0"/>
          <w:lang w:val="en-ZW"/>
          <w14:ligatures w14:val="none"/>
        </w:rPr>
        <w:t>Chiturumam</w:t>
      </w:r>
      <w:proofErr w:type="spellEnd"/>
      <w:r w:rsidRPr="007848B7">
        <w:rPr>
          <w:rFonts w:ascii="Times New Roman" w:hAnsi="Times New Roman" w:cs="Times New Roman"/>
          <w:i/>
          <w:iCs/>
          <w:kern w:val="0"/>
          <w:lang w:val="en-ZW"/>
          <w14:ligatures w14:val="none"/>
        </w:rPr>
        <w:t xml:space="preserve"> Law Chamber</w:t>
      </w:r>
      <w:r>
        <w:rPr>
          <w:rFonts w:ascii="Times New Roman" w:hAnsi="Times New Roman" w:cs="Times New Roman"/>
          <w:kern w:val="0"/>
          <w:lang w:val="en-ZW"/>
          <w14:ligatures w14:val="none"/>
        </w:rPr>
        <w:t>, applicant’s legal practitioners</w:t>
      </w:r>
    </w:p>
    <w:p w14:paraId="0D2DE3EE" w14:textId="3D15B118" w:rsidR="00CF39D0" w:rsidRPr="00317D38" w:rsidRDefault="007848B7" w:rsidP="00317D38">
      <w:pPr>
        <w:spacing w:after="0" w:line="240" w:lineRule="auto"/>
        <w:jc w:val="both"/>
        <w:rPr>
          <w:rFonts w:ascii="Times New Roman" w:hAnsi="Times New Roman" w:cs="Times New Roman"/>
          <w:kern w:val="0"/>
          <w:lang w:val="en-ZW"/>
          <w14:ligatures w14:val="none"/>
        </w:rPr>
      </w:pPr>
      <w:r w:rsidRPr="007848B7">
        <w:rPr>
          <w:rFonts w:ascii="Times New Roman" w:hAnsi="Times New Roman" w:cs="Times New Roman"/>
          <w:i/>
          <w:iCs/>
          <w:kern w:val="0"/>
          <w:lang w:val="en-ZW"/>
          <w14:ligatures w14:val="none"/>
        </w:rPr>
        <w:t xml:space="preserve">T </w:t>
      </w:r>
      <w:proofErr w:type="spellStart"/>
      <w:r w:rsidRPr="007848B7">
        <w:rPr>
          <w:rFonts w:ascii="Times New Roman" w:hAnsi="Times New Roman" w:cs="Times New Roman"/>
          <w:i/>
          <w:iCs/>
          <w:kern w:val="0"/>
          <w:lang w:val="en-ZW"/>
          <w14:ligatures w14:val="none"/>
        </w:rPr>
        <w:t>Pfigu</w:t>
      </w:r>
      <w:proofErr w:type="spellEnd"/>
      <w:r w:rsidRPr="007848B7">
        <w:rPr>
          <w:rFonts w:ascii="Times New Roman" w:hAnsi="Times New Roman" w:cs="Times New Roman"/>
          <w:i/>
          <w:iCs/>
          <w:kern w:val="0"/>
          <w:lang w:val="en-ZW"/>
          <w14:ligatures w14:val="none"/>
        </w:rPr>
        <w:t xml:space="preserve"> Attorneys</w:t>
      </w:r>
      <w:r>
        <w:rPr>
          <w:rFonts w:ascii="Times New Roman" w:hAnsi="Times New Roman" w:cs="Times New Roman"/>
          <w:kern w:val="0"/>
          <w:lang w:val="en-ZW"/>
          <w14:ligatures w14:val="none"/>
        </w:rPr>
        <w:t>, first respondent’s legal practitioners</w:t>
      </w:r>
    </w:p>
    <w:sectPr w:rsidR="00CF39D0" w:rsidRPr="00317D3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D6782" w14:textId="77777777" w:rsidR="007E5542" w:rsidRDefault="007E5542" w:rsidP="00CF39D0">
      <w:pPr>
        <w:spacing w:after="0" w:line="240" w:lineRule="auto"/>
      </w:pPr>
      <w:r>
        <w:separator/>
      </w:r>
    </w:p>
  </w:endnote>
  <w:endnote w:type="continuationSeparator" w:id="0">
    <w:p w14:paraId="7509E2B4" w14:textId="77777777" w:rsidR="007E5542" w:rsidRDefault="007E5542" w:rsidP="00CF3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FFF7E" w14:textId="79E3BA6A" w:rsidR="00CF39D0" w:rsidRDefault="00CF39D0">
    <w:pPr>
      <w:pStyle w:val="Footer"/>
      <w:jc w:val="right"/>
    </w:pPr>
  </w:p>
  <w:p w14:paraId="4C7C8514" w14:textId="77777777" w:rsidR="00CF39D0" w:rsidRDefault="00CF39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198C4" w14:textId="77777777" w:rsidR="007E5542" w:rsidRDefault="007E5542" w:rsidP="00CF39D0">
      <w:pPr>
        <w:spacing w:after="0" w:line="240" w:lineRule="auto"/>
      </w:pPr>
      <w:r>
        <w:separator/>
      </w:r>
    </w:p>
  </w:footnote>
  <w:footnote w:type="continuationSeparator" w:id="0">
    <w:p w14:paraId="4792D887" w14:textId="77777777" w:rsidR="007E5542" w:rsidRDefault="007E5542" w:rsidP="00CF39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0412784"/>
      <w:docPartObj>
        <w:docPartGallery w:val="Page Numbers (Top of Page)"/>
        <w:docPartUnique/>
      </w:docPartObj>
    </w:sdtPr>
    <w:sdtEndPr>
      <w:rPr>
        <w:noProof/>
      </w:rPr>
    </w:sdtEndPr>
    <w:sdtContent>
      <w:p w14:paraId="7F5CBDE6" w14:textId="77777777" w:rsidR="00CF39D0" w:rsidRDefault="00CF39D0">
        <w:pPr>
          <w:pStyle w:val="Header"/>
          <w:jc w:val="right"/>
          <w:rPr>
            <w:noProof/>
          </w:rPr>
        </w:pPr>
        <w:r>
          <w:fldChar w:fldCharType="begin"/>
        </w:r>
        <w:r>
          <w:instrText xml:space="preserve"> PAGE   \* MERGEFORMAT </w:instrText>
        </w:r>
        <w:r>
          <w:fldChar w:fldCharType="separate"/>
        </w:r>
        <w:r w:rsidR="00942947">
          <w:rPr>
            <w:noProof/>
          </w:rPr>
          <w:t>1</w:t>
        </w:r>
        <w:r>
          <w:rPr>
            <w:noProof/>
          </w:rPr>
          <w:fldChar w:fldCharType="end"/>
        </w:r>
      </w:p>
      <w:p w14:paraId="301E4BF5" w14:textId="79814BF9" w:rsidR="00CF39D0" w:rsidRDefault="00CF39D0">
        <w:pPr>
          <w:pStyle w:val="Header"/>
          <w:jc w:val="right"/>
          <w:rPr>
            <w:noProof/>
          </w:rPr>
        </w:pPr>
        <w:r>
          <w:rPr>
            <w:noProof/>
          </w:rPr>
          <w:t>HH</w:t>
        </w:r>
        <w:r w:rsidR="00634524">
          <w:rPr>
            <w:noProof/>
          </w:rPr>
          <w:t xml:space="preserve"> 594-25</w:t>
        </w:r>
      </w:p>
      <w:p w14:paraId="6D095EDB" w14:textId="77777777" w:rsidR="00CF39D0" w:rsidRDefault="00CF39D0">
        <w:pPr>
          <w:pStyle w:val="Header"/>
          <w:jc w:val="right"/>
          <w:rPr>
            <w:noProof/>
          </w:rPr>
        </w:pPr>
        <w:r>
          <w:rPr>
            <w:noProof/>
          </w:rPr>
          <w:t>HC 6786/23</w:t>
        </w:r>
      </w:p>
      <w:p w14:paraId="0639B22E" w14:textId="77777777" w:rsidR="00CF39D0" w:rsidRDefault="00CF39D0">
        <w:pPr>
          <w:pStyle w:val="Header"/>
          <w:jc w:val="right"/>
          <w:rPr>
            <w:noProof/>
          </w:rPr>
        </w:pPr>
        <w:r>
          <w:rPr>
            <w:noProof/>
          </w:rPr>
          <w:t>REF HC 336/21</w:t>
        </w:r>
      </w:p>
      <w:p w14:paraId="3E6EB5BA" w14:textId="37D1C6D8" w:rsidR="00CF39D0" w:rsidRDefault="00CF39D0">
        <w:pPr>
          <w:pStyle w:val="Header"/>
          <w:jc w:val="right"/>
        </w:pPr>
        <w:r>
          <w:rPr>
            <w:noProof/>
          </w:rPr>
          <w:t>REF HC 6797/23</w:t>
        </w:r>
      </w:p>
    </w:sdtContent>
  </w:sdt>
  <w:p w14:paraId="62718F89" w14:textId="77777777" w:rsidR="00CF39D0" w:rsidRDefault="00CF39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F0482"/>
    <w:multiLevelType w:val="hybridMultilevel"/>
    <w:tmpl w:val="7F4E4C96"/>
    <w:lvl w:ilvl="0" w:tplc="A2AE54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B684B6A"/>
    <w:multiLevelType w:val="hybridMultilevel"/>
    <w:tmpl w:val="391C6B86"/>
    <w:lvl w:ilvl="0" w:tplc="25B4D5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9D0"/>
    <w:rsid w:val="00054B91"/>
    <w:rsid w:val="0005636C"/>
    <w:rsid w:val="0007634D"/>
    <w:rsid w:val="000A3378"/>
    <w:rsid w:val="000C3078"/>
    <w:rsid w:val="000D1467"/>
    <w:rsid w:val="001318A5"/>
    <w:rsid w:val="00185052"/>
    <w:rsid w:val="00187808"/>
    <w:rsid w:val="001966AF"/>
    <w:rsid w:val="001A4F71"/>
    <w:rsid w:val="001A5C5E"/>
    <w:rsid w:val="001A6AAA"/>
    <w:rsid w:val="001E112A"/>
    <w:rsid w:val="001F0E2C"/>
    <w:rsid w:val="002174BC"/>
    <w:rsid w:val="0026441E"/>
    <w:rsid w:val="00264837"/>
    <w:rsid w:val="00270084"/>
    <w:rsid w:val="00274A6E"/>
    <w:rsid w:val="002C3D4B"/>
    <w:rsid w:val="002C40B7"/>
    <w:rsid w:val="002E4D49"/>
    <w:rsid w:val="002E7A05"/>
    <w:rsid w:val="002F3743"/>
    <w:rsid w:val="003123E2"/>
    <w:rsid w:val="00315E4A"/>
    <w:rsid w:val="00317D38"/>
    <w:rsid w:val="00372038"/>
    <w:rsid w:val="003A4167"/>
    <w:rsid w:val="003C11D6"/>
    <w:rsid w:val="003D583C"/>
    <w:rsid w:val="00402601"/>
    <w:rsid w:val="00406411"/>
    <w:rsid w:val="004275CD"/>
    <w:rsid w:val="004506DD"/>
    <w:rsid w:val="004649EE"/>
    <w:rsid w:val="00467EC9"/>
    <w:rsid w:val="00490A9A"/>
    <w:rsid w:val="00490EF7"/>
    <w:rsid w:val="004A2B8D"/>
    <w:rsid w:val="004F087C"/>
    <w:rsid w:val="005256C6"/>
    <w:rsid w:val="00565109"/>
    <w:rsid w:val="00574182"/>
    <w:rsid w:val="005765BA"/>
    <w:rsid w:val="005B154B"/>
    <w:rsid w:val="005C0C0B"/>
    <w:rsid w:val="005D17A8"/>
    <w:rsid w:val="005D1E23"/>
    <w:rsid w:val="005E6382"/>
    <w:rsid w:val="005F3B45"/>
    <w:rsid w:val="00612C97"/>
    <w:rsid w:val="0061785E"/>
    <w:rsid w:val="00626E75"/>
    <w:rsid w:val="00634524"/>
    <w:rsid w:val="006513CC"/>
    <w:rsid w:val="006727DE"/>
    <w:rsid w:val="00691632"/>
    <w:rsid w:val="00691673"/>
    <w:rsid w:val="00695279"/>
    <w:rsid w:val="006C54EA"/>
    <w:rsid w:val="006E0958"/>
    <w:rsid w:val="007000CF"/>
    <w:rsid w:val="00721AD2"/>
    <w:rsid w:val="007354F6"/>
    <w:rsid w:val="00737A44"/>
    <w:rsid w:val="00737E22"/>
    <w:rsid w:val="00755CBA"/>
    <w:rsid w:val="007848B7"/>
    <w:rsid w:val="007E5542"/>
    <w:rsid w:val="007E7C5F"/>
    <w:rsid w:val="007F58D2"/>
    <w:rsid w:val="0082754C"/>
    <w:rsid w:val="00850EFB"/>
    <w:rsid w:val="00867EB5"/>
    <w:rsid w:val="00893595"/>
    <w:rsid w:val="008A1030"/>
    <w:rsid w:val="00942947"/>
    <w:rsid w:val="00955E51"/>
    <w:rsid w:val="009564F3"/>
    <w:rsid w:val="009648BF"/>
    <w:rsid w:val="00994461"/>
    <w:rsid w:val="009D7148"/>
    <w:rsid w:val="009E21C5"/>
    <w:rsid w:val="00A313D4"/>
    <w:rsid w:val="00A32B09"/>
    <w:rsid w:val="00A556B2"/>
    <w:rsid w:val="00A86D7C"/>
    <w:rsid w:val="00AA032F"/>
    <w:rsid w:val="00AB09D9"/>
    <w:rsid w:val="00AF228B"/>
    <w:rsid w:val="00B3097B"/>
    <w:rsid w:val="00B75C7B"/>
    <w:rsid w:val="00B76646"/>
    <w:rsid w:val="00B83BE7"/>
    <w:rsid w:val="00BA4149"/>
    <w:rsid w:val="00BB2150"/>
    <w:rsid w:val="00BD25DC"/>
    <w:rsid w:val="00BE5CFE"/>
    <w:rsid w:val="00BE5FBE"/>
    <w:rsid w:val="00BF01B8"/>
    <w:rsid w:val="00C01133"/>
    <w:rsid w:val="00C24C11"/>
    <w:rsid w:val="00C33539"/>
    <w:rsid w:val="00C62491"/>
    <w:rsid w:val="00C67CD1"/>
    <w:rsid w:val="00C7411F"/>
    <w:rsid w:val="00C76449"/>
    <w:rsid w:val="00C94678"/>
    <w:rsid w:val="00CB458F"/>
    <w:rsid w:val="00CE7361"/>
    <w:rsid w:val="00CE73E0"/>
    <w:rsid w:val="00CF39D0"/>
    <w:rsid w:val="00CF5D7A"/>
    <w:rsid w:val="00D107D1"/>
    <w:rsid w:val="00D12464"/>
    <w:rsid w:val="00D164F1"/>
    <w:rsid w:val="00D17B3B"/>
    <w:rsid w:val="00D41032"/>
    <w:rsid w:val="00DC0522"/>
    <w:rsid w:val="00DE0EB8"/>
    <w:rsid w:val="00E16518"/>
    <w:rsid w:val="00E24E1F"/>
    <w:rsid w:val="00E434A7"/>
    <w:rsid w:val="00E46163"/>
    <w:rsid w:val="00E54671"/>
    <w:rsid w:val="00E567CD"/>
    <w:rsid w:val="00E6353D"/>
    <w:rsid w:val="00E81F75"/>
    <w:rsid w:val="00ED5C0F"/>
    <w:rsid w:val="00F379DC"/>
    <w:rsid w:val="00F75B2E"/>
    <w:rsid w:val="00FB2073"/>
    <w:rsid w:val="00FD3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7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9D0"/>
  </w:style>
  <w:style w:type="paragraph" w:styleId="Heading1">
    <w:name w:val="heading 1"/>
    <w:basedOn w:val="Normal"/>
    <w:next w:val="Normal"/>
    <w:link w:val="Heading1Char"/>
    <w:uiPriority w:val="9"/>
    <w:qFormat/>
    <w:rsid w:val="00CF39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39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39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39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39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3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9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39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39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39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39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3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9D0"/>
    <w:rPr>
      <w:rFonts w:eastAsiaTheme="majorEastAsia" w:cstheme="majorBidi"/>
      <w:color w:val="272727" w:themeColor="text1" w:themeTint="D8"/>
    </w:rPr>
  </w:style>
  <w:style w:type="paragraph" w:styleId="Title">
    <w:name w:val="Title"/>
    <w:basedOn w:val="Normal"/>
    <w:next w:val="Normal"/>
    <w:link w:val="TitleChar"/>
    <w:uiPriority w:val="10"/>
    <w:qFormat/>
    <w:rsid w:val="00CF3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9D0"/>
    <w:pPr>
      <w:spacing w:before="160"/>
      <w:jc w:val="center"/>
    </w:pPr>
    <w:rPr>
      <w:i/>
      <w:iCs/>
      <w:color w:val="404040" w:themeColor="text1" w:themeTint="BF"/>
    </w:rPr>
  </w:style>
  <w:style w:type="character" w:customStyle="1" w:styleId="QuoteChar">
    <w:name w:val="Quote Char"/>
    <w:basedOn w:val="DefaultParagraphFont"/>
    <w:link w:val="Quote"/>
    <w:uiPriority w:val="29"/>
    <w:rsid w:val="00CF39D0"/>
    <w:rPr>
      <w:i/>
      <w:iCs/>
      <w:color w:val="404040" w:themeColor="text1" w:themeTint="BF"/>
    </w:rPr>
  </w:style>
  <w:style w:type="paragraph" w:styleId="ListParagraph">
    <w:name w:val="List Paragraph"/>
    <w:basedOn w:val="Normal"/>
    <w:uiPriority w:val="34"/>
    <w:qFormat/>
    <w:rsid w:val="00CF39D0"/>
    <w:pPr>
      <w:ind w:left="720"/>
      <w:contextualSpacing/>
    </w:pPr>
  </w:style>
  <w:style w:type="character" w:styleId="IntenseEmphasis">
    <w:name w:val="Intense Emphasis"/>
    <w:basedOn w:val="DefaultParagraphFont"/>
    <w:uiPriority w:val="21"/>
    <w:qFormat/>
    <w:rsid w:val="00CF39D0"/>
    <w:rPr>
      <w:i/>
      <w:iCs/>
      <w:color w:val="2F5496" w:themeColor="accent1" w:themeShade="BF"/>
    </w:rPr>
  </w:style>
  <w:style w:type="paragraph" w:styleId="IntenseQuote">
    <w:name w:val="Intense Quote"/>
    <w:basedOn w:val="Normal"/>
    <w:next w:val="Normal"/>
    <w:link w:val="IntenseQuoteChar"/>
    <w:uiPriority w:val="30"/>
    <w:qFormat/>
    <w:rsid w:val="00CF39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39D0"/>
    <w:rPr>
      <w:i/>
      <w:iCs/>
      <w:color w:val="2F5496" w:themeColor="accent1" w:themeShade="BF"/>
    </w:rPr>
  </w:style>
  <w:style w:type="character" w:styleId="IntenseReference">
    <w:name w:val="Intense Reference"/>
    <w:basedOn w:val="DefaultParagraphFont"/>
    <w:uiPriority w:val="32"/>
    <w:qFormat/>
    <w:rsid w:val="00CF39D0"/>
    <w:rPr>
      <w:b/>
      <w:bCs/>
      <w:smallCaps/>
      <w:color w:val="2F5496" w:themeColor="accent1" w:themeShade="BF"/>
      <w:spacing w:val="5"/>
    </w:rPr>
  </w:style>
  <w:style w:type="paragraph" w:styleId="Header">
    <w:name w:val="header"/>
    <w:basedOn w:val="Normal"/>
    <w:link w:val="HeaderChar"/>
    <w:uiPriority w:val="99"/>
    <w:unhideWhenUsed/>
    <w:rsid w:val="00CF3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9D0"/>
  </w:style>
  <w:style w:type="paragraph" w:styleId="Footer">
    <w:name w:val="footer"/>
    <w:basedOn w:val="Normal"/>
    <w:link w:val="FooterChar"/>
    <w:uiPriority w:val="99"/>
    <w:unhideWhenUsed/>
    <w:rsid w:val="00CF3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9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9D0"/>
  </w:style>
  <w:style w:type="paragraph" w:styleId="Heading1">
    <w:name w:val="heading 1"/>
    <w:basedOn w:val="Normal"/>
    <w:next w:val="Normal"/>
    <w:link w:val="Heading1Char"/>
    <w:uiPriority w:val="9"/>
    <w:qFormat/>
    <w:rsid w:val="00CF39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39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39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39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39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3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9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39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39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39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39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3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9D0"/>
    <w:rPr>
      <w:rFonts w:eastAsiaTheme="majorEastAsia" w:cstheme="majorBidi"/>
      <w:color w:val="272727" w:themeColor="text1" w:themeTint="D8"/>
    </w:rPr>
  </w:style>
  <w:style w:type="paragraph" w:styleId="Title">
    <w:name w:val="Title"/>
    <w:basedOn w:val="Normal"/>
    <w:next w:val="Normal"/>
    <w:link w:val="TitleChar"/>
    <w:uiPriority w:val="10"/>
    <w:qFormat/>
    <w:rsid w:val="00CF3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9D0"/>
    <w:pPr>
      <w:spacing w:before="160"/>
      <w:jc w:val="center"/>
    </w:pPr>
    <w:rPr>
      <w:i/>
      <w:iCs/>
      <w:color w:val="404040" w:themeColor="text1" w:themeTint="BF"/>
    </w:rPr>
  </w:style>
  <w:style w:type="character" w:customStyle="1" w:styleId="QuoteChar">
    <w:name w:val="Quote Char"/>
    <w:basedOn w:val="DefaultParagraphFont"/>
    <w:link w:val="Quote"/>
    <w:uiPriority w:val="29"/>
    <w:rsid w:val="00CF39D0"/>
    <w:rPr>
      <w:i/>
      <w:iCs/>
      <w:color w:val="404040" w:themeColor="text1" w:themeTint="BF"/>
    </w:rPr>
  </w:style>
  <w:style w:type="paragraph" w:styleId="ListParagraph">
    <w:name w:val="List Paragraph"/>
    <w:basedOn w:val="Normal"/>
    <w:uiPriority w:val="34"/>
    <w:qFormat/>
    <w:rsid w:val="00CF39D0"/>
    <w:pPr>
      <w:ind w:left="720"/>
      <w:contextualSpacing/>
    </w:pPr>
  </w:style>
  <w:style w:type="character" w:styleId="IntenseEmphasis">
    <w:name w:val="Intense Emphasis"/>
    <w:basedOn w:val="DefaultParagraphFont"/>
    <w:uiPriority w:val="21"/>
    <w:qFormat/>
    <w:rsid w:val="00CF39D0"/>
    <w:rPr>
      <w:i/>
      <w:iCs/>
      <w:color w:val="2F5496" w:themeColor="accent1" w:themeShade="BF"/>
    </w:rPr>
  </w:style>
  <w:style w:type="paragraph" w:styleId="IntenseQuote">
    <w:name w:val="Intense Quote"/>
    <w:basedOn w:val="Normal"/>
    <w:next w:val="Normal"/>
    <w:link w:val="IntenseQuoteChar"/>
    <w:uiPriority w:val="30"/>
    <w:qFormat/>
    <w:rsid w:val="00CF39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39D0"/>
    <w:rPr>
      <w:i/>
      <w:iCs/>
      <w:color w:val="2F5496" w:themeColor="accent1" w:themeShade="BF"/>
    </w:rPr>
  </w:style>
  <w:style w:type="character" w:styleId="IntenseReference">
    <w:name w:val="Intense Reference"/>
    <w:basedOn w:val="DefaultParagraphFont"/>
    <w:uiPriority w:val="32"/>
    <w:qFormat/>
    <w:rsid w:val="00CF39D0"/>
    <w:rPr>
      <w:b/>
      <w:bCs/>
      <w:smallCaps/>
      <w:color w:val="2F5496" w:themeColor="accent1" w:themeShade="BF"/>
      <w:spacing w:val="5"/>
    </w:rPr>
  </w:style>
  <w:style w:type="paragraph" w:styleId="Header">
    <w:name w:val="header"/>
    <w:basedOn w:val="Normal"/>
    <w:link w:val="HeaderChar"/>
    <w:uiPriority w:val="99"/>
    <w:unhideWhenUsed/>
    <w:rsid w:val="00CF3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9D0"/>
  </w:style>
  <w:style w:type="paragraph" w:styleId="Footer">
    <w:name w:val="footer"/>
    <w:basedOn w:val="Normal"/>
    <w:link w:val="FooterChar"/>
    <w:uiPriority w:val="99"/>
    <w:unhideWhenUsed/>
    <w:rsid w:val="00CF3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2441</Words>
  <Characters>13918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Ackline Govha</dc:creator>
  <cp:lastModifiedBy>User</cp:lastModifiedBy>
  <cp:revision>2</cp:revision>
  <dcterms:created xsi:type="dcterms:W3CDTF">2025-10-03T10:49:00Z</dcterms:created>
  <dcterms:modified xsi:type="dcterms:W3CDTF">2025-10-03T10:49:00Z</dcterms:modified>
</cp:coreProperties>
</file>