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6D" w:rsidRPr="00B3623E" w:rsidRDefault="0082516D" w:rsidP="00B3623E">
      <w:pPr>
        <w:spacing w:after="0"/>
        <w:jc w:val="both"/>
        <w:rPr>
          <w:rFonts w:ascii="Times New Roman" w:hAnsi="Times New Roman" w:cs="Times New Roman"/>
          <w:sz w:val="24"/>
          <w:szCs w:val="24"/>
        </w:rPr>
      </w:pPr>
      <w:bookmarkStart w:id="0" w:name="_GoBack"/>
      <w:bookmarkEnd w:id="0"/>
      <w:r w:rsidRPr="00B3623E">
        <w:rPr>
          <w:rFonts w:ascii="Times New Roman" w:hAnsi="Times New Roman" w:cs="Times New Roman"/>
          <w:sz w:val="24"/>
          <w:szCs w:val="24"/>
        </w:rPr>
        <w:t xml:space="preserve">ADAMS </w:t>
      </w:r>
      <w:r w:rsidR="00B3623E" w:rsidRPr="00B3623E">
        <w:rPr>
          <w:rFonts w:ascii="Times New Roman" w:hAnsi="Times New Roman" w:cs="Times New Roman"/>
          <w:sz w:val="24"/>
          <w:szCs w:val="24"/>
        </w:rPr>
        <w:t>WELLINGTON TARUVINGA</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and</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DANDAZI RESIDENCE ASSOCIATION</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versus</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DANDAZI RESIDENCE ASSOCIATION TRUST</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and</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MICHAEL ASIDI</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and</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CASPER MUNYARADZI MUDONDO</w:t>
      </w: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HIGH COURT OF ZIMBABWE</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MANGOTA J</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HARARE, 14 November 2022 and 12 April 2023</w:t>
      </w: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b/>
          <w:sz w:val="24"/>
          <w:szCs w:val="24"/>
        </w:rPr>
      </w:pPr>
      <w:r w:rsidRPr="00B3623E">
        <w:rPr>
          <w:rFonts w:ascii="Times New Roman" w:hAnsi="Times New Roman" w:cs="Times New Roman"/>
          <w:b/>
          <w:sz w:val="24"/>
          <w:szCs w:val="24"/>
        </w:rPr>
        <w:t>Judgment</w:t>
      </w: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sz w:val="24"/>
          <w:szCs w:val="24"/>
        </w:rPr>
      </w:pP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 xml:space="preserve">Mr </w:t>
      </w:r>
      <w:r w:rsidRPr="00B3623E">
        <w:rPr>
          <w:rFonts w:ascii="Times New Roman" w:hAnsi="Times New Roman" w:cs="Times New Roman"/>
          <w:i/>
          <w:sz w:val="24"/>
          <w:szCs w:val="24"/>
        </w:rPr>
        <w:t>Chirenje</w:t>
      </w:r>
      <w:r w:rsidRPr="00B3623E">
        <w:rPr>
          <w:rFonts w:ascii="Times New Roman" w:hAnsi="Times New Roman" w:cs="Times New Roman"/>
          <w:sz w:val="24"/>
          <w:szCs w:val="24"/>
        </w:rPr>
        <w:t>, for the applicant</w:t>
      </w:r>
    </w:p>
    <w:p w:rsidR="00B3623E" w:rsidRPr="00B3623E" w:rsidRDefault="00B3623E" w:rsidP="00B3623E">
      <w:pPr>
        <w:spacing w:after="0"/>
        <w:jc w:val="both"/>
        <w:rPr>
          <w:rFonts w:ascii="Times New Roman" w:hAnsi="Times New Roman" w:cs="Times New Roman"/>
          <w:sz w:val="24"/>
          <w:szCs w:val="24"/>
        </w:rPr>
      </w:pPr>
      <w:r w:rsidRPr="00B3623E">
        <w:rPr>
          <w:rFonts w:ascii="Times New Roman" w:hAnsi="Times New Roman" w:cs="Times New Roman"/>
          <w:sz w:val="24"/>
          <w:szCs w:val="24"/>
        </w:rPr>
        <w:t xml:space="preserve">Mr </w:t>
      </w:r>
      <w:r w:rsidRPr="00B3623E">
        <w:rPr>
          <w:rFonts w:ascii="Times New Roman" w:hAnsi="Times New Roman" w:cs="Times New Roman"/>
          <w:i/>
          <w:sz w:val="24"/>
          <w:szCs w:val="24"/>
        </w:rPr>
        <w:t>T Goro</w:t>
      </w:r>
      <w:r w:rsidRPr="00B3623E">
        <w:rPr>
          <w:rFonts w:ascii="Times New Roman" w:hAnsi="Times New Roman" w:cs="Times New Roman"/>
          <w:sz w:val="24"/>
          <w:szCs w:val="24"/>
        </w:rPr>
        <w:t>, for the respondent</w:t>
      </w:r>
    </w:p>
    <w:p w:rsidR="00B3623E" w:rsidRPr="00B3623E" w:rsidRDefault="00DE66ED" w:rsidP="00B3623E">
      <w:pPr>
        <w:jc w:val="both"/>
        <w:rPr>
          <w:rFonts w:ascii="Times New Roman" w:hAnsi="Times New Roman" w:cs="Times New Roman"/>
          <w:sz w:val="24"/>
          <w:szCs w:val="24"/>
        </w:rPr>
      </w:pPr>
      <w:r w:rsidRPr="00B3623E">
        <w:rPr>
          <w:rFonts w:ascii="Times New Roman" w:hAnsi="Times New Roman" w:cs="Times New Roman"/>
          <w:sz w:val="24"/>
          <w:szCs w:val="24"/>
        </w:rPr>
        <w:t xml:space="preserve">                                                                  </w:t>
      </w:r>
    </w:p>
    <w:p w:rsidR="00DE66ED" w:rsidRPr="00B3623E" w:rsidRDefault="00B3623E" w:rsidP="00C44B46">
      <w:p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ab/>
      </w:r>
      <w:r w:rsidR="00DE66ED" w:rsidRPr="00B3623E">
        <w:rPr>
          <w:rFonts w:ascii="Times New Roman" w:hAnsi="Times New Roman" w:cs="Times New Roman"/>
          <w:sz w:val="24"/>
          <w:szCs w:val="24"/>
        </w:rPr>
        <w:t>MANGOTA J</w:t>
      </w:r>
      <w:r w:rsidRPr="00B3623E">
        <w:rPr>
          <w:rFonts w:ascii="Times New Roman" w:hAnsi="Times New Roman" w:cs="Times New Roman"/>
          <w:sz w:val="24"/>
          <w:szCs w:val="24"/>
        </w:rPr>
        <w:t xml:space="preserve">:     </w:t>
      </w:r>
      <w:r w:rsidR="00413C24" w:rsidRPr="00B3623E">
        <w:rPr>
          <w:rFonts w:ascii="Times New Roman" w:hAnsi="Times New Roman" w:cs="Times New Roman"/>
          <w:sz w:val="24"/>
          <w:szCs w:val="24"/>
        </w:rPr>
        <w:t>Residents of Dandazi</w:t>
      </w:r>
      <w:r w:rsidR="00DE66ED" w:rsidRPr="00B3623E">
        <w:rPr>
          <w:rFonts w:ascii="Times New Roman" w:hAnsi="Times New Roman" w:cs="Times New Roman"/>
          <w:sz w:val="24"/>
          <w:szCs w:val="24"/>
        </w:rPr>
        <w:t xml:space="preserve"> surburb which is in Bindura are former workers of Ashanti Gold Mine. These were subjected to evictions from houses which they acquired through the</w:t>
      </w:r>
      <w:r w:rsidR="00277078" w:rsidRPr="00B3623E">
        <w:rPr>
          <w:rFonts w:ascii="Times New Roman" w:hAnsi="Times New Roman" w:cs="Times New Roman"/>
          <w:sz w:val="24"/>
          <w:szCs w:val="24"/>
        </w:rPr>
        <w:t>ir employer-employee scheme the moment that</w:t>
      </w:r>
      <w:r w:rsidR="00DE66ED" w:rsidRPr="00B3623E">
        <w:rPr>
          <w:rFonts w:ascii="Times New Roman" w:hAnsi="Times New Roman" w:cs="Times New Roman"/>
          <w:sz w:val="24"/>
          <w:szCs w:val="24"/>
        </w:rPr>
        <w:t xml:space="preserve"> they left employment at the mine.</w:t>
      </w:r>
    </w:p>
    <w:p w:rsidR="00674689"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689" w:rsidRPr="00B3623E">
        <w:rPr>
          <w:rFonts w:ascii="Times New Roman" w:hAnsi="Times New Roman" w:cs="Times New Roman"/>
          <w:sz w:val="24"/>
          <w:szCs w:val="24"/>
        </w:rPr>
        <w:t>To ensure that their former employer would not</w:t>
      </w:r>
      <w:r w:rsidR="00277078" w:rsidRPr="00B3623E">
        <w:rPr>
          <w:rFonts w:ascii="Times New Roman" w:hAnsi="Times New Roman" w:cs="Times New Roman"/>
          <w:sz w:val="24"/>
          <w:szCs w:val="24"/>
        </w:rPr>
        <w:t xml:space="preserve"> evict them from, and</w:t>
      </w:r>
      <w:r w:rsidR="00674689" w:rsidRPr="00B3623E">
        <w:rPr>
          <w:rFonts w:ascii="Times New Roman" w:hAnsi="Times New Roman" w:cs="Times New Roman"/>
          <w:sz w:val="24"/>
          <w:szCs w:val="24"/>
        </w:rPr>
        <w:t xml:space="preserve"> repossess</w:t>
      </w:r>
      <w:r w:rsidR="00277078" w:rsidRPr="00B3623E">
        <w:rPr>
          <w:rFonts w:ascii="Times New Roman" w:hAnsi="Times New Roman" w:cs="Times New Roman"/>
          <w:sz w:val="24"/>
          <w:szCs w:val="24"/>
        </w:rPr>
        <w:t>,</w:t>
      </w:r>
      <w:r w:rsidR="00674689" w:rsidRPr="00B3623E">
        <w:rPr>
          <w:rFonts w:ascii="Times New Roman" w:hAnsi="Times New Roman" w:cs="Times New Roman"/>
          <w:sz w:val="24"/>
          <w:szCs w:val="24"/>
        </w:rPr>
        <w:t xml:space="preserve"> the houses which they occupied, the residents made up their minds to speak against the evictions and</w:t>
      </w:r>
      <w:r w:rsidR="00277078" w:rsidRPr="00B3623E">
        <w:rPr>
          <w:rFonts w:ascii="Times New Roman" w:hAnsi="Times New Roman" w:cs="Times New Roman"/>
          <w:sz w:val="24"/>
          <w:szCs w:val="24"/>
        </w:rPr>
        <w:t>/</w:t>
      </w:r>
      <w:r w:rsidR="00674689" w:rsidRPr="00B3623E">
        <w:rPr>
          <w:rFonts w:ascii="Times New Roman" w:hAnsi="Times New Roman" w:cs="Times New Roman"/>
          <w:sz w:val="24"/>
          <w:szCs w:val="24"/>
        </w:rPr>
        <w:t>or repossession of their houses with one voice. They formed Dandazi Residence Associ</w:t>
      </w:r>
      <w:r w:rsidR="00277078" w:rsidRPr="00B3623E">
        <w:rPr>
          <w:rFonts w:ascii="Times New Roman" w:hAnsi="Times New Roman" w:cs="Times New Roman"/>
          <w:sz w:val="24"/>
          <w:szCs w:val="24"/>
        </w:rPr>
        <w:t>ation (“the association”).</w:t>
      </w:r>
    </w:p>
    <w:p w:rsidR="00674689"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689" w:rsidRPr="00B3623E">
        <w:rPr>
          <w:rFonts w:ascii="Times New Roman" w:hAnsi="Times New Roman" w:cs="Times New Roman"/>
          <w:sz w:val="24"/>
          <w:szCs w:val="24"/>
        </w:rPr>
        <w:t xml:space="preserve">With a view to catering for housing needs of the residents as well as issues which the latter group of persons were then facing, the association formed a trust which is the first respondent </w:t>
      </w:r>
      <w:r w:rsidR="00674689" w:rsidRPr="00B3623E">
        <w:rPr>
          <w:rFonts w:ascii="Times New Roman" w:hAnsi="Times New Roman" w:cs="Times New Roman"/>
          <w:i/>
          <w:sz w:val="24"/>
          <w:szCs w:val="24"/>
        </w:rPr>
        <w:t>in casu</w:t>
      </w:r>
      <w:r>
        <w:rPr>
          <w:rFonts w:ascii="Times New Roman" w:hAnsi="Times New Roman" w:cs="Times New Roman"/>
          <w:sz w:val="24"/>
          <w:szCs w:val="24"/>
        </w:rPr>
        <w:t>. It was registered with the Registrar of D</w:t>
      </w:r>
      <w:r w:rsidR="00674689" w:rsidRPr="00B3623E">
        <w:rPr>
          <w:rFonts w:ascii="Times New Roman" w:hAnsi="Times New Roman" w:cs="Times New Roman"/>
          <w:sz w:val="24"/>
          <w:szCs w:val="24"/>
        </w:rPr>
        <w:t>eeds on 23 April, 2012. Its individual members became the primary beneficiaries under the trust whose objectives, in the main, were to:</w:t>
      </w:r>
    </w:p>
    <w:p w:rsidR="004C492A" w:rsidRPr="00B3623E" w:rsidRDefault="004C492A" w:rsidP="00C44B46">
      <w:pPr>
        <w:pStyle w:val="ListParagraph"/>
        <w:numPr>
          <w:ilvl w:val="0"/>
          <w:numId w:val="1"/>
        </w:num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Promote and maintain the welfare of beneficiaries – and/or</w:t>
      </w:r>
    </w:p>
    <w:p w:rsidR="00413C24" w:rsidRPr="00B3623E" w:rsidRDefault="004C492A" w:rsidP="00C44B46">
      <w:pPr>
        <w:pStyle w:val="ListParagraph"/>
        <w:numPr>
          <w:ilvl w:val="0"/>
          <w:numId w:val="1"/>
        </w:num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Promote closer and better co-operation of the trust and relevant local authorities in the provision of housing services to beneficiaries of the trust, amongst other objectives.</w:t>
      </w:r>
      <w:r w:rsidR="00413C24" w:rsidRPr="00B3623E">
        <w:rPr>
          <w:rFonts w:ascii="Times New Roman" w:hAnsi="Times New Roman" w:cs="Times New Roman"/>
          <w:sz w:val="24"/>
          <w:szCs w:val="24"/>
        </w:rPr>
        <w:t xml:space="preserve">  </w:t>
      </w:r>
    </w:p>
    <w:p w:rsidR="00085F5A"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13C24" w:rsidRPr="00B3623E">
        <w:rPr>
          <w:rFonts w:ascii="Times New Roman" w:hAnsi="Times New Roman" w:cs="Times New Roman"/>
          <w:sz w:val="24"/>
          <w:szCs w:val="24"/>
        </w:rPr>
        <w:t>The second and third respondents</w:t>
      </w:r>
      <w:r w:rsidR="005D7614" w:rsidRPr="00B3623E">
        <w:rPr>
          <w:rFonts w:ascii="Times New Roman" w:hAnsi="Times New Roman" w:cs="Times New Roman"/>
          <w:sz w:val="24"/>
          <w:szCs w:val="24"/>
        </w:rPr>
        <w:t xml:space="preserve"> (“the respondents”)</w:t>
      </w:r>
      <w:r w:rsidR="00787A6A" w:rsidRPr="00B3623E">
        <w:rPr>
          <w:rFonts w:ascii="Times New Roman" w:hAnsi="Times New Roman" w:cs="Times New Roman"/>
          <w:sz w:val="24"/>
          <w:szCs w:val="24"/>
        </w:rPr>
        <w:t xml:space="preserve"> are trustees of</w:t>
      </w:r>
      <w:r w:rsidR="00413C24" w:rsidRPr="00B3623E">
        <w:rPr>
          <w:rFonts w:ascii="Times New Roman" w:hAnsi="Times New Roman" w:cs="Times New Roman"/>
          <w:sz w:val="24"/>
          <w:szCs w:val="24"/>
        </w:rPr>
        <w:t xml:space="preserve"> Dandazi Res</w:t>
      </w:r>
      <w:r w:rsidR="00C44B46">
        <w:rPr>
          <w:rFonts w:ascii="Times New Roman" w:hAnsi="Times New Roman" w:cs="Times New Roman"/>
          <w:sz w:val="24"/>
          <w:szCs w:val="24"/>
        </w:rPr>
        <w:t>idence Association Trust (“the t</w:t>
      </w:r>
      <w:r w:rsidR="00413C24" w:rsidRPr="00B3623E">
        <w:rPr>
          <w:rFonts w:ascii="Times New Roman" w:hAnsi="Times New Roman" w:cs="Times New Roman"/>
          <w:sz w:val="24"/>
          <w:szCs w:val="24"/>
        </w:rPr>
        <w:t>rust”). Both of them, it is agreed, played a pivotal role in the formation of the trust. They are, if a comparison may be favoured, some of its founding members. They and three others became trustees</w:t>
      </w:r>
      <w:r w:rsidR="00C44B46">
        <w:rPr>
          <w:rFonts w:ascii="Times New Roman" w:hAnsi="Times New Roman" w:cs="Times New Roman"/>
          <w:sz w:val="24"/>
          <w:szCs w:val="24"/>
        </w:rPr>
        <w:t xml:space="preserve"> of the t</w:t>
      </w:r>
      <w:r w:rsidR="00277078" w:rsidRPr="00B3623E">
        <w:rPr>
          <w:rFonts w:ascii="Times New Roman" w:hAnsi="Times New Roman" w:cs="Times New Roman"/>
          <w:sz w:val="24"/>
          <w:szCs w:val="24"/>
        </w:rPr>
        <w:t>rust</w:t>
      </w:r>
      <w:r>
        <w:rPr>
          <w:rFonts w:ascii="Times New Roman" w:hAnsi="Times New Roman" w:cs="Times New Roman"/>
          <w:sz w:val="24"/>
          <w:szCs w:val="24"/>
        </w:rPr>
        <w:t xml:space="preserve"> at its inception. They are T</w:t>
      </w:r>
      <w:r w:rsidR="00413C24" w:rsidRPr="00B3623E">
        <w:rPr>
          <w:rFonts w:ascii="Times New Roman" w:hAnsi="Times New Roman" w:cs="Times New Roman"/>
          <w:sz w:val="24"/>
          <w:szCs w:val="24"/>
        </w:rPr>
        <w:t>rustees todate.</w:t>
      </w:r>
    </w:p>
    <w:p w:rsidR="00085F5A"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F5A" w:rsidRPr="00B3623E">
        <w:rPr>
          <w:rFonts w:ascii="Times New Roman" w:hAnsi="Times New Roman" w:cs="Times New Roman"/>
          <w:sz w:val="24"/>
          <w:szCs w:val="24"/>
        </w:rPr>
        <w:t>The first applicant one Adams Wellington Taruvinga (“Taruvinga”) claims that he is the chairperson of the second applicant which, together wit</w:t>
      </w:r>
      <w:r w:rsidR="005D7614" w:rsidRPr="00B3623E">
        <w:rPr>
          <w:rFonts w:ascii="Times New Roman" w:hAnsi="Times New Roman" w:cs="Times New Roman"/>
          <w:sz w:val="24"/>
          <w:szCs w:val="24"/>
        </w:rPr>
        <w:t xml:space="preserve">h him, sued the </w:t>
      </w:r>
      <w:r w:rsidR="00085F5A" w:rsidRPr="00B3623E">
        <w:rPr>
          <w:rFonts w:ascii="Times New Roman" w:hAnsi="Times New Roman" w:cs="Times New Roman"/>
          <w:sz w:val="24"/>
          <w:szCs w:val="24"/>
        </w:rPr>
        <w:t xml:space="preserve"> respondents whom they accuse of mismanaging the affairs of the trust. They allege that the respondents have failed to achieve the objectives of the trust and/or to keep a true an</w:t>
      </w:r>
      <w:r w:rsidR="005D7614" w:rsidRPr="00B3623E">
        <w:rPr>
          <w:rFonts w:ascii="Times New Roman" w:hAnsi="Times New Roman" w:cs="Times New Roman"/>
          <w:sz w:val="24"/>
          <w:szCs w:val="24"/>
        </w:rPr>
        <w:t>d</w:t>
      </w:r>
      <w:r w:rsidR="00085F5A" w:rsidRPr="00B3623E">
        <w:rPr>
          <w:rFonts w:ascii="Times New Roman" w:hAnsi="Times New Roman" w:cs="Times New Roman"/>
          <w:sz w:val="24"/>
          <w:szCs w:val="24"/>
        </w:rPr>
        <w:t xml:space="preserve"> correct account of their administration of the trust including its accounts, amongst other allegations. They move me to:</w:t>
      </w:r>
    </w:p>
    <w:p w:rsidR="00085F5A" w:rsidRPr="00B3623E" w:rsidRDefault="00085F5A" w:rsidP="00C44B46">
      <w:pPr>
        <w:pStyle w:val="ListParagraph"/>
        <w:numPr>
          <w:ilvl w:val="0"/>
          <w:numId w:val="2"/>
        </w:num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Set aside the app</w:t>
      </w:r>
      <w:r w:rsidR="00277078" w:rsidRPr="00B3623E">
        <w:rPr>
          <w:rFonts w:ascii="Times New Roman" w:hAnsi="Times New Roman" w:cs="Times New Roman"/>
          <w:sz w:val="24"/>
          <w:szCs w:val="24"/>
        </w:rPr>
        <w:t>ointment of the</w:t>
      </w:r>
      <w:r w:rsidRPr="00B3623E">
        <w:rPr>
          <w:rFonts w:ascii="Times New Roman" w:hAnsi="Times New Roman" w:cs="Times New Roman"/>
          <w:sz w:val="24"/>
          <w:szCs w:val="24"/>
        </w:rPr>
        <w:t xml:space="preserve"> respondents as trustees of the trust so tha</w:t>
      </w:r>
      <w:r w:rsidR="00277078" w:rsidRPr="00B3623E">
        <w:rPr>
          <w:rFonts w:ascii="Times New Roman" w:hAnsi="Times New Roman" w:cs="Times New Roman"/>
          <w:sz w:val="24"/>
          <w:szCs w:val="24"/>
        </w:rPr>
        <w:t>t they</w:t>
      </w:r>
      <w:r w:rsidRPr="00B3623E">
        <w:rPr>
          <w:rFonts w:ascii="Times New Roman" w:hAnsi="Times New Roman" w:cs="Times New Roman"/>
          <w:sz w:val="24"/>
          <w:szCs w:val="24"/>
        </w:rPr>
        <w:t xml:space="preserve"> are deemed to have vacated the office of trustees of the trust;</w:t>
      </w:r>
    </w:p>
    <w:p w:rsidR="00085F5A" w:rsidRPr="00B3623E" w:rsidRDefault="00085F5A" w:rsidP="00C44B46">
      <w:pPr>
        <w:pStyle w:val="ListParagraph"/>
        <w:numPr>
          <w:ilvl w:val="0"/>
          <w:numId w:val="2"/>
        </w:num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 xml:space="preserve">Empower the Management Board of the association to appoint five persons from its members </w:t>
      </w:r>
      <w:r w:rsidR="00277078" w:rsidRPr="00B3623E">
        <w:rPr>
          <w:rFonts w:ascii="Times New Roman" w:hAnsi="Times New Roman" w:cs="Times New Roman"/>
          <w:sz w:val="24"/>
          <w:szCs w:val="24"/>
        </w:rPr>
        <w:t>as trustees of the trust –and</w:t>
      </w:r>
    </w:p>
    <w:p w:rsidR="00742622" w:rsidRPr="00B3623E" w:rsidRDefault="00277078" w:rsidP="00C44B46">
      <w:pPr>
        <w:pStyle w:val="ListParagraph"/>
        <w:numPr>
          <w:ilvl w:val="0"/>
          <w:numId w:val="2"/>
        </w:num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Direct the</w:t>
      </w:r>
      <w:r w:rsidR="00085F5A" w:rsidRPr="00B3623E">
        <w:rPr>
          <w:rFonts w:ascii="Times New Roman" w:hAnsi="Times New Roman" w:cs="Times New Roman"/>
          <w:sz w:val="24"/>
          <w:szCs w:val="24"/>
        </w:rPr>
        <w:t xml:space="preserve"> respondents to surrender all assets a</w:t>
      </w:r>
      <w:r w:rsidRPr="00B3623E">
        <w:rPr>
          <w:rFonts w:ascii="Times New Roman" w:hAnsi="Times New Roman" w:cs="Times New Roman"/>
          <w:sz w:val="24"/>
          <w:szCs w:val="24"/>
        </w:rPr>
        <w:t>nd documents of the trust to</w:t>
      </w:r>
      <w:r w:rsidR="00085F5A" w:rsidRPr="00B3623E">
        <w:rPr>
          <w:rFonts w:ascii="Times New Roman" w:hAnsi="Times New Roman" w:cs="Times New Roman"/>
          <w:sz w:val="24"/>
          <w:szCs w:val="24"/>
        </w:rPr>
        <w:t xml:space="preserve"> new trustees</w:t>
      </w:r>
      <w:r w:rsidRPr="00B3623E">
        <w:rPr>
          <w:rFonts w:ascii="Times New Roman" w:hAnsi="Times New Roman" w:cs="Times New Roman"/>
          <w:sz w:val="24"/>
          <w:szCs w:val="24"/>
        </w:rPr>
        <w:t xml:space="preserve"> who are</w:t>
      </w:r>
      <w:r w:rsidR="00085F5A" w:rsidRPr="00B3623E">
        <w:rPr>
          <w:rFonts w:ascii="Times New Roman" w:hAnsi="Times New Roman" w:cs="Times New Roman"/>
          <w:sz w:val="24"/>
          <w:szCs w:val="24"/>
        </w:rPr>
        <w:t xml:space="preserve"> appointed in terms of paragraph 2 above within five (5) days of this order.</w:t>
      </w:r>
    </w:p>
    <w:p w:rsidR="004C492A"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2622" w:rsidRPr="00B3623E">
        <w:rPr>
          <w:rFonts w:ascii="Times New Roman" w:hAnsi="Times New Roman" w:cs="Times New Roman"/>
          <w:sz w:val="24"/>
          <w:szCs w:val="24"/>
        </w:rPr>
        <w:t>The application cannot succeed.</w:t>
      </w:r>
      <w:r w:rsidR="005D7614" w:rsidRPr="00B3623E">
        <w:rPr>
          <w:rFonts w:ascii="Times New Roman" w:hAnsi="Times New Roman" w:cs="Times New Roman"/>
          <w:sz w:val="24"/>
          <w:szCs w:val="24"/>
        </w:rPr>
        <w:t xml:space="preserve"> It cannot succeed for a variety of reasons. The first reason centers on the propriety or other</w:t>
      </w:r>
      <w:r w:rsidR="00277078" w:rsidRPr="00B3623E">
        <w:rPr>
          <w:rFonts w:ascii="Times New Roman" w:hAnsi="Times New Roman" w:cs="Times New Roman"/>
          <w:sz w:val="24"/>
          <w:szCs w:val="24"/>
        </w:rPr>
        <w:t>wise of the second applicant’s</w:t>
      </w:r>
      <w:r w:rsidR="005D7614" w:rsidRPr="00B3623E">
        <w:rPr>
          <w:rFonts w:ascii="Times New Roman" w:hAnsi="Times New Roman" w:cs="Times New Roman"/>
          <w:sz w:val="24"/>
          <w:szCs w:val="24"/>
        </w:rPr>
        <w:t xml:space="preserve"> presence in court. The respond</w:t>
      </w:r>
      <w:r w:rsidR="00277078" w:rsidRPr="00B3623E">
        <w:rPr>
          <w:rFonts w:ascii="Times New Roman" w:hAnsi="Times New Roman" w:cs="Times New Roman"/>
          <w:sz w:val="24"/>
          <w:szCs w:val="24"/>
        </w:rPr>
        <w:t>ents insist that the second applicant</w:t>
      </w:r>
      <w:r w:rsidR="005D7614" w:rsidRPr="00B3623E">
        <w:rPr>
          <w:rFonts w:ascii="Times New Roman" w:hAnsi="Times New Roman" w:cs="Times New Roman"/>
          <w:sz w:val="24"/>
          <w:szCs w:val="24"/>
        </w:rPr>
        <w:t xml:space="preserve"> is not in court. They challenge Taruvinga to produce evidence which supports his allegation which is to</w:t>
      </w:r>
      <w:r w:rsidR="00277078" w:rsidRPr="00B3623E">
        <w:rPr>
          <w:rFonts w:ascii="Times New Roman" w:hAnsi="Times New Roman" w:cs="Times New Roman"/>
          <w:sz w:val="24"/>
          <w:szCs w:val="24"/>
        </w:rPr>
        <w:t xml:space="preserve"> the effect that the second applicant</w:t>
      </w:r>
      <w:r w:rsidR="005D7614" w:rsidRPr="00B3623E">
        <w:rPr>
          <w:rFonts w:ascii="Times New Roman" w:hAnsi="Times New Roman" w:cs="Times New Roman"/>
          <w:sz w:val="24"/>
          <w:szCs w:val="24"/>
        </w:rPr>
        <w:t xml:space="preserve"> is in court.</w:t>
      </w:r>
    </w:p>
    <w:p w:rsidR="005D7614"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7614" w:rsidRPr="00B3623E">
        <w:rPr>
          <w:rFonts w:ascii="Times New Roman" w:hAnsi="Times New Roman" w:cs="Times New Roman"/>
          <w:sz w:val="24"/>
          <w:szCs w:val="24"/>
        </w:rPr>
        <w:t>The trite position of the law is that he who alleges must prove. That position</w:t>
      </w:r>
      <w:r w:rsidR="001A5B47" w:rsidRPr="00B3623E">
        <w:rPr>
          <w:rFonts w:ascii="Times New Roman" w:hAnsi="Times New Roman" w:cs="Times New Roman"/>
          <w:sz w:val="24"/>
          <w:szCs w:val="24"/>
        </w:rPr>
        <w:t xml:space="preserve"> of the law</w:t>
      </w:r>
      <w:r w:rsidR="0082516D" w:rsidRPr="00B3623E">
        <w:rPr>
          <w:rFonts w:ascii="Times New Roman" w:hAnsi="Times New Roman" w:cs="Times New Roman"/>
          <w:sz w:val="24"/>
          <w:szCs w:val="24"/>
        </w:rPr>
        <w:t xml:space="preserve"> was aptly articulated in </w:t>
      </w:r>
      <w:r w:rsidR="0082516D" w:rsidRPr="00B3623E">
        <w:rPr>
          <w:rFonts w:ascii="Times New Roman" w:hAnsi="Times New Roman" w:cs="Times New Roman"/>
          <w:i/>
          <w:sz w:val="24"/>
          <w:szCs w:val="24"/>
        </w:rPr>
        <w:t>Nyaho</w:t>
      </w:r>
      <w:r w:rsidR="005D7614" w:rsidRPr="00B3623E">
        <w:rPr>
          <w:rFonts w:ascii="Times New Roman" w:hAnsi="Times New Roman" w:cs="Times New Roman"/>
          <w:i/>
          <w:sz w:val="24"/>
          <w:szCs w:val="24"/>
        </w:rPr>
        <w:t>ndo</w:t>
      </w:r>
      <w:r w:rsidR="005D7614" w:rsidRPr="00B3623E">
        <w:rPr>
          <w:rFonts w:ascii="Times New Roman" w:hAnsi="Times New Roman" w:cs="Times New Roman"/>
          <w:sz w:val="24"/>
          <w:szCs w:val="24"/>
        </w:rPr>
        <w:t xml:space="preserve"> v </w:t>
      </w:r>
      <w:r w:rsidR="005D7614" w:rsidRPr="00B3623E">
        <w:rPr>
          <w:rFonts w:ascii="Times New Roman" w:hAnsi="Times New Roman" w:cs="Times New Roman"/>
          <w:i/>
          <w:sz w:val="24"/>
          <w:szCs w:val="24"/>
        </w:rPr>
        <w:t>Hokonya &amp; Ors</w:t>
      </w:r>
      <w:r w:rsidR="005D7614" w:rsidRPr="00B3623E">
        <w:rPr>
          <w:rFonts w:ascii="Times New Roman" w:hAnsi="Times New Roman" w:cs="Times New Roman"/>
          <w:sz w:val="24"/>
          <w:szCs w:val="24"/>
        </w:rPr>
        <w:t>, 1997 (2) ZLR 45 (S) at 459 wherein the court stated that:</w:t>
      </w:r>
    </w:p>
    <w:p w:rsidR="005D7614" w:rsidRPr="00B3623E" w:rsidRDefault="00B3623E" w:rsidP="00C44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7614" w:rsidRPr="00B3623E">
        <w:rPr>
          <w:rFonts w:ascii="Times New Roman" w:hAnsi="Times New Roman" w:cs="Times New Roman"/>
          <w:sz w:val="24"/>
          <w:szCs w:val="24"/>
        </w:rPr>
        <w:t>“</w:t>
      </w:r>
      <w:r w:rsidR="005D7614" w:rsidRPr="00B3623E">
        <w:rPr>
          <w:rFonts w:ascii="Times New Roman" w:hAnsi="Times New Roman" w:cs="Times New Roman"/>
        </w:rPr>
        <w:t xml:space="preserve">The general principle is that he who makes an affirmative assertion, whether plaintiff or </w:t>
      </w:r>
      <w:r w:rsidRPr="00B3623E">
        <w:rPr>
          <w:rFonts w:ascii="Times New Roman" w:hAnsi="Times New Roman" w:cs="Times New Roman"/>
        </w:rPr>
        <w:tab/>
      </w:r>
      <w:r w:rsidR="005D7614" w:rsidRPr="00B3623E">
        <w:rPr>
          <w:rFonts w:ascii="Times New Roman" w:hAnsi="Times New Roman" w:cs="Times New Roman"/>
        </w:rPr>
        <w:t>respondent, bears the onus of</w:t>
      </w:r>
      <w:r>
        <w:rPr>
          <w:rFonts w:ascii="Times New Roman" w:hAnsi="Times New Roman" w:cs="Times New Roman"/>
        </w:rPr>
        <w:t xml:space="preserve"> proving the facts so asserted.”</w:t>
      </w:r>
    </w:p>
    <w:p w:rsidR="005D7614"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277078" w:rsidRPr="00B3623E">
        <w:rPr>
          <w:rFonts w:ascii="Times New Roman" w:hAnsi="Times New Roman" w:cs="Times New Roman"/>
          <w:i/>
          <w:sz w:val="24"/>
          <w:szCs w:val="24"/>
        </w:rPr>
        <w:t>In casu</w:t>
      </w:r>
      <w:r w:rsidR="005D7614" w:rsidRPr="00B3623E">
        <w:rPr>
          <w:rFonts w:ascii="Times New Roman" w:hAnsi="Times New Roman" w:cs="Times New Roman"/>
          <w:sz w:val="24"/>
          <w:szCs w:val="24"/>
        </w:rPr>
        <w:t>, Taruvinga who is the deponent to the founding affidavit states in the same that he is th</w:t>
      </w:r>
      <w:r w:rsidR="00277078" w:rsidRPr="00B3623E">
        <w:rPr>
          <w:rFonts w:ascii="Times New Roman" w:hAnsi="Times New Roman" w:cs="Times New Roman"/>
          <w:sz w:val="24"/>
          <w:szCs w:val="24"/>
        </w:rPr>
        <w:t>e chairperson of the second applicant</w:t>
      </w:r>
      <w:r w:rsidR="005D7614" w:rsidRPr="00B3623E">
        <w:rPr>
          <w:rFonts w:ascii="Times New Roman" w:hAnsi="Times New Roman" w:cs="Times New Roman"/>
          <w:sz w:val="24"/>
          <w:szCs w:val="24"/>
        </w:rPr>
        <w:t xml:space="preserve"> which he alleges conferred authority upon him to depose to the </w:t>
      </w:r>
      <w:r w:rsidR="001A5B47" w:rsidRPr="00B3623E">
        <w:rPr>
          <w:rFonts w:ascii="Times New Roman" w:hAnsi="Times New Roman" w:cs="Times New Roman"/>
          <w:sz w:val="24"/>
          <w:szCs w:val="24"/>
        </w:rPr>
        <w:t>founding affidavit</w:t>
      </w:r>
      <w:r w:rsidR="005D7614" w:rsidRPr="00B3623E">
        <w:rPr>
          <w:rFonts w:ascii="Times New Roman" w:hAnsi="Times New Roman" w:cs="Times New Roman"/>
          <w:sz w:val="24"/>
          <w:szCs w:val="24"/>
        </w:rPr>
        <w:t xml:space="preserve">. </w:t>
      </w:r>
      <w:r w:rsidR="000D36F5" w:rsidRPr="00B3623E">
        <w:rPr>
          <w:rFonts w:ascii="Times New Roman" w:hAnsi="Times New Roman" w:cs="Times New Roman"/>
          <w:sz w:val="24"/>
          <w:szCs w:val="24"/>
        </w:rPr>
        <w:t xml:space="preserve"> He makes reference to the</w:t>
      </w:r>
      <w:r w:rsidR="00277078" w:rsidRPr="00B3623E">
        <w:rPr>
          <w:rFonts w:ascii="Times New Roman" w:hAnsi="Times New Roman" w:cs="Times New Roman"/>
          <w:sz w:val="24"/>
          <w:szCs w:val="24"/>
        </w:rPr>
        <w:t xml:space="preserve"> resolution of the second applicant’s</w:t>
      </w:r>
      <w:r w:rsidR="000D36F5" w:rsidRPr="00B3623E">
        <w:rPr>
          <w:rFonts w:ascii="Times New Roman" w:hAnsi="Times New Roman" w:cs="Times New Roman"/>
          <w:sz w:val="24"/>
          <w:szCs w:val="24"/>
        </w:rPr>
        <w:t xml:space="preserve"> board which he claims authorises him to depose to the founding affidavit. He asserts that the resolution is attached to the application and it, according to him, is marked Annexure A.</w:t>
      </w:r>
    </w:p>
    <w:p w:rsidR="001A5B47"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8F2" w:rsidRPr="00B3623E">
        <w:rPr>
          <w:rFonts w:ascii="Times New Roman" w:hAnsi="Times New Roman" w:cs="Times New Roman"/>
          <w:sz w:val="24"/>
          <w:szCs w:val="24"/>
        </w:rPr>
        <w:t>Annexure A appears in the consolidated index as item number 6. Item number 6 is the Trust Deed. It is at pages 22-35 of the record. It is not a resolution</w:t>
      </w:r>
      <w:r w:rsidR="001A5B47" w:rsidRPr="00B3623E">
        <w:rPr>
          <w:rFonts w:ascii="Times New Roman" w:hAnsi="Times New Roman" w:cs="Times New Roman"/>
          <w:sz w:val="24"/>
          <w:szCs w:val="24"/>
        </w:rPr>
        <w:t xml:space="preserve"> of the second applicant</w:t>
      </w:r>
      <w:r w:rsidR="006858F2" w:rsidRPr="00B3623E">
        <w:rPr>
          <w:rFonts w:ascii="Times New Roman" w:hAnsi="Times New Roman" w:cs="Times New Roman"/>
          <w:sz w:val="24"/>
          <w:szCs w:val="24"/>
        </w:rPr>
        <w:t xml:space="preserve"> as Taruvinga </w:t>
      </w:r>
      <w:r w:rsidR="006858F2" w:rsidRPr="00B3623E">
        <w:rPr>
          <w:rFonts w:ascii="Times New Roman" w:hAnsi="Times New Roman" w:cs="Times New Roman"/>
          <w:sz w:val="24"/>
          <w:szCs w:val="24"/>
        </w:rPr>
        <w:lastRenderedPageBreak/>
        <w:t xml:space="preserve">would have the respondents and me believe. It is a Notarial Deed of Trust of Dandazi Residence Association Trust. </w:t>
      </w:r>
    </w:p>
    <w:p w:rsidR="006858F2"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8F2" w:rsidRPr="00B3623E">
        <w:rPr>
          <w:rFonts w:ascii="Times New Roman" w:hAnsi="Times New Roman" w:cs="Times New Roman"/>
          <w:sz w:val="24"/>
          <w:szCs w:val="24"/>
        </w:rPr>
        <w:t>Taruvinga cannot have the respondents and me believe that the Trust Deed is equivalent to the resolution</w:t>
      </w:r>
      <w:r w:rsidR="00277078" w:rsidRPr="00B3623E">
        <w:rPr>
          <w:rFonts w:ascii="Times New Roman" w:hAnsi="Times New Roman" w:cs="Times New Roman"/>
          <w:sz w:val="24"/>
          <w:szCs w:val="24"/>
        </w:rPr>
        <w:t xml:space="preserve"> of the board of the second applicant</w:t>
      </w:r>
      <w:r w:rsidR="006858F2" w:rsidRPr="00B3623E">
        <w:rPr>
          <w:rFonts w:ascii="Times New Roman" w:hAnsi="Times New Roman" w:cs="Times New Roman"/>
          <w:sz w:val="24"/>
          <w:szCs w:val="24"/>
        </w:rPr>
        <w:t>. He is, accordingly, misleading the respondents and me when he alleges, as he is do</w:t>
      </w:r>
      <w:r w:rsidR="00277078" w:rsidRPr="00B3623E">
        <w:rPr>
          <w:rFonts w:ascii="Times New Roman" w:hAnsi="Times New Roman" w:cs="Times New Roman"/>
          <w:sz w:val="24"/>
          <w:szCs w:val="24"/>
        </w:rPr>
        <w:t>ing, that the second applicant</w:t>
      </w:r>
      <w:r w:rsidR="001A5B47" w:rsidRPr="00B3623E">
        <w:rPr>
          <w:rFonts w:ascii="Times New Roman" w:hAnsi="Times New Roman" w:cs="Times New Roman"/>
          <w:sz w:val="24"/>
          <w:szCs w:val="24"/>
        </w:rPr>
        <w:t xml:space="preserve"> authorised</w:t>
      </w:r>
      <w:r w:rsidR="006858F2" w:rsidRPr="00B3623E">
        <w:rPr>
          <w:rFonts w:ascii="Times New Roman" w:hAnsi="Times New Roman" w:cs="Times New Roman"/>
          <w:sz w:val="24"/>
          <w:szCs w:val="24"/>
        </w:rPr>
        <w:t xml:space="preserve"> him to sue the respondents on its behalf.</w:t>
      </w:r>
      <w:r w:rsidR="001A5B47" w:rsidRPr="00B3623E">
        <w:rPr>
          <w:rFonts w:ascii="Times New Roman" w:hAnsi="Times New Roman" w:cs="Times New Roman"/>
          <w:sz w:val="24"/>
          <w:szCs w:val="24"/>
        </w:rPr>
        <w:t xml:space="preserve"> It did not.</w:t>
      </w:r>
    </w:p>
    <w:p w:rsidR="006858F2"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7078" w:rsidRPr="00B3623E">
        <w:rPr>
          <w:rFonts w:ascii="Times New Roman" w:hAnsi="Times New Roman" w:cs="Times New Roman"/>
          <w:sz w:val="24"/>
          <w:szCs w:val="24"/>
        </w:rPr>
        <w:t>The second applicant</w:t>
      </w:r>
      <w:r w:rsidR="006858F2" w:rsidRPr="00B3623E">
        <w:rPr>
          <w:rFonts w:ascii="Times New Roman" w:hAnsi="Times New Roman" w:cs="Times New Roman"/>
          <w:sz w:val="24"/>
          <w:szCs w:val="24"/>
        </w:rPr>
        <w:t>, it is evident, did not confer such authority upon him.</w:t>
      </w:r>
      <w:r w:rsidR="00277078" w:rsidRPr="00B3623E">
        <w:rPr>
          <w:rFonts w:ascii="Times New Roman" w:hAnsi="Times New Roman" w:cs="Times New Roman"/>
          <w:sz w:val="24"/>
          <w:szCs w:val="24"/>
        </w:rPr>
        <w:t xml:space="preserve"> The second applicant</w:t>
      </w:r>
      <w:r w:rsidR="008F4D85" w:rsidRPr="00B3623E">
        <w:rPr>
          <w:rFonts w:ascii="Times New Roman" w:hAnsi="Times New Roman" w:cs="Times New Roman"/>
          <w:sz w:val="24"/>
          <w:szCs w:val="24"/>
        </w:rPr>
        <w:t>, it is a fact, is not in, but out of, court making Taruvinga to be on a frolic of his own. He faile</w:t>
      </w:r>
      <w:r w:rsidR="00277078" w:rsidRPr="00B3623E">
        <w:rPr>
          <w:rFonts w:ascii="Times New Roman" w:hAnsi="Times New Roman" w:cs="Times New Roman"/>
          <w:sz w:val="24"/>
          <w:szCs w:val="24"/>
        </w:rPr>
        <w:t>d to establish the second applicant’s</w:t>
      </w:r>
      <w:r w:rsidR="008F4D85" w:rsidRPr="00B3623E">
        <w:rPr>
          <w:rFonts w:ascii="Times New Roman" w:hAnsi="Times New Roman" w:cs="Times New Roman"/>
          <w:sz w:val="24"/>
          <w:szCs w:val="24"/>
        </w:rPr>
        <w:t xml:space="preserve"> locus to sue the respondents.</w:t>
      </w:r>
    </w:p>
    <w:p w:rsidR="008F4D85"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4D85" w:rsidRPr="00B3623E">
        <w:rPr>
          <w:rFonts w:ascii="Times New Roman" w:hAnsi="Times New Roman" w:cs="Times New Roman"/>
          <w:sz w:val="24"/>
          <w:szCs w:val="24"/>
        </w:rPr>
        <w:t>The second reason for the failure of the application centers on the position of Taruvinga himself. He alleges that he is th</w:t>
      </w:r>
      <w:r w:rsidR="00277078" w:rsidRPr="00B3623E">
        <w:rPr>
          <w:rFonts w:ascii="Times New Roman" w:hAnsi="Times New Roman" w:cs="Times New Roman"/>
          <w:sz w:val="24"/>
          <w:szCs w:val="24"/>
        </w:rPr>
        <w:t>e chairperson of the second applicant</w:t>
      </w:r>
      <w:r w:rsidR="008F4D85" w:rsidRPr="00B3623E">
        <w:rPr>
          <w:rFonts w:ascii="Times New Roman" w:hAnsi="Times New Roman" w:cs="Times New Roman"/>
          <w:sz w:val="24"/>
          <w:szCs w:val="24"/>
        </w:rPr>
        <w:t>. He, once again, produces no evidence which shows that he is</w:t>
      </w:r>
      <w:r w:rsidR="00277078" w:rsidRPr="00B3623E">
        <w:rPr>
          <w:rFonts w:ascii="Times New Roman" w:hAnsi="Times New Roman" w:cs="Times New Roman"/>
          <w:sz w:val="24"/>
          <w:szCs w:val="24"/>
        </w:rPr>
        <w:t xml:space="preserve"> the ch</w:t>
      </w:r>
      <w:r w:rsidR="006A3253" w:rsidRPr="00B3623E">
        <w:rPr>
          <w:rFonts w:ascii="Times New Roman" w:hAnsi="Times New Roman" w:cs="Times New Roman"/>
          <w:sz w:val="24"/>
          <w:szCs w:val="24"/>
        </w:rPr>
        <w:t>airman of the second applicant</w:t>
      </w:r>
      <w:r w:rsidR="008F4D85" w:rsidRPr="00B3623E">
        <w:rPr>
          <w:rFonts w:ascii="Times New Roman" w:hAnsi="Times New Roman" w:cs="Times New Roman"/>
          <w:sz w:val="24"/>
          <w:szCs w:val="24"/>
        </w:rPr>
        <w:t>. If he is such, as he would have the respondents and me</w:t>
      </w:r>
      <w:r>
        <w:rPr>
          <w:rFonts w:ascii="Times New Roman" w:hAnsi="Times New Roman" w:cs="Times New Roman"/>
          <w:sz w:val="24"/>
          <w:szCs w:val="24"/>
        </w:rPr>
        <w:t>,</w:t>
      </w:r>
      <w:r w:rsidR="008F4D85" w:rsidRPr="00B3623E">
        <w:rPr>
          <w:rFonts w:ascii="Times New Roman" w:hAnsi="Times New Roman" w:cs="Times New Roman"/>
          <w:sz w:val="24"/>
          <w:szCs w:val="24"/>
        </w:rPr>
        <w:t xml:space="preserve"> believe, he would, in all probability, have filed supporting affidavits</w:t>
      </w:r>
      <w:r w:rsidR="006A3253" w:rsidRPr="00B3623E">
        <w:rPr>
          <w:rFonts w:ascii="Times New Roman" w:hAnsi="Times New Roman" w:cs="Times New Roman"/>
          <w:sz w:val="24"/>
          <w:szCs w:val="24"/>
        </w:rPr>
        <w:t xml:space="preserve"> from</w:t>
      </w:r>
      <w:r w:rsidR="00277078" w:rsidRPr="00B3623E">
        <w:rPr>
          <w:rFonts w:ascii="Times New Roman" w:hAnsi="Times New Roman" w:cs="Times New Roman"/>
          <w:sz w:val="24"/>
          <w:szCs w:val="24"/>
        </w:rPr>
        <w:t xml:space="preserve"> members of the second applicant’s</w:t>
      </w:r>
      <w:r w:rsidR="008F4D85" w:rsidRPr="00B3623E">
        <w:rPr>
          <w:rFonts w:ascii="Times New Roman" w:hAnsi="Times New Roman" w:cs="Times New Roman"/>
          <w:sz w:val="24"/>
          <w:szCs w:val="24"/>
        </w:rPr>
        <w:t xml:space="preserve"> Management Board</w:t>
      </w:r>
      <w:r w:rsidR="00277078" w:rsidRPr="00B3623E">
        <w:rPr>
          <w:rFonts w:ascii="Times New Roman" w:hAnsi="Times New Roman" w:cs="Times New Roman"/>
          <w:sz w:val="24"/>
          <w:szCs w:val="24"/>
        </w:rPr>
        <w:t>, if it has such,</w:t>
      </w:r>
      <w:r w:rsidR="008F4D85" w:rsidRPr="00B3623E">
        <w:rPr>
          <w:rFonts w:ascii="Times New Roman" w:hAnsi="Times New Roman" w:cs="Times New Roman"/>
          <w:sz w:val="24"/>
          <w:szCs w:val="24"/>
        </w:rPr>
        <w:t xml:space="preserve"> supporting the claim that he is the</w:t>
      </w:r>
      <w:r w:rsidR="007F7443" w:rsidRPr="00B3623E">
        <w:rPr>
          <w:rFonts w:ascii="Times New Roman" w:hAnsi="Times New Roman" w:cs="Times New Roman"/>
          <w:sz w:val="24"/>
          <w:szCs w:val="24"/>
        </w:rPr>
        <w:t xml:space="preserve"> chairperson</w:t>
      </w:r>
      <w:r w:rsidR="00277078" w:rsidRPr="00B3623E">
        <w:rPr>
          <w:rFonts w:ascii="Times New Roman" w:hAnsi="Times New Roman" w:cs="Times New Roman"/>
          <w:sz w:val="24"/>
          <w:szCs w:val="24"/>
        </w:rPr>
        <w:t xml:space="preserve"> of the second applicant</w:t>
      </w:r>
      <w:r w:rsidR="008F4D85" w:rsidRPr="00B3623E">
        <w:rPr>
          <w:rFonts w:ascii="Times New Roman" w:hAnsi="Times New Roman" w:cs="Times New Roman"/>
          <w:sz w:val="24"/>
          <w:szCs w:val="24"/>
        </w:rPr>
        <w:t>. He cannot prove the stated claim by his mere say so.</w:t>
      </w:r>
    </w:p>
    <w:p w:rsidR="006C0939"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0939" w:rsidRPr="00B3623E">
        <w:rPr>
          <w:rFonts w:ascii="Times New Roman" w:hAnsi="Times New Roman" w:cs="Times New Roman"/>
          <w:sz w:val="24"/>
          <w:szCs w:val="24"/>
        </w:rPr>
        <w:t>The assertion which Taruvinga makes in paragraph 1 of the founding affidavit is controverted in a material manner by the respondents who state, in paragraph 8.</w:t>
      </w:r>
      <w:r w:rsidR="007F7443" w:rsidRPr="00B3623E">
        <w:rPr>
          <w:rFonts w:ascii="Times New Roman" w:hAnsi="Times New Roman" w:cs="Times New Roman"/>
          <w:sz w:val="24"/>
          <w:szCs w:val="24"/>
        </w:rPr>
        <w:t xml:space="preserve">1 of their notice of opposition, </w:t>
      </w:r>
      <w:r w:rsidR="006C0939" w:rsidRPr="00B3623E">
        <w:rPr>
          <w:rFonts w:ascii="Times New Roman" w:hAnsi="Times New Roman" w:cs="Times New Roman"/>
          <w:sz w:val="24"/>
          <w:szCs w:val="24"/>
        </w:rPr>
        <w:t>that Taruvinga represents a splinter group which se</w:t>
      </w:r>
      <w:r w:rsidR="00277078" w:rsidRPr="00B3623E">
        <w:rPr>
          <w:rFonts w:ascii="Times New Roman" w:hAnsi="Times New Roman" w:cs="Times New Roman"/>
          <w:sz w:val="24"/>
          <w:szCs w:val="24"/>
        </w:rPr>
        <w:t>parated itself from the association. The</w:t>
      </w:r>
      <w:r w:rsidR="006C0939" w:rsidRPr="00B3623E">
        <w:rPr>
          <w:rFonts w:ascii="Times New Roman" w:hAnsi="Times New Roman" w:cs="Times New Roman"/>
          <w:sz w:val="24"/>
          <w:szCs w:val="24"/>
        </w:rPr>
        <w:t xml:space="preserve"> association, they assert, still exists with one of them, namely Michael Saidi, as its chairman.</w:t>
      </w:r>
    </w:p>
    <w:p w:rsidR="0007111E"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7078" w:rsidRPr="00B3623E">
        <w:rPr>
          <w:rFonts w:ascii="Times New Roman" w:hAnsi="Times New Roman" w:cs="Times New Roman"/>
          <w:sz w:val="24"/>
          <w:szCs w:val="24"/>
        </w:rPr>
        <w:t>The respondents rest their defence on the trite position of the law which</w:t>
      </w:r>
      <w:r w:rsidR="00916DB1" w:rsidRPr="00B3623E">
        <w:rPr>
          <w:rFonts w:ascii="Times New Roman" w:hAnsi="Times New Roman" w:cs="Times New Roman"/>
          <w:sz w:val="24"/>
          <w:szCs w:val="24"/>
        </w:rPr>
        <w:t xml:space="preserve"> states that what is not denied in affidavits must be taken to be admitted: </w:t>
      </w:r>
      <w:r w:rsidR="00916DB1" w:rsidRPr="00B3623E">
        <w:rPr>
          <w:rFonts w:ascii="Times New Roman" w:hAnsi="Times New Roman" w:cs="Times New Roman"/>
          <w:i/>
          <w:sz w:val="24"/>
          <w:szCs w:val="24"/>
        </w:rPr>
        <w:t>Fawcett Security Operations</w:t>
      </w:r>
      <w:r w:rsidR="00916DB1" w:rsidRPr="00B3623E">
        <w:rPr>
          <w:rFonts w:ascii="Times New Roman" w:hAnsi="Times New Roman" w:cs="Times New Roman"/>
          <w:sz w:val="24"/>
          <w:szCs w:val="24"/>
        </w:rPr>
        <w:t xml:space="preserve"> v </w:t>
      </w:r>
      <w:r w:rsidR="00916DB1" w:rsidRPr="00B3623E">
        <w:rPr>
          <w:rFonts w:ascii="Times New Roman" w:hAnsi="Times New Roman" w:cs="Times New Roman"/>
          <w:i/>
          <w:sz w:val="24"/>
          <w:szCs w:val="24"/>
        </w:rPr>
        <w:t>Director of Customs &amp; Excise</w:t>
      </w:r>
      <w:r w:rsidR="00916DB1" w:rsidRPr="00B3623E">
        <w:rPr>
          <w:rFonts w:ascii="Times New Roman" w:hAnsi="Times New Roman" w:cs="Times New Roman"/>
          <w:sz w:val="24"/>
          <w:szCs w:val="24"/>
        </w:rPr>
        <w:t xml:space="preserve">, 1993 (2) ZLR 121 (SC); </w:t>
      </w:r>
      <w:r w:rsidR="00916DB1" w:rsidRPr="00B3623E">
        <w:rPr>
          <w:rFonts w:ascii="Times New Roman" w:hAnsi="Times New Roman" w:cs="Times New Roman"/>
          <w:i/>
          <w:sz w:val="24"/>
          <w:szCs w:val="24"/>
        </w:rPr>
        <w:t>D.D Transport (Pvt) Ltd</w:t>
      </w:r>
      <w:r w:rsidR="00916DB1" w:rsidRPr="00B3623E">
        <w:rPr>
          <w:rFonts w:ascii="Times New Roman" w:hAnsi="Times New Roman" w:cs="Times New Roman"/>
          <w:sz w:val="24"/>
          <w:szCs w:val="24"/>
        </w:rPr>
        <w:t xml:space="preserve"> v </w:t>
      </w:r>
      <w:r w:rsidR="00916DB1" w:rsidRPr="00B3623E">
        <w:rPr>
          <w:rFonts w:ascii="Times New Roman" w:hAnsi="Times New Roman" w:cs="Times New Roman"/>
          <w:i/>
          <w:sz w:val="24"/>
          <w:szCs w:val="24"/>
        </w:rPr>
        <w:t>Abbot</w:t>
      </w:r>
      <w:r w:rsidR="00916DB1" w:rsidRPr="00B3623E">
        <w:rPr>
          <w:rFonts w:ascii="Times New Roman" w:hAnsi="Times New Roman" w:cs="Times New Roman"/>
          <w:sz w:val="24"/>
          <w:szCs w:val="24"/>
        </w:rPr>
        <w:t xml:space="preserve">, 1988 (2) ZLR 92. The same principle was succinctly stated in </w:t>
      </w:r>
      <w:r w:rsidR="00916DB1" w:rsidRPr="00B3623E">
        <w:rPr>
          <w:rFonts w:ascii="Times New Roman" w:hAnsi="Times New Roman" w:cs="Times New Roman"/>
          <w:i/>
          <w:sz w:val="24"/>
          <w:szCs w:val="24"/>
        </w:rPr>
        <w:t>Gordon</w:t>
      </w:r>
      <w:r w:rsidR="00916DB1" w:rsidRPr="00B3623E">
        <w:rPr>
          <w:rFonts w:ascii="Times New Roman" w:hAnsi="Times New Roman" w:cs="Times New Roman"/>
          <w:sz w:val="24"/>
          <w:szCs w:val="24"/>
        </w:rPr>
        <w:t xml:space="preserve"> v </w:t>
      </w:r>
      <w:r w:rsidR="00916DB1" w:rsidRPr="00B3623E">
        <w:rPr>
          <w:rFonts w:ascii="Times New Roman" w:hAnsi="Times New Roman" w:cs="Times New Roman"/>
          <w:i/>
          <w:sz w:val="24"/>
          <w:szCs w:val="24"/>
        </w:rPr>
        <w:t>Tarnow</w:t>
      </w:r>
      <w:r w:rsidR="00916DB1" w:rsidRPr="00B3623E">
        <w:rPr>
          <w:rFonts w:ascii="Times New Roman" w:hAnsi="Times New Roman" w:cs="Times New Roman"/>
          <w:sz w:val="24"/>
          <w:szCs w:val="24"/>
        </w:rPr>
        <w:t xml:space="preserve">, 1947 (3) SA 525 (AD) at 531-532 wherein </w:t>
      </w:r>
      <w:r w:rsidR="00916DB1" w:rsidRPr="00B3623E">
        <w:rPr>
          <w:rFonts w:ascii="Times New Roman" w:hAnsi="Times New Roman" w:cs="Times New Roman"/>
          <w:smallCaps/>
          <w:sz w:val="24"/>
          <w:szCs w:val="24"/>
        </w:rPr>
        <w:t>Davies AJA</w:t>
      </w:r>
      <w:r w:rsidR="00916DB1" w:rsidRPr="00B3623E">
        <w:rPr>
          <w:rFonts w:ascii="Times New Roman" w:hAnsi="Times New Roman" w:cs="Times New Roman"/>
          <w:sz w:val="24"/>
          <w:szCs w:val="24"/>
        </w:rPr>
        <w:t xml:space="preserve"> (as he then was) said:</w:t>
      </w:r>
    </w:p>
    <w:p w:rsidR="00916DB1" w:rsidRPr="00B3623E" w:rsidRDefault="00B3623E" w:rsidP="00C44B46">
      <w:pPr>
        <w:spacing w:after="0" w:line="240" w:lineRule="auto"/>
        <w:jc w:val="both"/>
        <w:rPr>
          <w:rFonts w:ascii="Times New Roman" w:hAnsi="Times New Roman" w:cs="Times New Roman"/>
        </w:rPr>
      </w:pPr>
      <w:r>
        <w:rPr>
          <w:rFonts w:ascii="Times New Roman" w:hAnsi="Times New Roman" w:cs="Times New Roman"/>
          <w:sz w:val="24"/>
          <w:szCs w:val="24"/>
        </w:rPr>
        <w:tab/>
      </w:r>
      <w:r w:rsidR="00916DB1" w:rsidRPr="00B3623E">
        <w:rPr>
          <w:rFonts w:ascii="Times New Roman" w:hAnsi="Times New Roman" w:cs="Times New Roman"/>
        </w:rPr>
        <w:t>“But this admission in the plea is of the great</w:t>
      </w:r>
      <w:r w:rsidR="007F7443" w:rsidRPr="00B3623E">
        <w:rPr>
          <w:rFonts w:ascii="Times New Roman" w:hAnsi="Times New Roman" w:cs="Times New Roman"/>
        </w:rPr>
        <w:t>est importance for it is what W</w:t>
      </w:r>
      <w:r w:rsidR="00916DB1" w:rsidRPr="00B3623E">
        <w:rPr>
          <w:rFonts w:ascii="Times New Roman" w:hAnsi="Times New Roman" w:cs="Times New Roman"/>
        </w:rPr>
        <w:t xml:space="preserve">igmore (paras </w:t>
      </w:r>
      <w:r w:rsidRPr="00B3623E">
        <w:rPr>
          <w:rFonts w:ascii="Times New Roman" w:hAnsi="Times New Roman" w:cs="Times New Roman"/>
        </w:rPr>
        <w:tab/>
      </w:r>
      <w:r w:rsidR="00916DB1" w:rsidRPr="00B3623E">
        <w:rPr>
          <w:rFonts w:ascii="Times New Roman" w:hAnsi="Times New Roman" w:cs="Times New Roman"/>
        </w:rPr>
        <w:t>2588-2590) calls a judic</w:t>
      </w:r>
      <w:r w:rsidR="00277078" w:rsidRPr="00B3623E">
        <w:rPr>
          <w:rFonts w:ascii="Times New Roman" w:hAnsi="Times New Roman" w:cs="Times New Roman"/>
        </w:rPr>
        <w:t xml:space="preserve">ial admission (of the </w:t>
      </w:r>
      <w:r w:rsidR="00277078" w:rsidRPr="00B3623E">
        <w:rPr>
          <w:rFonts w:ascii="Times New Roman" w:hAnsi="Times New Roman" w:cs="Times New Roman"/>
          <w:i/>
        </w:rPr>
        <w:t>confessio</w:t>
      </w:r>
      <w:r w:rsidR="00916DB1" w:rsidRPr="00B3623E">
        <w:rPr>
          <w:rFonts w:ascii="Times New Roman" w:hAnsi="Times New Roman" w:cs="Times New Roman"/>
          <w:i/>
        </w:rPr>
        <w:t xml:space="preserve"> judiciallis</w:t>
      </w:r>
      <w:r w:rsidR="00916DB1" w:rsidRPr="00B3623E">
        <w:rPr>
          <w:rFonts w:ascii="Times New Roman" w:hAnsi="Times New Roman" w:cs="Times New Roman"/>
        </w:rPr>
        <w:t xml:space="preserve"> of Voet (42.2.6) which </w:t>
      </w:r>
      <w:r w:rsidRPr="00B3623E">
        <w:rPr>
          <w:rFonts w:ascii="Times New Roman" w:hAnsi="Times New Roman" w:cs="Times New Roman"/>
        </w:rPr>
        <w:tab/>
      </w:r>
      <w:r w:rsidR="00916DB1" w:rsidRPr="00B3623E">
        <w:rPr>
          <w:rFonts w:ascii="Times New Roman" w:hAnsi="Times New Roman" w:cs="Times New Roman"/>
        </w:rPr>
        <w:t xml:space="preserve">is </w:t>
      </w:r>
      <w:r>
        <w:rPr>
          <w:rFonts w:ascii="Times New Roman" w:hAnsi="Times New Roman" w:cs="Times New Roman"/>
        </w:rPr>
        <w:tab/>
      </w:r>
      <w:r w:rsidR="00916DB1" w:rsidRPr="00B3623E">
        <w:rPr>
          <w:rFonts w:ascii="Times New Roman" w:hAnsi="Times New Roman" w:cs="Times New Roman"/>
        </w:rPr>
        <w:t>conclusive rendering it unnecessary for the other party to adduce evidence to prove t</w:t>
      </w:r>
      <w:r w:rsidR="007F7443" w:rsidRPr="00B3623E">
        <w:rPr>
          <w:rFonts w:ascii="Times New Roman" w:hAnsi="Times New Roman" w:cs="Times New Roman"/>
        </w:rPr>
        <w:t xml:space="preserve">he </w:t>
      </w:r>
      <w:r w:rsidRPr="00B3623E">
        <w:rPr>
          <w:rFonts w:ascii="Times New Roman" w:hAnsi="Times New Roman" w:cs="Times New Roman"/>
        </w:rPr>
        <w:tab/>
      </w:r>
      <w:r w:rsidR="007F7443" w:rsidRPr="00B3623E">
        <w:rPr>
          <w:rFonts w:ascii="Times New Roman" w:hAnsi="Times New Roman" w:cs="Times New Roman"/>
        </w:rPr>
        <w:t>admitted fact</w:t>
      </w:r>
      <w:r w:rsidR="00916DB1" w:rsidRPr="00B3623E">
        <w:rPr>
          <w:rFonts w:ascii="Times New Roman" w:hAnsi="Times New Roman" w:cs="Times New Roman"/>
        </w:rPr>
        <w:t xml:space="preserve"> and incompetent for the other party making it to adduce evidence to contradict </w:t>
      </w:r>
      <w:r w:rsidRPr="00B3623E">
        <w:rPr>
          <w:rFonts w:ascii="Times New Roman" w:hAnsi="Times New Roman" w:cs="Times New Roman"/>
        </w:rPr>
        <w:tab/>
      </w:r>
      <w:r>
        <w:rPr>
          <w:rFonts w:ascii="Times New Roman" w:hAnsi="Times New Roman" w:cs="Times New Roman"/>
        </w:rPr>
        <w:t>it.”</w:t>
      </w:r>
    </w:p>
    <w:p w:rsidR="003F50BF"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50BF" w:rsidRPr="00B3623E">
        <w:rPr>
          <w:rFonts w:ascii="Times New Roman" w:hAnsi="Times New Roman" w:cs="Times New Roman"/>
          <w:sz w:val="24"/>
          <w:szCs w:val="24"/>
        </w:rPr>
        <w:t>Apart from the bare denial which he made, Taruvinga does not deny that he represents a splinter group which se</w:t>
      </w:r>
      <w:r w:rsidR="00277078" w:rsidRPr="00B3623E">
        <w:rPr>
          <w:rFonts w:ascii="Times New Roman" w:hAnsi="Times New Roman" w:cs="Times New Roman"/>
          <w:sz w:val="24"/>
          <w:szCs w:val="24"/>
        </w:rPr>
        <w:t>parated itself from the</w:t>
      </w:r>
      <w:r w:rsidR="003F50BF" w:rsidRPr="00B3623E">
        <w:rPr>
          <w:rFonts w:ascii="Times New Roman" w:hAnsi="Times New Roman" w:cs="Times New Roman"/>
          <w:sz w:val="24"/>
          <w:szCs w:val="24"/>
        </w:rPr>
        <w:t xml:space="preserve"> association. He does not deny that Michael Saidi is</w:t>
      </w:r>
      <w:r w:rsidR="00277078" w:rsidRPr="00B3623E">
        <w:rPr>
          <w:rFonts w:ascii="Times New Roman" w:hAnsi="Times New Roman" w:cs="Times New Roman"/>
          <w:sz w:val="24"/>
          <w:szCs w:val="24"/>
        </w:rPr>
        <w:t xml:space="preserve"> </w:t>
      </w:r>
      <w:r w:rsidR="00277078" w:rsidRPr="00B3623E">
        <w:rPr>
          <w:rFonts w:ascii="Times New Roman" w:hAnsi="Times New Roman" w:cs="Times New Roman"/>
          <w:sz w:val="24"/>
          <w:szCs w:val="24"/>
        </w:rPr>
        <w:lastRenderedPageBreak/>
        <w:t>the chairperson of the</w:t>
      </w:r>
      <w:r w:rsidR="003F50BF" w:rsidRPr="00B3623E">
        <w:rPr>
          <w:rFonts w:ascii="Times New Roman" w:hAnsi="Times New Roman" w:cs="Times New Roman"/>
          <w:sz w:val="24"/>
          <w:szCs w:val="24"/>
        </w:rPr>
        <w:t xml:space="preserve"> association. He does not controvert the allegation whic</w:t>
      </w:r>
      <w:r w:rsidR="006A3253" w:rsidRPr="00B3623E">
        <w:rPr>
          <w:rFonts w:ascii="Times New Roman" w:hAnsi="Times New Roman" w:cs="Times New Roman"/>
          <w:sz w:val="24"/>
          <w:szCs w:val="24"/>
        </w:rPr>
        <w:t>h is to the effect that he is</w:t>
      </w:r>
      <w:r w:rsidR="003F50BF" w:rsidRPr="00B3623E">
        <w:rPr>
          <w:rFonts w:ascii="Times New Roman" w:hAnsi="Times New Roman" w:cs="Times New Roman"/>
          <w:sz w:val="24"/>
          <w:szCs w:val="24"/>
        </w:rPr>
        <w:t xml:space="preserve"> a rival faction </w:t>
      </w:r>
      <w:r w:rsidR="00277078" w:rsidRPr="00B3623E">
        <w:rPr>
          <w:rFonts w:ascii="Times New Roman" w:hAnsi="Times New Roman" w:cs="Times New Roman"/>
          <w:sz w:val="24"/>
          <w:szCs w:val="24"/>
        </w:rPr>
        <w:t>of the association</w:t>
      </w:r>
      <w:r w:rsidR="003F50BF" w:rsidRPr="00B3623E">
        <w:rPr>
          <w:rFonts w:ascii="Times New Roman" w:hAnsi="Times New Roman" w:cs="Times New Roman"/>
          <w:sz w:val="24"/>
          <w:szCs w:val="24"/>
        </w:rPr>
        <w:t>. Nor does he deny that the second applicant is a break-away faction which he is sponsoring.</w:t>
      </w:r>
    </w:p>
    <w:p w:rsidR="005A7814"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7814" w:rsidRPr="00B3623E">
        <w:rPr>
          <w:rFonts w:ascii="Times New Roman" w:hAnsi="Times New Roman" w:cs="Times New Roman"/>
          <w:sz w:val="24"/>
          <w:szCs w:val="24"/>
        </w:rPr>
        <w:t>Given the claims of the respondents which Taruvinga does not challenge, Taruvinga cannot be said to be repr</w:t>
      </w:r>
      <w:r w:rsidR="00277078" w:rsidRPr="00B3623E">
        <w:rPr>
          <w:rFonts w:ascii="Times New Roman" w:hAnsi="Times New Roman" w:cs="Times New Roman"/>
          <w:sz w:val="24"/>
          <w:szCs w:val="24"/>
        </w:rPr>
        <w:t>esenting the association</w:t>
      </w:r>
      <w:r w:rsidR="005A7814" w:rsidRPr="00B3623E">
        <w:rPr>
          <w:rFonts w:ascii="Times New Roman" w:hAnsi="Times New Roman" w:cs="Times New Roman"/>
          <w:sz w:val="24"/>
          <w:szCs w:val="24"/>
        </w:rPr>
        <w:t xml:space="preserve"> which is still with the respondents. It is this association which gave bir</w:t>
      </w:r>
      <w:r w:rsidR="00277078" w:rsidRPr="00B3623E">
        <w:rPr>
          <w:rFonts w:ascii="Times New Roman" w:hAnsi="Times New Roman" w:cs="Times New Roman"/>
          <w:sz w:val="24"/>
          <w:szCs w:val="24"/>
        </w:rPr>
        <w:t>th to the trust. The second applicant</w:t>
      </w:r>
      <w:r w:rsidR="005A7814" w:rsidRPr="00B3623E">
        <w:rPr>
          <w:rFonts w:ascii="Times New Roman" w:hAnsi="Times New Roman" w:cs="Times New Roman"/>
          <w:sz w:val="24"/>
          <w:szCs w:val="24"/>
        </w:rPr>
        <w:t xml:space="preserve"> which Taruvinga allegedly sponsors and him cannot, at </w:t>
      </w:r>
      <w:r w:rsidR="00277078" w:rsidRPr="00B3623E">
        <w:rPr>
          <w:rFonts w:ascii="Times New Roman" w:hAnsi="Times New Roman" w:cs="Times New Roman"/>
          <w:sz w:val="24"/>
          <w:szCs w:val="24"/>
        </w:rPr>
        <w:t>law, speak for the</w:t>
      </w:r>
      <w:r w:rsidR="005A7814" w:rsidRPr="00B3623E">
        <w:rPr>
          <w:rFonts w:ascii="Times New Roman" w:hAnsi="Times New Roman" w:cs="Times New Roman"/>
          <w:sz w:val="24"/>
          <w:szCs w:val="24"/>
        </w:rPr>
        <w:t xml:space="preserve"> association. </w:t>
      </w:r>
      <w:r w:rsidR="007F7443" w:rsidRPr="00B3623E">
        <w:rPr>
          <w:rFonts w:ascii="Times New Roman" w:hAnsi="Times New Roman" w:cs="Times New Roman"/>
          <w:sz w:val="24"/>
          <w:szCs w:val="24"/>
        </w:rPr>
        <w:t>He</w:t>
      </w:r>
      <w:r w:rsidR="009B29AE" w:rsidRPr="00B3623E">
        <w:rPr>
          <w:rFonts w:ascii="Times New Roman" w:hAnsi="Times New Roman" w:cs="Times New Roman"/>
          <w:sz w:val="24"/>
          <w:szCs w:val="24"/>
        </w:rPr>
        <w:t xml:space="preserve"> and it</w:t>
      </w:r>
      <w:r w:rsidR="005A7814" w:rsidRPr="00B3623E">
        <w:rPr>
          <w:rFonts w:ascii="Times New Roman" w:hAnsi="Times New Roman" w:cs="Times New Roman"/>
          <w:sz w:val="24"/>
          <w:szCs w:val="24"/>
        </w:rPr>
        <w:t xml:space="preserve"> do not have the locus to sue for</w:t>
      </w:r>
      <w:r w:rsidR="00277078" w:rsidRPr="00B3623E">
        <w:rPr>
          <w:rFonts w:ascii="Times New Roman" w:hAnsi="Times New Roman" w:cs="Times New Roman"/>
          <w:sz w:val="24"/>
          <w:szCs w:val="24"/>
        </w:rPr>
        <w:t>, and on behalf of, the</w:t>
      </w:r>
      <w:r w:rsidR="005A7814" w:rsidRPr="00B3623E">
        <w:rPr>
          <w:rFonts w:ascii="Times New Roman" w:hAnsi="Times New Roman" w:cs="Times New Roman"/>
          <w:sz w:val="24"/>
          <w:szCs w:val="24"/>
        </w:rPr>
        <w:t xml:space="preserve"> association which Michael Saidi is chairing as a trustee of the trust. Neither the </w:t>
      </w:r>
      <w:r w:rsidR="00277078" w:rsidRPr="00B3623E">
        <w:rPr>
          <w:rFonts w:ascii="Times New Roman" w:hAnsi="Times New Roman" w:cs="Times New Roman"/>
          <w:sz w:val="24"/>
          <w:szCs w:val="24"/>
        </w:rPr>
        <w:t>second applicant which Taruvinga</w:t>
      </w:r>
      <w:r w:rsidR="007F7443" w:rsidRPr="00B3623E">
        <w:rPr>
          <w:rFonts w:ascii="Times New Roman" w:hAnsi="Times New Roman" w:cs="Times New Roman"/>
          <w:sz w:val="24"/>
          <w:szCs w:val="24"/>
        </w:rPr>
        <w:t xml:space="preserve"> is sponsoring nor Taruvinga himself</w:t>
      </w:r>
      <w:r w:rsidR="005A7814" w:rsidRPr="00B3623E">
        <w:rPr>
          <w:rFonts w:ascii="Times New Roman" w:hAnsi="Times New Roman" w:cs="Times New Roman"/>
          <w:sz w:val="24"/>
          <w:szCs w:val="24"/>
        </w:rPr>
        <w:t xml:space="preserve"> have a direct and</w:t>
      </w:r>
      <w:r w:rsidR="006A3253" w:rsidRPr="00B3623E">
        <w:rPr>
          <w:rFonts w:ascii="Times New Roman" w:hAnsi="Times New Roman" w:cs="Times New Roman"/>
          <w:sz w:val="24"/>
          <w:szCs w:val="24"/>
        </w:rPr>
        <w:t>/or</w:t>
      </w:r>
      <w:r w:rsidR="005A7814" w:rsidRPr="00B3623E">
        <w:rPr>
          <w:rFonts w:ascii="Times New Roman" w:hAnsi="Times New Roman" w:cs="Times New Roman"/>
          <w:sz w:val="24"/>
          <w:szCs w:val="24"/>
        </w:rPr>
        <w:t xml:space="preserve"> subst</w:t>
      </w:r>
      <w:r w:rsidR="00277078" w:rsidRPr="00B3623E">
        <w:rPr>
          <w:rFonts w:ascii="Times New Roman" w:hAnsi="Times New Roman" w:cs="Times New Roman"/>
          <w:sz w:val="24"/>
          <w:szCs w:val="24"/>
        </w:rPr>
        <w:t xml:space="preserve">antial interest in the association </w:t>
      </w:r>
      <w:r w:rsidR="006A3253" w:rsidRPr="00B3623E">
        <w:rPr>
          <w:rFonts w:ascii="Times New Roman" w:hAnsi="Times New Roman" w:cs="Times New Roman"/>
          <w:sz w:val="24"/>
          <w:szCs w:val="24"/>
        </w:rPr>
        <w:t>and the trust which is the</w:t>
      </w:r>
      <w:r w:rsidR="005A7814" w:rsidRPr="00B3623E">
        <w:rPr>
          <w:rFonts w:ascii="Times New Roman" w:hAnsi="Times New Roman" w:cs="Times New Roman"/>
          <w:sz w:val="24"/>
          <w:szCs w:val="24"/>
        </w:rPr>
        <w:t xml:space="preserve"> brain child</w:t>
      </w:r>
      <w:r w:rsidR="006A3253" w:rsidRPr="00B3623E">
        <w:rPr>
          <w:rFonts w:ascii="Times New Roman" w:hAnsi="Times New Roman" w:cs="Times New Roman"/>
          <w:sz w:val="24"/>
          <w:szCs w:val="24"/>
        </w:rPr>
        <w:t xml:space="preserve"> of the ass</w:t>
      </w:r>
      <w:r w:rsidR="009B29AE" w:rsidRPr="00B3623E">
        <w:rPr>
          <w:rFonts w:ascii="Times New Roman" w:hAnsi="Times New Roman" w:cs="Times New Roman"/>
          <w:sz w:val="24"/>
          <w:szCs w:val="24"/>
        </w:rPr>
        <w:t>o</w:t>
      </w:r>
      <w:r w:rsidR="006A3253" w:rsidRPr="00B3623E">
        <w:rPr>
          <w:rFonts w:ascii="Times New Roman" w:hAnsi="Times New Roman" w:cs="Times New Roman"/>
          <w:sz w:val="24"/>
          <w:szCs w:val="24"/>
        </w:rPr>
        <w:t>ciation</w:t>
      </w:r>
      <w:r w:rsidR="005A7814" w:rsidRPr="00B3623E">
        <w:rPr>
          <w:rFonts w:ascii="Times New Roman" w:hAnsi="Times New Roman" w:cs="Times New Roman"/>
          <w:sz w:val="24"/>
          <w:szCs w:val="24"/>
        </w:rPr>
        <w:t>.</w:t>
      </w:r>
    </w:p>
    <w:p w:rsidR="00DA6CDB"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CDB" w:rsidRPr="00B3623E">
        <w:rPr>
          <w:rFonts w:ascii="Times New Roman" w:hAnsi="Times New Roman" w:cs="Times New Roman"/>
          <w:sz w:val="24"/>
          <w:szCs w:val="24"/>
        </w:rPr>
        <w:t xml:space="preserve">Locus, simply and legally understood, is the right of a person to bring proceedings in court on behalf of </w:t>
      </w:r>
      <w:r w:rsidR="006A3253" w:rsidRPr="00B3623E">
        <w:rPr>
          <w:rFonts w:ascii="Times New Roman" w:hAnsi="Times New Roman" w:cs="Times New Roman"/>
          <w:sz w:val="24"/>
          <w:szCs w:val="24"/>
        </w:rPr>
        <w:t xml:space="preserve">himself or </w:t>
      </w:r>
      <w:r w:rsidR="00DA6CDB" w:rsidRPr="00B3623E">
        <w:rPr>
          <w:rFonts w:ascii="Times New Roman" w:hAnsi="Times New Roman" w:cs="Times New Roman"/>
          <w:sz w:val="24"/>
          <w:szCs w:val="24"/>
        </w:rPr>
        <w:t xml:space="preserve">a person or an entity to which the person suing has a direct and substantial interest. To have locus, the person who is suing must justify the existence of such a right by showing that he has a direct and substantial interest in the subject-matter and the outcome of the litigation: </w:t>
      </w:r>
      <w:r w:rsidR="00DA6CDB" w:rsidRPr="00B3623E">
        <w:rPr>
          <w:rFonts w:ascii="Times New Roman" w:hAnsi="Times New Roman" w:cs="Times New Roman"/>
          <w:i/>
          <w:sz w:val="24"/>
          <w:szCs w:val="24"/>
        </w:rPr>
        <w:t>ZIMTA &amp; Ors</w:t>
      </w:r>
      <w:r w:rsidR="00DA6CDB" w:rsidRPr="00B3623E">
        <w:rPr>
          <w:rFonts w:ascii="Times New Roman" w:hAnsi="Times New Roman" w:cs="Times New Roman"/>
          <w:sz w:val="24"/>
          <w:szCs w:val="24"/>
        </w:rPr>
        <w:t xml:space="preserve"> v </w:t>
      </w:r>
      <w:r w:rsidR="00DA6CDB" w:rsidRPr="00B3623E">
        <w:rPr>
          <w:rFonts w:ascii="Times New Roman" w:hAnsi="Times New Roman" w:cs="Times New Roman"/>
          <w:i/>
          <w:sz w:val="24"/>
          <w:szCs w:val="24"/>
        </w:rPr>
        <w:t>Minister of Education &amp; Culture</w:t>
      </w:r>
      <w:r w:rsidR="00DA6CDB" w:rsidRPr="00B3623E">
        <w:rPr>
          <w:rFonts w:ascii="Times New Roman" w:hAnsi="Times New Roman" w:cs="Times New Roman"/>
          <w:sz w:val="24"/>
          <w:szCs w:val="24"/>
        </w:rPr>
        <w:t>,</w:t>
      </w:r>
      <w:r>
        <w:rPr>
          <w:rFonts w:ascii="Times New Roman" w:hAnsi="Times New Roman" w:cs="Times New Roman"/>
          <w:sz w:val="24"/>
          <w:szCs w:val="24"/>
        </w:rPr>
        <w:t xml:space="preserve"> </w:t>
      </w:r>
      <w:r w:rsidR="00DA6CDB" w:rsidRPr="00B3623E">
        <w:rPr>
          <w:rFonts w:ascii="Times New Roman" w:hAnsi="Times New Roman" w:cs="Times New Roman"/>
          <w:sz w:val="24"/>
          <w:szCs w:val="24"/>
        </w:rPr>
        <w:t xml:space="preserve">1990 (2) ZLR 48 (HC) 52; </w:t>
      </w:r>
      <w:r w:rsidR="00DA6CDB" w:rsidRPr="00307954">
        <w:rPr>
          <w:rFonts w:ascii="Times New Roman" w:hAnsi="Times New Roman" w:cs="Times New Roman"/>
          <w:i/>
          <w:sz w:val="24"/>
          <w:szCs w:val="24"/>
        </w:rPr>
        <w:t>Henry Vilijoen (Pvt) Ltd</w:t>
      </w:r>
      <w:r w:rsidR="00DA6CDB" w:rsidRPr="00B3623E">
        <w:rPr>
          <w:rFonts w:ascii="Times New Roman" w:hAnsi="Times New Roman" w:cs="Times New Roman"/>
          <w:sz w:val="24"/>
          <w:szCs w:val="24"/>
        </w:rPr>
        <w:t xml:space="preserve"> v </w:t>
      </w:r>
      <w:r w:rsidR="00DA6CDB" w:rsidRPr="00307954">
        <w:rPr>
          <w:rFonts w:ascii="Times New Roman" w:hAnsi="Times New Roman" w:cs="Times New Roman"/>
          <w:i/>
          <w:sz w:val="24"/>
          <w:szCs w:val="24"/>
        </w:rPr>
        <w:t>Aweburch Brothers</w:t>
      </w:r>
      <w:r w:rsidR="00DA6CDB" w:rsidRPr="00B3623E">
        <w:rPr>
          <w:rFonts w:ascii="Times New Roman" w:hAnsi="Times New Roman" w:cs="Times New Roman"/>
          <w:sz w:val="24"/>
          <w:szCs w:val="24"/>
        </w:rPr>
        <w:t xml:space="preserve">, 1953 (2) SA 151; </w:t>
      </w:r>
      <w:r w:rsidR="00DA6CDB" w:rsidRPr="00307954">
        <w:rPr>
          <w:rFonts w:ascii="Times New Roman" w:hAnsi="Times New Roman" w:cs="Times New Roman"/>
          <w:i/>
          <w:sz w:val="24"/>
          <w:szCs w:val="24"/>
        </w:rPr>
        <w:t>Deary NO</w:t>
      </w:r>
      <w:r w:rsidR="00DA6CDB" w:rsidRPr="00B3623E">
        <w:rPr>
          <w:rFonts w:ascii="Times New Roman" w:hAnsi="Times New Roman" w:cs="Times New Roman"/>
          <w:sz w:val="24"/>
          <w:szCs w:val="24"/>
        </w:rPr>
        <w:t xml:space="preserve"> v </w:t>
      </w:r>
      <w:r w:rsidR="00DA6CDB" w:rsidRPr="00307954">
        <w:rPr>
          <w:rFonts w:ascii="Times New Roman" w:hAnsi="Times New Roman" w:cs="Times New Roman"/>
          <w:i/>
          <w:sz w:val="24"/>
          <w:szCs w:val="24"/>
        </w:rPr>
        <w:t>Acting President &amp; Ors</w:t>
      </w:r>
      <w:r w:rsidR="00DA6CDB" w:rsidRPr="00B3623E">
        <w:rPr>
          <w:rFonts w:ascii="Times New Roman" w:hAnsi="Times New Roman" w:cs="Times New Roman"/>
          <w:sz w:val="24"/>
          <w:szCs w:val="24"/>
        </w:rPr>
        <w:t>, 1979 RLR 200 (G).</w:t>
      </w:r>
    </w:p>
    <w:p w:rsidR="00B97305"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7305" w:rsidRPr="00B3623E">
        <w:rPr>
          <w:rFonts w:ascii="Times New Roman" w:hAnsi="Times New Roman" w:cs="Times New Roman"/>
          <w:sz w:val="24"/>
          <w:szCs w:val="24"/>
        </w:rPr>
        <w:t>Where it is shown, as it has been, that neither the second applicant nor Taruvinga has the locus to sue the respondents, the matter is at an end. They cannot sue because they have no cause of action against the respondents. Their case, it would appear, is materially divorced from that of the respondents</w:t>
      </w:r>
      <w:r w:rsidR="009B29AE" w:rsidRPr="00B3623E">
        <w:rPr>
          <w:rFonts w:ascii="Times New Roman" w:hAnsi="Times New Roman" w:cs="Times New Roman"/>
          <w:sz w:val="24"/>
          <w:szCs w:val="24"/>
        </w:rPr>
        <w:t xml:space="preserve"> and the trust</w:t>
      </w:r>
      <w:r w:rsidR="00B97305" w:rsidRPr="00B3623E">
        <w:rPr>
          <w:rFonts w:ascii="Times New Roman" w:hAnsi="Times New Roman" w:cs="Times New Roman"/>
          <w:sz w:val="24"/>
          <w:szCs w:val="24"/>
        </w:rPr>
        <w:t xml:space="preserve">. They have their own area of operation which is separate and distinct from that of </w:t>
      </w:r>
      <w:r w:rsidR="009B29AE" w:rsidRPr="00B3623E">
        <w:rPr>
          <w:rFonts w:ascii="Times New Roman" w:hAnsi="Times New Roman" w:cs="Times New Roman"/>
          <w:sz w:val="24"/>
          <w:szCs w:val="24"/>
        </w:rPr>
        <w:t>the respondents and the</w:t>
      </w:r>
      <w:r w:rsidR="00B97305" w:rsidRPr="00B3623E">
        <w:rPr>
          <w:rFonts w:ascii="Times New Roman" w:hAnsi="Times New Roman" w:cs="Times New Roman"/>
          <w:sz w:val="24"/>
          <w:szCs w:val="24"/>
        </w:rPr>
        <w:t xml:space="preserve"> trust.</w:t>
      </w:r>
      <w:r w:rsidR="00277078" w:rsidRPr="00B3623E">
        <w:rPr>
          <w:rFonts w:ascii="Times New Roman" w:hAnsi="Times New Roman" w:cs="Times New Roman"/>
          <w:sz w:val="24"/>
          <w:szCs w:val="24"/>
        </w:rPr>
        <w:t xml:space="preserve"> Taruvinga and the second applicant</w:t>
      </w:r>
      <w:r w:rsidR="00183756" w:rsidRPr="00B3623E">
        <w:rPr>
          <w:rFonts w:ascii="Times New Roman" w:hAnsi="Times New Roman" w:cs="Times New Roman"/>
          <w:sz w:val="24"/>
          <w:szCs w:val="24"/>
        </w:rPr>
        <w:t xml:space="preserve"> which he fronts cannot poke their noses into the trust which is not their brain child. They should leave that to the respond</w:t>
      </w:r>
      <w:r w:rsidR="003D743C" w:rsidRPr="00B3623E">
        <w:rPr>
          <w:rFonts w:ascii="Times New Roman" w:hAnsi="Times New Roman" w:cs="Times New Roman"/>
          <w:sz w:val="24"/>
          <w:szCs w:val="24"/>
        </w:rPr>
        <w:t>ent</w:t>
      </w:r>
      <w:r w:rsidR="006A3253" w:rsidRPr="00B3623E">
        <w:rPr>
          <w:rFonts w:ascii="Times New Roman" w:hAnsi="Times New Roman" w:cs="Times New Roman"/>
          <w:sz w:val="24"/>
          <w:szCs w:val="24"/>
        </w:rPr>
        <w:t>s who formed and nurtured the association</w:t>
      </w:r>
      <w:r w:rsidR="009B29AE" w:rsidRPr="00B3623E">
        <w:rPr>
          <w:rFonts w:ascii="Times New Roman" w:hAnsi="Times New Roman" w:cs="Times New Roman"/>
          <w:sz w:val="24"/>
          <w:szCs w:val="24"/>
        </w:rPr>
        <w:t xml:space="preserve"> and the trust</w:t>
      </w:r>
      <w:r w:rsidR="0005702D" w:rsidRPr="00B3623E">
        <w:rPr>
          <w:rFonts w:ascii="Times New Roman" w:hAnsi="Times New Roman" w:cs="Times New Roman"/>
          <w:sz w:val="24"/>
          <w:szCs w:val="24"/>
        </w:rPr>
        <w:t xml:space="preserve"> from the date of their</w:t>
      </w:r>
      <w:r w:rsidR="003D743C" w:rsidRPr="00B3623E">
        <w:rPr>
          <w:rFonts w:ascii="Times New Roman" w:hAnsi="Times New Roman" w:cs="Times New Roman"/>
          <w:sz w:val="24"/>
          <w:szCs w:val="24"/>
        </w:rPr>
        <w:t xml:space="preserve"> birth todate.</w:t>
      </w:r>
    </w:p>
    <w:p w:rsidR="006A3253" w:rsidRPr="00B3623E" w:rsidRDefault="002A16C9" w:rsidP="00C44B46">
      <w:pPr>
        <w:spacing w:after="0" w:line="360" w:lineRule="auto"/>
        <w:jc w:val="both"/>
        <w:rPr>
          <w:rFonts w:ascii="Times New Roman" w:hAnsi="Times New Roman" w:cs="Times New Roman"/>
          <w:sz w:val="24"/>
          <w:szCs w:val="24"/>
        </w:rPr>
      </w:pPr>
      <w:r w:rsidRPr="00B3623E">
        <w:rPr>
          <w:rFonts w:ascii="Times New Roman" w:hAnsi="Times New Roman" w:cs="Times New Roman"/>
          <w:sz w:val="24"/>
          <w:szCs w:val="24"/>
        </w:rPr>
        <w:t>Apart from the findings which are to the effect</w:t>
      </w:r>
      <w:r w:rsidR="006A3253" w:rsidRPr="00B3623E">
        <w:rPr>
          <w:rFonts w:ascii="Times New Roman" w:hAnsi="Times New Roman" w:cs="Times New Roman"/>
          <w:sz w:val="24"/>
          <w:szCs w:val="24"/>
        </w:rPr>
        <w:t xml:space="preserve"> that Taruvinga and the second applicant who is out of court do not have the locus</w:t>
      </w:r>
      <w:r w:rsidR="00152306" w:rsidRPr="00B3623E">
        <w:rPr>
          <w:rFonts w:ascii="Times New Roman" w:hAnsi="Times New Roman" w:cs="Times New Roman"/>
          <w:sz w:val="24"/>
          <w:szCs w:val="24"/>
        </w:rPr>
        <w:t xml:space="preserve"> to sue,</w:t>
      </w:r>
      <w:r w:rsidR="007F7443" w:rsidRPr="00B3623E">
        <w:rPr>
          <w:rFonts w:ascii="Times New Roman" w:hAnsi="Times New Roman" w:cs="Times New Roman"/>
          <w:sz w:val="24"/>
          <w:szCs w:val="24"/>
        </w:rPr>
        <w:t xml:space="preserve"> </w:t>
      </w:r>
      <w:r w:rsidR="00152306" w:rsidRPr="00B3623E">
        <w:rPr>
          <w:rFonts w:ascii="Times New Roman" w:hAnsi="Times New Roman" w:cs="Times New Roman"/>
          <w:sz w:val="24"/>
          <w:szCs w:val="24"/>
        </w:rPr>
        <w:t>or any cause of action against,</w:t>
      </w:r>
      <w:r w:rsidR="006A3253" w:rsidRPr="00B3623E">
        <w:rPr>
          <w:rFonts w:ascii="Times New Roman" w:hAnsi="Times New Roman" w:cs="Times New Roman"/>
          <w:sz w:val="24"/>
          <w:szCs w:val="24"/>
        </w:rPr>
        <w:t xml:space="preserve"> the respondent</w:t>
      </w:r>
      <w:r w:rsidR="00152306" w:rsidRPr="00B3623E">
        <w:rPr>
          <w:rFonts w:ascii="Times New Roman" w:hAnsi="Times New Roman" w:cs="Times New Roman"/>
          <w:sz w:val="24"/>
          <w:szCs w:val="24"/>
        </w:rPr>
        <w:t>s and the trust,</w:t>
      </w:r>
      <w:r w:rsidR="000834D2" w:rsidRPr="00B3623E">
        <w:rPr>
          <w:rFonts w:ascii="Times New Roman" w:hAnsi="Times New Roman" w:cs="Times New Roman"/>
          <w:sz w:val="24"/>
          <w:szCs w:val="24"/>
        </w:rPr>
        <w:t xml:space="preserve"> the application of Taruvinga is in complete violation of the law which asserts that an applicant stands or falls on its founding affidavit. This law was</w:t>
      </w:r>
      <w:r w:rsidRPr="00B3623E">
        <w:rPr>
          <w:rFonts w:ascii="Times New Roman" w:hAnsi="Times New Roman" w:cs="Times New Roman"/>
          <w:sz w:val="24"/>
          <w:szCs w:val="24"/>
        </w:rPr>
        <w:t xml:space="preserve"> succinctly</w:t>
      </w:r>
      <w:r w:rsidR="000834D2" w:rsidRPr="00B3623E">
        <w:rPr>
          <w:rFonts w:ascii="Times New Roman" w:hAnsi="Times New Roman" w:cs="Times New Roman"/>
          <w:sz w:val="24"/>
          <w:szCs w:val="24"/>
        </w:rPr>
        <w:t xml:space="preserve"> enunc</w:t>
      </w:r>
      <w:r w:rsidRPr="00B3623E">
        <w:rPr>
          <w:rFonts w:ascii="Times New Roman" w:hAnsi="Times New Roman" w:cs="Times New Roman"/>
          <w:sz w:val="24"/>
          <w:szCs w:val="24"/>
        </w:rPr>
        <w:t>iated</w:t>
      </w:r>
      <w:r w:rsidR="001D723E" w:rsidRPr="00B3623E">
        <w:rPr>
          <w:rFonts w:ascii="Times New Roman" w:hAnsi="Times New Roman" w:cs="Times New Roman"/>
          <w:sz w:val="24"/>
          <w:szCs w:val="24"/>
        </w:rPr>
        <w:t xml:space="preserve"> in a number of case authorities. N</w:t>
      </w:r>
      <w:r w:rsidR="006400A9" w:rsidRPr="00B3623E">
        <w:rPr>
          <w:rFonts w:ascii="Times New Roman" w:hAnsi="Times New Roman" w:cs="Times New Roman"/>
          <w:sz w:val="24"/>
          <w:szCs w:val="24"/>
        </w:rPr>
        <w:t>otable amongst</w:t>
      </w:r>
      <w:r w:rsidR="00804DF0" w:rsidRPr="00B3623E">
        <w:rPr>
          <w:rFonts w:ascii="Times New Roman" w:hAnsi="Times New Roman" w:cs="Times New Roman"/>
          <w:sz w:val="24"/>
          <w:szCs w:val="24"/>
        </w:rPr>
        <w:t xml:space="preserve"> such authorities are those of </w:t>
      </w:r>
      <w:r w:rsidR="00804DF0" w:rsidRPr="00307954">
        <w:rPr>
          <w:rFonts w:ascii="Times New Roman" w:hAnsi="Times New Roman" w:cs="Times New Roman"/>
          <w:i/>
          <w:sz w:val="24"/>
          <w:szCs w:val="24"/>
        </w:rPr>
        <w:t>Maurberger v Maurberger</w:t>
      </w:r>
      <w:r w:rsidR="00804DF0" w:rsidRPr="00B3623E">
        <w:rPr>
          <w:rFonts w:ascii="Times New Roman" w:hAnsi="Times New Roman" w:cs="Times New Roman"/>
          <w:sz w:val="24"/>
          <w:szCs w:val="24"/>
        </w:rPr>
        <w:t xml:space="preserve">, 1948 (3) SA </w:t>
      </w:r>
      <w:r w:rsidR="00804DF0" w:rsidRPr="00B3623E">
        <w:rPr>
          <w:rFonts w:ascii="Times New Roman" w:hAnsi="Times New Roman" w:cs="Times New Roman"/>
          <w:sz w:val="24"/>
          <w:szCs w:val="24"/>
        </w:rPr>
        <w:lastRenderedPageBreak/>
        <w:t xml:space="preserve">731 ( C ); </w:t>
      </w:r>
      <w:r w:rsidR="00804DF0" w:rsidRPr="00307954">
        <w:rPr>
          <w:rFonts w:ascii="Times New Roman" w:hAnsi="Times New Roman" w:cs="Times New Roman"/>
          <w:i/>
          <w:sz w:val="24"/>
          <w:szCs w:val="24"/>
        </w:rPr>
        <w:t>De Villiers</w:t>
      </w:r>
      <w:r w:rsidR="00804DF0" w:rsidRPr="00B3623E">
        <w:rPr>
          <w:rFonts w:ascii="Times New Roman" w:hAnsi="Times New Roman" w:cs="Times New Roman"/>
          <w:sz w:val="24"/>
          <w:szCs w:val="24"/>
        </w:rPr>
        <w:t xml:space="preserve"> v De Villiers, 1943 TPD 60; </w:t>
      </w:r>
      <w:r w:rsidR="00804DF0" w:rsidRPr="00307954">
        <w:rPr>
          <w:rFonts w:ascii="Times New Roman" w:hAnsi="Times New Roman" w:cs="Times New Roman"/>
          <w:i/>
          <w:sz w:val="24"/>
          <w:szCs w:val="24"/>
        </w:rPr>
        <w:t>S.A Railways Club</w:t>
      </w:r>
      <w:r w:rsidR="00804DF0" w:rsidRPr="00B3623E">
        <w:rPr>
          <w:rFonts w:ascii="Times New Roman" w:hAnsi="Times New Roman" w:cs="Times New Roman"/>
          <w:sz w:val="24"/>
          <w:szCs w:val="24"/>
        </w:rPr>
        <w:t xml:space="preserve"> v </w:t>
      </w:r>
      <w:r w:rsidR="00804DF0" w:rsidRPr="00307954">
        <w:rPr>
          <w:rFonts w:ascii="Times New Roman" w:hAnsi="Times New Roman" w:cs="Times New Roman"/>
          <w:i/>
          <w:sz w:val="24"/>
          <w:szCs w:val="24"/>
        </w:rPr>
        <w:t>Gordonian Liquor Licensing Board</w:t>
      </w:r>
      <w:r w:rsidR="00804DF0" w:rsidRPr="00B3623E">
        <w:rPr>
          <w:rFonts w:ascii="Times New Roman" w:hAnsi="Times New Roman" w:cs="Times New Roman"/>
          <w:sz w:val="24"/>
          <w:szCs w:val="24"/>
        </w:rPr>
        <w:t xml:space="preserve">, 1953 (3) SA 526 and </w:t>
      </w:r>
      <w:r w:rsidR="00804DF0" w:rsidRPr="00307954">
        <w:rPr>
          <w:rFonts w:ascii="Times New Roman" w:hAnsi="Times New Roman" w:cs="Times New Roman"/>
          <w:i/>
          <w:sz w:val="24"/>
          <w:szCs w:val="24"/>
        </w:rPr>
        <w:t>Bayat &amp; Ors</w:t>
      </w:r>
      <w:r w:rsidR="00804DF0" w:rsidRPr="00B3623E">
        <w:rPr>
          <w:rFonts w:ascii="Times New Roman" w:hAnsi="Times New Roman" w:cs="Times New Roman"/>
          <w:sz w:val="24"/>
          <w:szCs w:val="24"/>
        </w:rPr>
        <w:t xml:space="preserve"> v </w:t>
      </w:r>
      <w:r w:rsidR="00804DF0" w:rsidRPr="00307954">
        <w:rPr>
          <w:rFonts w:ascii="Times New Roman" w:hAnsi="Times New Roman" w:cs="Times New Roman"/>
          <w:i/>
          <w:sz w:val="24"/>
          <w:szCs w:val="24"/>
        </w:rPr>
        <w:t>Hansa &amp; Anor</w:t>
      </w:r>
      <w:r w:rsidR="00804DF0" w:rsidRPr="00B3623E">
        <w:rPr>
          <w:rFonts w:ascii="Times New Roman" w:hAnsi="Times New Roman" w:cs="Times New Roman"/>
          <w:sz w:val="24"/>
          <w:szCs w:val="24"/>
        </w:rPr>
        <w:t>, 1955 (3) SA</w:t>
      </w:r>
      <w:r w:rsidR="00152306" w:rsidRPr="00B3623E">
        <w:rPr>
          <w:rFonts w:ascii="Times New Roman" w:hAnsi="Times New Roman" w:cs="Times New Roman"/>
          <w:sz w:val="24"/>
          <w:szCs w:val="24"/>
        </w:rPr>
        <w:t>547 at 553 which states</w:t>
      </w:r>
      <w:r w:rsidR="00804DF0" w:rsidRPr="00B3623E">
        <w:rPr>
          <w:rFonts w:ascii="Times New Roman" w:hAnsi="Times New Roman" w:cs="Times New Roman"/>
          <w:sz w:val="24"/>
          <w:szCs w:val="24"/>
        </w:rPr>
        <w:t xml:space="preserve"> that:</w:t>
      </w:r>
    </w:p>
    <w:p w:rsidR="00804DF0" w:rsidRPr="00B3623E" w:rsidRDefault="00307954" w:rsidP="00C44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04DF0" w:rsidRPr="00307954">
        <w:rPr>
          <w:rFonts w:ascii="Times New Roman" w:hAnsi="Times New Roman" w:cs="Times New Roman"/>
        </w:rPr>
        <w:t>“….</w:t>
      </w:r>
      <w:r w:rsidRPr="00307954">
        <w:rPr>
          <w:rFonts w:ascii="Times New Roman" w:hAnsi="Times New Roman" w:cs="Times New Roman"/>
        </w:rPr>
        <w:t>.an applicant for relief must (</w:t>
      </w:r>
      <w:r w:rsidR="00804DF0" w:rsidRPr="00307954">
        <w:rPr>
          <w:rFonts w:ascii="Times New Roman" w:hAnsi="Times New Roman" w:cs="Times New Roman"/>
        </w:rPr>
        <w:t xml:space="preserve">save in exceptional circumstances) make his case and </w:t>
      </w:r>
      <w:r w:rsidRPr="00307954">
        <w:rPr>
          <w:rFonts w:ascii="Times New Roman" w:hAnsi="Times New Roman" w:cs="Times New Roman"/>
        </w:rPr>
        <w:tab/>
      </w:r>
      <w:r w:rsidR="00804DF0" w:rsidRPr="00307954">
        <w:rPr>
          <w:rFonts w:ascii="Times New Roman" w:hAnsi="Times New Roman" w:cs="Times New Roman"/>
        </w:rPr>
        <w:t xml:space="preserve">produce </w:t>
      </w:r>
      <w:r>
        <w:rPr>
          <w:rFonts w:ascii="Times New Roman" w:hAnsi="Times New Roman" w:cs="Times New Roman"/>
        </w:rPr>
        <w:tab/>
      </w:r>
      <w:r w:rsidR="00804DF0" w:rsidRPr="00307954">
        <w:rPr>
          <w:rFonts w:ascii="Times New Roman" w:hAnsi="Times New Roman" w:cs="Times New Roman"/>
        </w:rPr>
        <w:t>all the evidence he desires to use in support of it, in his af</w:t>
      </w:r>
      <w:r w:rsidR="00EE760A" w:rsidRPr="00307954">
        <w:rPr>
          <w:rFonts w:ascii="Times New Roman" w:hAnsi="Times New Roman" w:cs="Times New Roman"/>
        </w:rPr>
        <w:t xml:space="preserve">fidavits filed with the </w:t>
      </w:r>
      <w:r>
        <w:rPr>
          <w:rFonts w:ascii="Times New Roman" w:hAnsi="Times New Roman" w:cs="Times New Roman"/>
        </w:rPr>
        <w:t xml:space="preserve">notice </w:t>
      </w:r>
      <w:r w:rsidR="00EE760A" w:rsidRPr="00307954">
        <w:rPr>
          <w:rFonts w:ascii="Times New Roman" w:hAnsi="Times New Roman" w:cs="Times New Roman"/>
        </w:rPr>
        <w:t xml:space="preserve">of </w:t>
      </w:r>
      <w:r>
        <w:rPr>
          <w:rFonts w:ascii="Times New Roman" w:hAnsi="Times New Roman" w:cs="Times New Roman"/>
        </w:rPr>
        <w:tab/>
      </w:r>
      <w:r w:rsidR="00EE760A" w:rsidRPr="00307954">
        <w:rPr>
          <w:rFonts w:ascii="Times New Roman" w:hAnsi="Times New Roman" w:cs="Times New Roman"/>
        </w:rPr>
        <w:t xml:space="preserve">motion, </w:t>
      </w:r>
      <w:r>
        <w:rPr>
          <w:rFonts w:ascii="Times New Roman" w:hAnsi="Times New Roman" w:cs="Times New Roman"/>
        </w:rPr>
        <w:tab/>
      </w:r>
      <w:r w:rsidR="00EE760A" w:rsidRPr="00307954">
        <w:rPr>
          <w:rFonts w:ascii="Times New Roman" w:hAnsi="Times New Roman" w:cs="Times New Roman"/>
        </w:rPr>
        <w:t xml:space="preserve">whether he is moving </w:t>
      </w:r>
      <w:r w:rsidR="00EE760A" w:rsidRPr="00307954">
        <w:rPr>
          <w:rFonts w:ascii="Times New Roman" w:hAnsi="Times New Roman" w:cs="Times New Roman"/>
          <w:i/>
        </w:rPr>
        <w:t>ex parte</w:t>
      </w:r>
      <w:r w:rsidR="00EE760A" w:rsidRPr="00307954">
        <w:rPr>
          <w:rFonts w:ascii="Times New Roman" w:hAnsi="Times New Roman" w:cs="Times New Roman"/>
        </w:rPr>
        <w:t xml:space="preserve">, or on notice to the respondent, and is not </w:t>
      </w:r>
      <w:r w:rsidRPr="00307954">
        <w:rPr>
          <w:rFonts w:ascii="Times New Roman" w:hAnsi="Times New Roman" w:cs="Times New Roman"/>
        </w:rPr>
        <w:tab/>
      </w:r>
      <w:r>
        <w:rPr>
          <w:rFonts w:ascii="Times New Roman" w:hAnsi="Times New Roman" w:cs="Times New Roman"/>
        </w:rPr>
        <w:t xml:space="preserve">permitted </w:t>
      </w:r>
      <w:r w:rsidR="00EE760A" w:rsidRPr="00307954">
        <w:rPr>
          <w:rFonts w:ascii="Times New Roman" w:hAnsi="Times New Roman" w:cs="Times New Roman"/>
        </w:rPr>
        <w:t xml:space="preserve">to supplement </w:t>
      </w:r>
      <w:r>
        <w:rPr>
          <w:rFonts w:ascii="Times New Roman" w:hAnsi="Times New Roman" w:cs="Times New Roman"/>
        </w:rPr>
        <w:tab/>
      </w:r>
      <w:r w:rsidR="00EE760A" w:rsidRPr="00307954">
        <w:rPr>
          <w:rFonts w:ascii="Times New Roman" w:hAnsi="Times New Roman" w:cs="Times New Roman"/>
        </w:rPr>
        <w:t xml:space="preserve">it in </w:t>
      </w:r>
      <w:r w:rsidRPr="00307954">
        <w:rPr>
          <w:rFonts w:ascii="Times New Roman" w:hAnsi="Times New Roman" w:cs="Times New Roman"/>
        </w:rPr>
        <w:t>his replying affidavit (</w:t>
      </w:r>
      <w:r w:rsidR="00EE760A" w:rsidRPr="00307954">
        <w:rPr>
          <w:rFonts w:ascii="Times New Roman" w:hAnsi="Times New Roman" w:cs="Times New Roman"/>
        </w:rPr>
        <w:t xml:space="preserve">the purpose of which is to reply to averments made by the </w:t>
      </w:r>
      <w:r>
        <w:rPr>
          <w:rFonts w:ascii="Times New Roman" w:hAnsi="Times New Roman" w:cs="Times New Roman"/>
        </w:rPr>
        <w:tab/>
      </w:r>
      <w:r w:rsidR="00EE760A" w:rsidRPr="00307954">
        <w:rPr>
          <w:rFonts w:ascii="Times New Roman" w:hAnsi="Times New Roman" w:cs="Times New Roman"/>
        </w:rPr>
        <w:t>respondent</w:t>
      </w:r>
      <w:r w:rsidR="00EE760A" w:rsidRPr="00B3623E">
        <w:rPr>
          <w:rFonts w:ascii="Times New Roman" w:hAnsi="Times New Roman" w:cs="Times New Roman"/>
          <w:sz w:val="24"/>
          <w:szCs w:val="24"/>
        </w:rPr>
        <w:t xml:space="preserve">) in his </w:t>
      </w:r>
      <w:r w:rsidR="00EE760A" w:rsidRPr="00307954">
        <w:rPr>
          <w:rFonts w:ascii="Times New Roman" w:hAnsi="Times New Roman" w:cs="Times New Roman"/>
        </w:rPr>
        <w:t xml:space="preserve">answering affidavits, still less make a new case </w:t>
      </w:r>
      <w:r w:rsidRPr="00307954">
        <w:rPr>
          <w:rFonts w:ascii="Times New Roman" w:hAnsi="Times New Roman" w:cs="Times New Roman"/>
        </w:rPr>
        <w:t xml:space="preserve">in his replying </w:t>
      </w:r>
      <w:r>
        <w:rPr>
          <w:rFonts w:ascii="Times New Roman" w:hAnsi="Times New Roman" w:cs="Times New Roman"/>
        </w:rPr>
        <w:tab/>
      </w:r>
      <w:r w:rsidRPr="00307954">
        <w:rPr>
          <w:rFonts w:ascii="Times New Roman" w:hAnsi="Times New Roman" w:cs="Times New Roman"/>
        </w:rPr>
        <w:t>affidavits</w:t>
      </w:r>
      <w:r w:rsidR="00EE760A" w:rsidRPr="00307954">
        <w:rPr>
          <w:rFonts w:ascii="Times New Roman" w:hAnsi="Times New Roman" w:cs="Times New Roman"/>
        </w:rPr>
        <w:t>.</w:t>
      </w:r>
      <w:r w:rsidRPr="00307954">
        <w:rPr>
          <w:rFonts w:ascii="Times New Roman" w:hAnsi="Times New Roman" w:cs="Times New Roman"/>
        </w:rPr>
        <w:t>”</w:t>
      </w:r>
    </w:p>
    <w:p w:rsidR="00357CB2"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7CB2" w:rsidRPr="00B3623E">
        <w:rPr>
          <w:rFonts w:ascii="Times New Roman" w:hAnsi="Times New Roman" w:cs="Times New Roman"/>
          <w:sz w:val="24"/>
          <w:szCs w:val="24"/>
        </w:rPr>
        <w:t>Hebstein and Van Winsen bring out the abovemention</w:t>
      </w:r>
      <w:r w:rsidR="007F7443" w:rsidRPr="00B3623E">
        <w:rPr>
          <w:rFonts w:ascii="Times New Roman" w:hAnsi="Times New Roman" w:cs="Times New Roman"/>
          <w:sz w:val="24"/>
          <w:szCs w:val="24"/>
        </w:rPr>
        <w:t>ed point with clarity and precision</w:t>
      </w:r>
      <w:r w:rsidR="00357CB2" w:rsidRPr="00B3623E">
        <w:rPr>
          <w:rFonts w:ascii="Times New Roman" w:hAnsi="Times New Roman" w:cs="Times New Roman"/>
          <w:sz w:val="24"/>
          <w:szCs w:val="24"/>
        </w:rPr>
        <w:t xml:space="preserve"> in th</w:t>
      </w:r>
      <w:r w:rsidR="00152306" w:rsidRPr="00B3623E">
        <w:rPr>
          <w:rFonts w:ascii="Times New Roman" w:hAnsi="Times New Roman" w:cs="Times New Roman"/>
          <w:sz w:val="24"/>
          <w:szCs w:val="24"/>
        </w:rPr>
        <w:t xml:space="preserve">eir </w:t>
      </w:r>
      <w:r w:rsidR="00152306" w:rsidRPr="00307954">
        <w:rPr>
          <w:rFonts w:ascii="Times New Roman" w:hAnsi="Times New Roman" w:cs="Times New Roman"/>
          <w:i/>
          <w:sz w:val="24"/>
          <w:szCs w:val="24"/>
        </w:rPr>
        <w:t xml:space="preserve">Civil Practice of Superior </w:t>
      </w:r>
      <w:r w:rsidR="00357CB2" w:rsidRPr="00307954">
        <w:rPr>
          <w:rFonts w:ascii="Times New Roman" w:hAnsi="Times New Roman" w:cs="Times New Roman"/>
          <w:i/>
          <w:sz w:val="24"/>
          <w:szCs w:val="24"/>
        </w:rPr>
        <w:t>Courts in South Africa</w:t>
      </w:r>
      <w:r w:rsidR="00357CB2" w:rsidRPr="00B3623E">
        <w:rPr>
          <w:rFonts w:ascii="Times New Roman" w:hAnsi="Times New Roman" w:cs="Times New Roman"/>
          <w:sz w:val="24"/>
          <w:szCs w:val="24"/>
        </w:rPr>
        <w:t xml:space="preserve">, </w:t>
      </w:r>
      <w:r w:rsidR="00357CB2" w:rsidRPr="00307954">
        <w:rPr>
          <w:rFonts w:ascii="Times New Roman" w:hAnsi="Times New Roman" w:cs="Times New Roman"/>
          <w:i/>
          <w:sz w:val="24"/>
          <w:szCs w:val="24"/>
        </w:rPr>
        <w:t>3</w:t>
      </w:r>
      <w:r w:rsidR="00357CB2" w:rsidRPr="00307954">
        <w:rPr>
          <w:rFonts w:ascii="Times New Roman" w:hAnsi="Times New Roman" w:cs="Times New Roman"/>
          <w:i/>
          <w:sz w:val="24"/>
          <w:szCs w:val="24"/>
          <w:vertAlign w:val="superscript"/>
        </w:rPr>
        <w:t>rd</w:t>
      </w:r>
      <w:r>
        <w:rPr>
          <w:rFonts w:ascii="Times New Roman" w:hAnsi="Times New Roman" w:cs="Times New Roman"/>
          <w:i/>
          <w:sz w:val="24"/>
          <w:szCs w:val="24"/>
        </w:rPr>
        <w:t xml:space="preserve"> E</w:t>
      </w:r>
      <w:r w:rsidR="00357CB2" w:rsidRPr="00307954">
        <w:rPr>
          <w:rFonts w:ascii="Times New Roman" w:hAnsi="Times New Roman" w:cs="Times New Roman"/>
          <w:i/>
          <w:sz w:val="24"/>
          <w:szCs w:val="24"/>
        </w:rPr>
        <w:t>dition</w:t>
      </w:r>
      <w:r>
        <w:rPr>
          <w:rFonts w:ascii="Times New Roman" w:hAnsi="Times New Roman" w:cs="Times New Roman"/>
          <w:sz w:val="24"/>
          <w:szCs w:val="24"/>
        </w:rPr>
        <w:t>, p</w:t>
      </w:r>
      <w:r w:rsidR="00357CB2" w:rsidRPr="00B3623E">
        <w:rPr>
          <w:rFonts w:ascii="Times New Roman" w:hAnsi="Times New Roman" w:cs="Times New Roman"/>
          <w:sz w:val="24"/>
          <w:szCs w:val="24"/>
        </w:rPr>
        <w:t xml:space="preserve"> 80 wherein the learned authors state that:</w:t>
      </w:r>
    </w:p>
    <w:p w:rsidR="00357CB2" w:rsidRPr="00B3623E" w:rsidRDefault="00307954" w:rsidP="00C44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7CB2" w:rsidRPr="00B3623E">
        <w:rPr>
          <w:rFonts w:ascii="Times New Roman" w:hAnsi="Times New Roman" w:cs="Times New Roman"/>
          <w:sz w:val="24"/>
          <w:szCs w:val="24"/>
        </w:rPr>
        <w:t>“</w:t>
      </w:r>
      <w:r w:rsidR="00357CB2" w:rsidRPr="00307954">
        <w:rPr>
          <w:rFonts w:ascii="Times New Roman" w:hAnsi="Times New Roman" w:cs="Times New Roman"/>
        </w:rPr>
        <w:t xml:space="preserve">The general rule…which has been laid down repeatedly is that an applicant must stand or </w:t>
      </w:r>
      <w:r w:rsidRPr="00307954">
        <w:rPr>
          <w:rFonts w:ascii="Times New Roman" w:hAnsi="Times New Roman" w:cs="Times New Roman"/>
        </w:rPr>
        <w:tab/>
      </w:r>
      <w:r w:rsidR="00357CB2" w:rsidRPr="00307954">
        <w:rPr>
          <w:rFonts w:ascii="Times New Roman" w:hAnsi="Times New Roman" w:cs="Times New Roman"/>
        </w:rPr>
        <w:t>fall by his founding affidavit and the facts alleged therein, and t</w:t>
      </w:r>
      <w:r w:rsidR="00F67555" w:rsidRPr="00307954">
        <w:rPr>
          <w:rFonts w:ascii="Times New Roman" w:hAnsi="Times New Roman" w:cs="Times New Roman"/>
        </w:rPr>
        <w:t>h</w:t>
      </w:r>
      <w:r w:rsidR="00357CB2" w:rsidRPr="00307954">
        <w:rPr>
          <w:rFonts w:ascii="Times New Roman" w:hAnsi="Times New Roman" w:cs="Times New Roman"/>
        </w:rPr>
        <w:t xml:space="preserve">at, although sometimes it </w:t>
      </w:r>
      <w:r w:rsidRPr="00307954">
        <w:rPr>
          <w:rFonts w:ascii="Times New Roman" w:hAnsi="Times New Roman" w:cs="Times New Roman"/>
        </w:rPr>
        <w:tab/>
      </w:r>
      <w:r w:rsidR="00357CB2" w:rsidRPr="00307954">
        <w:rPr>
          <w:rFonts w:ascii="Times New Roman" w:hAnsi="Times New Roman" w:cs="Times New Roman"/>
        </w:rPr>
        <w:t xml:space="preserve">is permissible to supplement the allegations contained in that affidavit, still the main </w:t>
      </w:r>
      <w:r w:rsidRPr="00307954">
        <w:rPr>
          <w:rFonts w:ascii="Times New Roman" w:hAnsi="Times New Roman" w:cs="Times New Roman"/>
        </w:rPr>
        <w:tab/>
      </w:r>
      <w:r w:rsidR="00357CB2" w:rsidRPr="00307954">
        <w:rPr>
          <w:rFonts w:ascii="Times New Roman" w:hAnsi="Times New Roman" w:cs="Times New Roman"/>
        </w:rPr>
        <w:t xml:space="preserve">foundation of the application is the allegation of facts stated therein, because these are the </w:t>
      </w:r>
      <w:r w:rsidRPr="00307954">
        <w:rPr>
          <w:rFonts w:ascii="Times New Roman" w:hAnsi="Times New Roman" w:cs="Times New Roman"/>
        </w:rPr>
        <w:tab/>
      </w:r>
      <w:r w:rsidR="00357CB2" w:rsidRPr="00307954">
        <w:rPr>
          <w:rFonts w:ascii="Times New Roman" w:hAnsi="Times New Roman" w:cs="Times New Roman"/>
        </w:rPr>
        <w:t>facts which the respondent is cal</w:t>
      </w:r>
      <w:r w:rsidR="0005702D" w:rsidRPr="00307954">
        <w:rPr>
          <w:rFonts w:ascii="Times New Roman" w:hAnsi="Times New Roman" w:cs="Times New Roman"/>
        </w:rPr>
        <w:t>l</w:t>
      </w:r>
      <w:r w:rsidR="00357CB2" w:rsidRPr="00307954">
        <w:rPr>
          <w:rFonts w:ascii="Times New Roman" w:hAnsi="Times New Roman" w:cs="Times New Roman"/>
        </w:rPr>
        <w:t>ed</w:t>
      </w:r>
      <w:r w:rsidR="0005702D" w:rsidRPr="00307954">
        <w:rPr>
          <w:rFonts w:ascii="Times New Roman" w:hAnsi="Times New Roman" w:cs="Times New Roman"/>
        </w:rPr>
        <w:t xml:space="preserve"> </w:t>
      </w:r>
      <w:r>
        <w:rPr>
          <w:rFonts w:ascii="Times New Roman" w:hAnsi="Times New Roman" w:cs="Times New Roman"/>
        </w:rPr>
        <w:t>upon to either affirm or deny</w:t>
      </w:r>
      <w:r w:rsidR="00357CB2" w:rsidRPr="00307954">
        <w:rPr>
          <w:rFonts w:ascii="Times New Roman" w:hAnsi="Times New Roman" w:cs="Times New Roman"/>
        </w:rPr>
        <w:t>.</w:t>
      </w:r>
      <w:r>
        <w:rPr>
          <w:rFonts w:ascii="Times New Roman" w:hAnsi="Times New Roman" w:cs="Times New Roman"/>
        </w:rPr>
        <w:t>”</w:t>
      </w:r>
      <w:r w:rsidR="00152306" w:rsidRPr="00B3623E">
        <w:rPr>
          <w:rFonts w:ascii="Times New Roman" w:hAnsi="Times New Roman" w:cs="Times New Roman"/>
          <w:sz w:val="24"/>
          <w:szCs w:val="24"/>
        </w:rPr>
        <w:t xml:space="preserve">   </w:t>
      </w:r>
    </w:p>
    <w:p w:rsidR="002A16C9"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16C9" w:rsidRPr="00B3623E">
        <w:rPr>
          <w:rFonts w:ascii="Times New Roman" w:hAnsi="Times New Roman" w:cs="Times New Roman"/>
          <w:sz w:val="24"/>
          <w:szCs w:val="24"/>
        </w:rPr>
        <w:t>The founding affidavit of Taruvinga leaves a lot to be desired. It is akin to the English adage</w:t>
      </w:r>
      <w:r w:rsidR="007F7443" w:rsidRPr="00B3623E">
        <w:rPr>
          <w:rFonts w:ascii="Times New Roman" w:hAnsi="Times New Roman" w:cs="Times New Roman"/>
          <w:sz w:val="24"/>
          <w:szCs w:val="24"/>
        </w:rPr>
        <w:t xml:space="preserve"> which reads</w:t>
      </w:r>
      <w:r w:rsidR="002A16C9" w:rsidRPr="00B3623E">
        <w:rPr>
          <w:rFonts w:ascii="Times New Roman" w:hAnsi="Times New Roman" w:cs="Times New Roman"/>
          <w:sz w:val="24"/>
          <w:szCs w:val="24"/>
        </w:rPr>
        <w:t xml:space="preserve"> ‘Much ado about nothing’. It contains claims and allegations which the deponent himself does not substantiate. He makes statements which he leaves unsupported. His founding affidavit therefore stands or falls on the unsubstantiated statements which he makes in the same.</w:t>
      </w:r>
    </w:p>
    <w:p w:rsidR="00DB4D55"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306" w:rsidRPr="00B3623E">
        <w:rPr>
          <w:rFonts w:ascii="Times New Roman" w:hAnsi="Times New Roman" w:cs="Times New Roman"/>
          <w:sz w:val="24"/>
          <w:szCs w:val="24"/>
        </w:rPr>
        <w:t>Taruvinga’s allegations against the respondents, it is observed, appear in</w:t>
      </w:r>
      <w:r>
        <w:rPr>
          <w:rFonts w:ascii="Times New Roman" w:hAnsi="Times New Roman" w:cs="Times New Roman"/>
          <w:sz w:val="24"/>
          <w:szCs w:val="24"/>
        </w:rPr>
        <w:t xml:space="preserve"> para.</w:t>
      </w:r>
      <w:r w:rsidR="00152306" w:rsidRPr="00B3623E">
        <w:rPr>
          <w:rFonts w:ascii="Times New Roman" w:hAnsi="Times New Roman" w:cs="Times New Roman"/>
          <w:sz w:val="24"/>
          <w:szCs w:val="24"/>
        </w:rPr>
        <w:t xml:space="preserve"> 14 of his founding affidavit. Subpara</w:t>
      </w:r>
      <w:r>
        <w:rPr>
          <w:rFonts w:ascii="Times New Roman" w:hAnsi="Times New Roman" w:cs="Times New Roman"/>
          <w:sz w:val="24"/>
          <w:szCs w:val="24"/>
        </w:rPr>
        <w:t>(</w:t>
      </w:r>
      <w:r w:rsidR="00152306" w:rsidRPr="00B3623E">
        <w:rPr>
          <w:rFonts w:ascii="Times New Roman" w:hAnsi="Times New Roman" w:cs="Times New Roman"/>
          <w:sz w:val="24"/>
          <w:szCs w:val="24"/>
        </w:rPr>
        <w:t>s</w:t>
      </w:r>
      <w:r>
        <w:rPr>
          <w:rFonts w:ascii="Times New Roman" w:hAnsi="Times New Roman" w:cs="Times New Roman"/>
          <w:sz w:val="24"/>
          <w:szCs w:val="24"/>
        </w:rPr>
        <w:t>)</w:t>
      </w:r>
      <w:r w:rsidR="00152306" w:rsidRPr="00B3623E">
        <w:rPr>
          <w:rFonts w:ascii="Times New Roman" w:hAnsi="Times New Roman" w:cs="Times New Roman"/>
          <w:sz w:val="24"/>
          <w:szCs w:val="24"/>
        </w:rPr>
        <w:t xml:space="preserve"> 14.1 – 14.7 are relevant in the mentioned regard. He states in paragraph 14.1 that the respondents failed to promote close and better co-operation of the trust and relevant local authorities in the provision of housing services to beneficiaries of the trust. He makes that bare allegation which he does not substantiate.</w:t>
      </w:r>
      <w:r w:rsidR="00FD6243" w:rsidRPr="00B3623E">
        <w:rPr>
          <w:rFonts w:ascii="Times New Roman" w:hAnsi="Times New Roman" w:cs="Times New Roman"/>
          <w:sz w:val="24"/>
          <w:szCs w:val="24"/>
        </w:rPr>
        <w:t xml:space="preserve"> He does not, as the respondents correctly assert, tell the court</w:t>
      </w:r>
      <w:r w:rsidR="0005702D" w:rsidRPr="00B3623E">
        <w:rPr>
          <w:rFonts w:ascii="Times New Roman" w:hAnsi="Times New Roman" w:cs="Times New Roman"/>
          <w:sz w:val="24"/>
          <w:szCs w:val="24"/>
        </w:rPr>
        <w:t xml:space="preserve"> the manner</w:t>
      </w:r>
      <w:r w:rsidR="00961043" w:rsidRPr="00B3623E">
        <w:rPr>
          <w:rFonts w:ascii="Times New Roman" w:hAnsi="Times New Roman" w:cs="Times New Roman"/>
          <w:sz w:val="24"/>
          <w:szCs w:val="24"/>
        </w:rPr>
        <w:t xml:space="preserve"> in which the</w:t>
      </w:r>
      <w:r w:rsidR="00FD6243" w:rsidRPr="00B3623E">
        <w:rPr>
          <w:rFonts w:ascii="Times New Roman" w:hAnsi="Times New Roman" w:cs="Times New Roman"/>
          <w:sz w:val="24"/>
          <w:szCs w:val="24"/>
        </w:rPr>
        <w:t xml:space="preserve"> respondents failed to promote close and better co-operation of the trust and relevant local authorities in the provision of housing services to beneficiaries of the trust. </w:t>
      </w:r>
    </w:p>
    <w:p w:rsidR="00152306"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4D55" w:rsidRPr="00B3623E">
        <w:rPr>
          <w:rFonts w:ascii="Times New Roman" w:hAnsi="Times New Roman" w:cs="Times New Roman"/>
          <w:sz w:val="24"/>
          <w:szCs w:val="24"/>
        </w:rPr>
        <w:t>The respondents</w:t>
      </w:r>
      <w:r w:rsidR="00FD6243" w:rsidRPr="00B3623E">
        <w:rPr>
          <w:rFonts w:ascii="Times New Roman" w:hAnsi="Times New Roman" w:cs="Times New Roman"/>
          <w:sz w:val="24"/>
          <w:szCs w:val="24"/>
        </w:rPr>
        <w:t xml:space="preserve"> advise, in the same, that the project was temporarily placed on hold by Bindura Rural District Council </w:t>
      </w:r>
      <w:r w:rsidR="00961043" w:rsidRPr="00B3623E">
        <w:rPr>
          <w:rFonts w:ascii="Times New Roman" w:hAnsi="Times New Roman" w:cs="Times New Roman"/>
          <w:sz w:val="24"/>
          <w:szCs w:val="24"/>
        </w:rPr>
        <w:t xml:space="preserve">(“the Council”) </w:t>
      </w:r>
      <w:r w:rsidR="00FD6243" w:rsidRPr="00B3623E">
        <w:rPr>
          <w:rFonts w:ascii="Times New Roman" w:hAnsi="Times New Roman" w:cs="Times New Roman"/>
          <w:sz w:val="24"/>
          <w:szCs w:val="24"/>
        </w:rPr>
        <w:t xml:space="preserve">after the mine which is the former employer of the trust’s beneficiaries opened court cases relating to ownership of the houses. They assert that the </w:t>
      </w:r>
      <w:r w:rsidR="00FD6243" w:rsidRPr="00B3623E">
        <w:rPr>
          <w:rFonts w:ascii="Times New Roman" w:hAnsi="Times New Roman" w:cs="Times New Roman"/>
          <w:sz w:val="24"/>
          <w:szCs w:val="24"/>
        </w:rPr>
        <w:lastRenderedPageBreak/>
        <w:t>temporary closure of the project occurred after the trust had already submitted building plans to the Council to pave way for change of ownership of the houses.</w:t>
      </w:r>
      <w:r w:rsidR="00961043" w:rsidRPr="00B3623E">
        <w:rPr>
          <w:rFonts w:ascii="Times New Roman" w:hAnsi="Times New Roman" w:cs="Times New Roman"/>
          <w:sz w:val="24"/>
          <w:szCs w:val="24"/>
        </w:rPr>
        <w:t xml:space="preserve"> </w:t>
      </w:r>
    </w:p>
    <w:p w:rsidR="00961043"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1043" w:rsidRPr="00B3623E">
        <w:rPr>
          <w:rFonts w:ascii="Times New Roman" w:hAnsi="Times New Roman" w:cs="Times New Roman"/>
          <w:sz w:val="24"/>
          <w:szCs w:val="24"/>
        </w:rPr>
        <w:t xml:space="preserve">Annexure C which the respondents place reliance upon in respect of the abovementioned matter is relevant. The annexure is a letter which the Council wrote to the association on 16 July, 2012. It </w:t>
      </w:r>
      <w:r>
        <w:rPr>
          <w:rFonts w:ascii="Times New Roman" w:hAnsi="Times New Roman" w:cs="Times New Roman"/>
          <w:sz w:val="24"/>
          <w:szCs w:val="24"/>
        </w:rPr>
        <w:t>appears at p</w:t>
      </w:r>
      <w:r w:rsidR="00DB4D55" w:rsidRPr="00B3623E">
        <w:rPr>
          <w:rFonts w:ascii="Times New Roman" w:hAnsi="Times New Roman" w:cs="Times New Roman"/>
          <w:sz w:val="24"/>
          <w:szCs w:val="24"/>
        </w:rPr>
        <w:t xml:space="preserve"> 38 of the record. It</w:t>
      </w:r>
      <w:r w:rsidR="00961043" w:rsidRPr="00B3623E">
        <w:rPr>
          <w:rFonts w:ascii="Times New Roman" w:hAnsi="Times New Roman" w:cs="Times New Roman"/>
          <w:sz w:val="24"/>
          <w:szCs w:val="24"/>
        </w:rPr>
        <w:t xml:space="preserve"> advises the association of court cases which the association’s employer had mounted against its beneficiaries. These comprised 104 writs of ejectment, 20 evictions, 53 summons and 50 pending court cases which had been filed against beneficiaries of the trust. The Council returned the house plans to the association whom it requested to make further submissions to enable it to allocate land to sitting beneficiaries of the association.</w:t>
      </w:r>
    </w:p>
    <w:p w:rsidR="00EC3571"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3571" w:rsidRPr="00B3623E">
        <w:rPr>
          <w:rFonts w:ascii="Times New Roman" w:hAnsi="Times New Roman" w:cs="Times New Roman"/>
          <w:sz w:val="24"/>
          <w:szCs w:val="24"/>
        </w:rPr>
        <w:t>Michael Saidi who is one of the respondents in casu states, and his statement remains unchallenged, that he was and is chairperson of the association as well as that of the trust. It, accordingly, makes no difference if the Counc</w:t>
      </w:r>
      <w:r w:rsidR="00DB4D55" w:rsidRPr="00B3623E">
        <w:rPr>
          <w:rFonts w:ascii="Times New Roman" w:hAnsi="Times New Roman" w:cs="Times New Roman"/>
          <w:sz w:val="24"/>
          <w:szCs w:val="24"/>
        </w:rPr>
        <w:t xml:space="preserve">il communicated with him by virtue of </w:t>
      </w:r>
      <w:r w:rsidR="00EC3571" w:rsidRPr="00B3623E">
        <w:rPr>
          <w:rFonts w:ascii="Times New Roman" w:hAnsi="Times New Roman" w:cs="Times New Roman"/>
          <w:sz w:val="24"/>
          <w:szCs w:val="24"/>
        </w:rPr>
        <w:t>his position as chairperson of the association or the trust. The net ef</w:t>
      </w:r>
      <w:r w:rsidR="00DB4D55" w:rsidRPr="00B3623E">
        <w:rPr>
          <w:rFonts w:ascii="Times New Roman" w:hAnsi="Times New Roman" w:cs="Times New Roman"/>
          <w:sz w:val="24"/>
          <w:szCs w:val="24"/>
        </w:rPr>
        <w:t>fect is that his double-barelled</w:t>
      </w:r>
      <w:r w:rsidR="00EC3571" w:rsidRPr="00B3623E">
        <w:rPr>
          <w:rFonts w:ascii="Times New Roman" w:hAnsi="Times New Roman" w:cs="Times New Roman"/>
          <w:sz w:val="24"/>
          <w:szCs w:val="24"/>
        </w:rPr>
        <w:t xml:space="preserve"> work was</w:t>
      </w:r>
      <w:r w:rsidR="00DB4D55" w:rsidRPr="00B3623E">
        <w:rPr>
          <w:rFonts w:ascii="Times New Roman" w:hAnsi="Times New Roman" w:cs="Times New Roman"/>
          <w:sz w:val="24"/>
          <w:szCs w:val="24"/>
        </w:rPr>
        <w:t>,</w:t>
      </w:r>
      <w:r w:rsidR="00EC3571" w:rsidRPr="00B3623E">
        <w:rPr>
          <w:rFonts w:ascii="Times New Roman" w:hAnsi="Times New Roman" w:cs="Times New Roman"/>
          <w:sz w:val="24"/>
          <w:szCs w:val="24"/>
        </w:rPr>
        <w:t xml:space="preserve"> at all times</w:t>
      </w:r>
      <w:r w:rsidR="00DB4D55" w:rsidRPr="00B3623E">
        <w:rPr>
          <w:rFonts w:ascii="Times New Roman" w:hAnsi="Times New Roman" w:cs="Times New Roman"/>
          <w:sz w:val="24"/>
          <w:szCs w:val="24"/>
        </w:rPr>
        <w:t>,</w:t>
      </w:r>
      <w:r w:rsidR="00EC3571" w:rsidRPr="00B3623E">
        <w:rPr>
          <w:rFonts w:ascii="Times New Roman" w:hAnsi="Times New Roman" w:cs="Times New Roman"/>
          <w:sz w:val="24"/>
          <w:szCs w:val="24"/>
        </w:rPr>
        <w:t xml:space="preserve"> in furtherance </w:t>
      </w:r>
      <w:r w:rsidR="0005702D" w:rsidRPr="00B3623E">
        <w:rPr>
          <w:rFonts w:ascii="Times New Roman" w:hAnsi="Times New Roman" w:cs="Times New Roman"/>
          <w:sz w:val="24"/>
          <w:szCs w:val="24"/>
        </w:rPr>
        <w:t xml:space="preserve">of the welfare </w:t>
      </w:r>
      <w:r w:rsidR="00EC3571" w:rsidRPr="00B3623E">
        <w:rPr>
          <w:rFonts w:ascii="Times New Roman" w:hAnsi="Times New Roman" w:cs="Times New Roman"/>
          <w:sz w:val="24"/>
          <w:szCs w:val="24"/>
        </w:rPr>
        <w:t>of beneficiaries of the trust who are also members of the association.</w:t>
      </w:r>
    </w:p>
    <w:p w:rsidR="00BF62E9" w:rsidRPr="00B3623E" w:rsidRDefault="00307954"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so far as para. </w:t>
      </w:r>
      <w:r w:rsidR="00BF62E9" w:rsidRPr="00B3623E">
        <w:rPr>
          <w:rFonts w:ascii="Times New Roman" w:hAnsi="Times New Roman" w:cs="Times New Roman"/>
          <w:sz w:val="24"/>
          <w:szCs w:val="24"/>
        </w:rPr>
        <w:t>14.2 is concerned, Taruvinga does not, once again, show the manner in which the respondents failed to keep a true and correct account of their administration of the trust including auditing of its accounts. Nor does he show the manner in which the respondents denied the beneficiaries of the trust access to the accounts of the trust as he alleges in paragraph 14.3 of his affidavit. He makes some bald allegations which he does not substantiate. He could easily have requested some beneficiaries of the trust to file affidavits which supp</w:t>
      </w:r>
      <w:r w:rsidR="00DB4D55" w:rsidRPr="00B3623E">
        <w:rPr>
          <w:rFonts w:ascii="Times New Roman" w:hAnsi="Times New Roman" w:cs="Times New Roman"/>
          <w:sz w:val="24"/>
          <w:szCs w:val="24"/>
        </w:rPr>
        <w:t>ort the allegation that they were</w:t>
      </w:r>
      <w:r w:rsidR="00BF62E9" w:rsidRPr="00B3623E">
        <w:rPr>
          <w:rFonts w:ascii="Times New Roman" w:hAnsi="Times New Roman" w:cs="Times New Roman"/>
          <w:sz w:val="24"/>
          <w:szCs w:val="24"/>
        </w:rPr>
        <w:t xml:space="preserve"> denied access </w:t>
      </w:r>
      <w:r w:rsidR="00340E0C" w:rsidRPr="00B3623E">
        <w:rPr>
          <w:rFonts w:ascii="Times New Roman" w:hAnsi="Times New Roman" w:cs="Times New Roman"/>
          <w:sz w:val="24"/>
          <w:szCs w:val="24"/>
        </w:rPr>
        <w:t>to the accounts of the trust. Nothing, in short, prevented him from producing a letter or letters which beneficiaries wrote complaining th</w:t>
      </w:r>
      <w:r>
        <w:rPr>
          <w:rFonts w:ascii="Times New Roman" w:hAnsi="Times New Roman" w:cs="Times New Roman"/>
          <w:sz w:val="24"/>
          <w:szCs w:val="24"/>
        </w:rPr>
        <w:t>at they requested sight of the T</w:t>
      </w:r>
      <w:r w:rsidR="00340E0C" w:rsidRPr="00B3623E">
        <w:rPr>
          <w:rFonts w:ascii="Times New Roman" w:hAnsi="Times New Roman" w:cs="Times New Roman"/>
          <w:sz w:val="24"/>
          <w:szCs w:val="24"/>
        </w:rPr>
        <w:t>rust’s audited accounts an</w:t>
      </w:r>
      <w:r w:rsidR="0005702D" w:rsidRPr="00B3623E">
        <w:rPr>
          <w:rFonts w:ascii="Times New Roman" w:hAnsi="Times New Roman" w:cs="Times New Roman"/>
          <w:sz w:val="24"/>
          <w:szCs w:val="24"/>
        </w:rPr>
        <w:t>d their request was turned down by the respondents.</w:t>
      </w:r>
    </w:p>
    <w:p w:rsidR="004F581F"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581F" w:rsidRPr="00B3623E">
        <w:rPr>
          <w:rFonts w:ascii="Times New Roman" w:hAnsi="Times New Roman" w:cs="Times New Roman"/>
          <w:sz w:val="24"/>
          <w:szCs w:val="24"/>
        </w:rPr>
        <w:t xml:space="preserve">The respondents deny that they failed to keep a true and correct account of their administration of the trust or that they denied beneficiaries of the trust access to the accounts of the trust. They admit that clause 10 of the trust deed gives the beneficiaries the right to access the accounts. They qualify the right by stating that the beneficiaries can only access the accounts by giving thirty days written notice. They assert, correctly in my view, that </w:t>
      </w:r>
      <w:r w:rsidR="008120DC" w:rsidRPr="00B3623E">
        <w:rPr>
          <w:rFonts w:ascii="Times New Roman" w:hAnsi="Times New Roman" w:cs="Times New Roman"/>
          <w:sz w:val="24"/>
          <w:szCs w:val="24"/>
        </w:rPr>
        <w:t xml:space="preserve">Taruvinga did not attach </w:t>
      </w:r>
      <w:r w:rsidR="008120DC" w:rsidRPr="00B3623E">
        <w:rPr>
          <w:rFonts w:ascii="Times New Roman" w:hAnsi="Times New Roman" w:cs="Times New Roman"/>
          <w:sz w:val="24"/>
          <w:szCs w:val="24"/>
        </w:rPr>
        <w:lastRenderedPageBreak/>
        <w:t>t</w:t>
      </w:r>
      <w:r w:rsidR="00307954">
        <w:rPr>
          <w:rFonts w:ascii="Times New Roman" w:hAnsi="Times New Roman" w:cs="Times New Roman"/>
          <w:sz w:val="24"/>
          <w:szCs w:val="24"/>
        </w:rPr>
        <w:t xml:space="preserve">o the application any evidence </w:t>
      </w:r>
      <w:r w:rsidR="008120DC" w:rsidRPr="00B3623E">
        <w:rPr>
          <w:rFonts w:ascii="Times New Roman" w:hAnsi="Times New Roman" w:cs="Times New Roman"/>
          <w:sz w:val="24"/>
          <w:szCs w:val="24"/>
        </w:rPr>
        <w:t>which shows that he or any of the beneficiaries of the trust made the</w:t>
      </w:r>
      <w:r w:rsidR="005241E6" w:rsidRPr="00B3623E">
        <w:rPr>
          <w:rFonts w:ascii="Times New Roman" w:hAnsi="Times New Roman" w:cs="Times New Roman"/>
          <w:sz w:val="24"/>
          <w:szCs w:val="24"/>
        </w:rPr>
        <w:t xml:space="preserve"> written</w:t>
      </w:r>
      <w:r w:rsidR="008120DC" w:rsidRPr="00B3623E">
        <w:rPr>
          <w:rFonts w:ascii="Times New Roman" w:hAnsi="Times New Roman" w:cs="Times New Roman"/>
          <w:sz w:val="24"/>
          <w:szCs w:val="24"/>
        </w:rPr>
        <w:t xml:space="preserve"> request in terms of clause 10 of the trust deed and was/were denied access to the accounts of the trust.</w:t>
      </w:r>
      <w:r w:rsidR="005241E6" w:rsidRPr="00B3623E">
        <w:rPr>
          <w:rFonts w:ascii="Times New Roman" w:hAnsi="Times New Roman" w:cs="Times New Roman"/>
          <w:sz w:val="24"/>
          <w:szCs w:val="24"/>
        </w:rPr>
        <w:t xml:space="preserve"> An attachment to the application of such written </w:t>
      </w:r>
      <w:r w:rsidR="00672D9A" w:rsidRPr="00B3623E">
        <w:rPr>
          <w:rFonts w:ascii="Times New Roman" w:hAnsi="Times New Roman" w:cs="Times New Roman"/>
          <w:sz w:val="24"/>
          <w:szCs w:val="24"/>
        </w:rPr>
        <w:t>request(s) would have sufficed</w:t>
      </w:r>
      <w:r w:rsidR="005241E6" w:rsidRPr="00B3623E">
        <w:rPr>
          <w:rFonts w:ascii="Times New Roman" w:hAnsi="Times New Roman" w:cs="Times New Roman"/>
          <w:sz w:val="24"/>
          <w:szCs w:val="24"/>
        </w:rPr>
        <w:t>. The fact that nothing of the sort was attached</w:t>
      </w:r>
      <w:r w:rsidR="00672D9A" w:rsidRPr="00B3623E">
        <w:rPr>
          <w:rFonts w:ascii="Times New Roman" w:hAnsi="Times New Roman" w:cs="Times New Roman"/>
          <w:sz w:val="24"/>
          <w:szCs w:val="24"/>
        </w:rPr>
        <w:t xml:space="preserve"> to</w:t>
      </w:r>
      <w:r w:rsidR="005241E6" w:rsidRPr="00B3623E">
        <w:rPr>
          <w:rFonts w:ascii="Times New Roman" w:hAnsi="Times New Roman" w:cs="Times New Roman"/>
          <w:sz w:val="24"/>
          <w:szCs w:val="24"/>
        </w:rPr>
        <w:t xml:space="preserve"> the application is ample evidence that Taruvinga made bare </w:t>
      </w:r>
      <w:r w:rsidR="00672D9A" w:rsidRPr="00B3623E">
        <w:rPr>
          <w:rFonts w:ascii="Times New Roman" w:hAnsi="Times New Roman" w:cs="Times New Roman"/>
          <w:sz w:val="24"/>
          <w:szCs w:val="24"/>
        </w:rPr>
        <w:t xml:space="preserve">and unsubstantiated allegations which would not see his application succeed. </w:t>
      </w:r>
    </w:p>
    <w:p w:rsidR="00672D9A"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2D9A" w:rsidRPr="00B3623E">
        <w:rPr>
          <w:rFonts w:ascii="Times New Roman" w:hAnsi="Times New Roman" w:cs="Times New Roman"/>
          <w:sz w:val="24"/>
          <w:szCs w:val="24"/>
        </w:rPr>
        <w:t>The respondents and the trust acquitted themselves with succinct precision.</w:t>
      </w:r>
      <w:r w:rsidR="00A90FD9" w:rsidRPr="00B3623E">
        <w:rPr>
          <w:rFonts w:ascii="Times New Roman" w:hAnsi="Times New Roman" w:cs="Times New Roman"/>
          <w:sz w:val="24"/>
          <w:szCs w:val="24"/>
        </w:rPr>
        <w:t xml:space="preserve"> They were able to dismiss Taruvinga’s claims which are to the effect that they failed to hold meetings or to keep records of the meetings which they held. They produced documentary evidence of requests which they made to members of the police to be allowed to hold meetings of the trust. Reference is made</w:t>
      </w:r>
      <w:r w:rsidR="00307954">
        <w:rPr>
          <w:rFonts w:ascii="Times New Roman" w:hAnsi="Times New Roman" w:cs="Times New Roman"/>
          <w:sz w:val="24"/>
          <w:szCs w:val="24"/>
        </w:rPr>
        <w:t xml:space="preserve"> in the mentioned regard to pp</w:t>
      </w:r>
      <w:r w:rsidR="00A90FD9" w:rsidRPr="00B3623E">
        <w:rPr>
          <w:rFonts w:ascii="Times New Roman" w:hAnsi="Times New Roman" w:cs="Times New Roman"/>
          <w:sz w:val="24"/>
          <w:szCs w:val="24"/>
        </w:rPr>
        <w:t xml:space="preserve"> 39 – 42 of the record. They assert correctly that they did not hold any meetings in 2020 and 2021 because of the </w:t>
      </w:r>
      <w:r w:rsidR="00307954">
        <w:rPr>
          <w:rFonts w:ascii="Times New Roman" w:hAnsi="Times New Roman" w:cs="Times New Roman"/>
          <w:sz w:val="24"/>
          <w:szCs w:val="24"/>
        </w:rPr>
        <w:t>C</w:t>
      </w:r>
      <w:r w:rsidR="00A90FD9" w:rsidRPr="00B3623E">
        <w:rPr>
          <w:rFonts w:ascii="Times New Roman" w:hAnsi="Times New Roman" w:cs="Times New Roman"/>
          <w:sz w:val="24"/>
          <w:szCs w:val="24"/>
        </w:rPr>
        <w:t>ovid 19 induced restrictions.</w:t>
      </w:r>
    </w:p>
    <w:p w:rsidR="00E049E7"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9E7" w:rsidRPr="00B3623E">
        <w:rPr>
          <w:rFonts w:ascii="Times New Roman" w:hAnsi="Times New Roman" w:cs="Times New Roman"/>
          <w:sz w:val="24"/>
          <w:szCs w:val="24"/>
        </w:rPr>
        <w:t>Taruvinga, it is evident, made allegations which he did not substantiate. His application falls on h</w:t>
      </w:r>
      <w:r w:rsidR="001B7A58" w:rsidRPr="00B3623E">
        <w:rPr>
          <w:rFonts w:ascii="Times New Roman" w:hAnsi="Times New Roman" w:cs="Times New Roman"/>
          <w:sz w:val="24"/>
          <w:szCs w:val="24"/>
        </w:rPr>
        <w:t>is founding affidavit which leaves</w:t>
      </w:r>
      <w:r w:rsidR="00E049E7" w:rsidRPr="00B3623E">
        <w:rPr>
          <w:rFonts w:ascii="Times New Roman" w:hAnsi="Times New Roman" w:cs="Times New Roman"/>
          <w:sz w:val="24"/>
          <w:szCs w:val="24"/>
        </w:rPr>
        <w:t xml:space="preserve"> a lot to be desired. He, as the respondents allege, is making an attempt to take hold of the affairs of the association as well as the trust. He makes a lot of assumptions but he cannot prove his case by those assumptions. </w:t>
      </w:r>
      <w:r w:rsidR="001B7A58" w:rsidRPr="00B3623E">
        <w:rPr>
          <w:rFonts w:ascii="Times New Roman" w:hAnsi="Times New Roman" w:cs="Times New Roman"/>
          <w:sz w:val="24"/>
          <w:szCs w:val="24"/>
        </w:rPr>
        <w:t>He requires clear and cogent evidence</w:t>
      </w:r>
      <w:r w:rsidR="0005702D" w:rsidRPr="00B3623E">
        <w:rPr>
          <w:rFonts w:ascii="Times New Roman" w:hAnsi="Times New Roman" w:cs="Times New Roman"/>
          <w:sz w:val="24"/>
          <w:szCs w:val="24"/>
        </w:rPr>
        <w:t xml:space="preserve"> for him</w:t>
      </w:r>
      <w:r w:rsidR="001B7A58" w:rsidRPr="00B3623E">
        <w:rPr>
          <w:rFonts w:ascii="Times New Roman" w:hAnsi="Times New Roman" w:cs="Times New Roman"/>
          <w:sz w:val="24"/>
          <w:szCs w:val="24"/>
        </w:rPr>
        <w:t xml:space="preserve"> </w:t>
      </w:r>
      <w:r w:rsidR="00DB4D55" w:rsidRPr="00B3623E">
        <w:rPr>
          <w:rFonts w:ascii="Times New Roman" w:hAnsi="Times New Roman" w:cs="Times New Roman"/>
          <w:sz w:val="24"/>
          <w:szCs w:val="24"/>
        </w:rPr>
        <w:t>to succee</w:t>
      </w:r>
      <w:r w:rsidR="001B7A58" w:rsidRPr="00B3623E">
        <w:rPr>
          <w:rFonts w:ascii="Times New Roman" w:hAnsi="Times New Roman" w:cs="Times New Roman"/>
          <w:sz w:val="24"/>
          <w:szCs w:val="24"/>
        </w:rPr>
        <w:t>d.</w:t>
      </w:r>
    </w:p>
    <w:p w:rsidR="001B7A58" w:rsidRPr="00B3623E" w:rsidRDefault="00B3623E" w:rsidP="00C44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7A58" w:rsidRPr="00B3623E">
        <w:rPr>
          <w:rFonts w:ascii="Times New Roman" w:hAnsi="Times New Roman" w:cs="Times New Roman"/>
          <w:sz w:val="24"/>
          <w:szCs w:val="24"/>
        </w:rPr>
        <w:t>Taruvinga failed to prove his case on a preponderance of probabilities. His application is, in the result, dismissed with costs.</w:t>
      </w:r>
    </w:p>
    <w:p w:rsidR="005241E6" w:rsidRDefault="005241E6" w:rsidP="00C44B46">
      <w:pPr>
        <w:spacing w:after="0" w:line="360" w:lineRule="auto"/>
        <w:jc w:val="both"/>
        <w:rPr>
          <w:rFonts w:ascii="Times New Roman" w:hAnsi="Times New Roman" w:cs="Times New Roman"/>
          <w:sz w:val="24"/>
          <w:szCs w:val="24"/>
        </w:rPr>
      </w:pPr>
    </w:p>
    <w:p w:rsidR="00C44B46" w:rsidRDefault="00C44B46" w:rsidP="00C44B46">
      <w:pPr>
        <w:spacing w:after="0" w:line="360" w:lineRule="auto"/>
        <w:jc w:val="both"/>
        <w:rPr>
          <w:rFonts w:ascii="Times New Roman" w:hAnsi="Times New Roman" w:cs="Times New Roman"/>
          <w:sz w:val="24"/>
          <w:szCs w:val="24"/>
        </w:rPr>
      </w:pPr>
    </w:p>
    <w:p w:rsidR="00C44B46" w:rsidRDefault="00C44B46" w:rsidP="00C44B46">
      <w:pPr>
        <w:spacing w:after="0" w:line="360" w:lineRule="auto"/>
        <w:jc w:val="both"/>
        <w:rPr>
          <w:rFonts w:ascii="Times New Roman" w:hAnsi="Times New Roman" w:cs="Times New Roman"/>
          <w:sz w:val="24"/>
          <w:szCs w:val="24"/>
        </w:rPr>
      </w:pPr>
    </w:p>
    <w:p w:rsidR="00C44B46" w:rsidRDefault="00C44B46" w:rsidP="00C44B46">
      <w:pPr>
        <w:spacing w:after="0" w:line="360" w:lineRule="auto"/>
        <w:jc w:val="both"/>
        <w:rPr>
          <w:rFonts w:ascii="Times New Roman" w:hAnsi="Times New Roman" w:cs="Times New Roman"/>
          <w:sz w:val="24"/>
          <w:szCs w:val="24"/>
        </w:rPr>
      </w:pPr>
    </w:p>
    <w:p w:rsidR="00C44B46" w:rsidRDefault="00C44B46" w:rsidP="00C44B46">
      <w:pPr>
        <w:spacing w:after="0" w:line="360" w:lineRule="auto"/>
        <w:jc w:val="both"/>
        <w:rPr>
          <w:rFonts w:ascii="Times New Roman" w:hAnsi="Times New Roman" w:cs="Times New Roman"/>
          <w:sz w:val="24"/>
          <w:szCs w:val="24"/>
        </w:rPr>
      </w:pPr>
    </w:p>
    <w:p w:rsidR="00C44B46" w:rsidRDefault="00254E1D" w:rsidP="00C44B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Chirenje Legal Practitioners</w:t>
      </w:r>
      <w:r w:rsidR="00C44B46">
        <w:rPr>
          <w:rFonts w:ascii="Times New Roman" w:hAnsi="Times New Roman" w:cs="Times New Roman"/>
          <w:sz w:val="24"/>
          <w:szCs w:val="24"/>
        </w:rPr>
        <w:t>, applicant’s legal practitioners</w:t>
      </w:r>
    </w:p>
    <w:p w:rsidR="00C44B46" w:rsidRPr="00B3623E" w:rsidRDefault="00254E1D" w:rsidP="00C44B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and Makoni</w:t>
      </w:r>
      <w:r w:rsidR="00EE1EDE">
        <w:rPr>
          <w:rFonts w:ascii="Times New Roman" w:hAnsi="Times New Roman" w:cs="Times New Roman"/>
          <w:sz w:val="24"/>
          <w:szCs w:val="24"/>
        </w:rPr>
        <w:t xml:space="preserve">, </w:t>
      </w:r>
      <w:r w:rsidR="00C44B46">
        <w:rPr>
          <w:rFonts w:ascii="Times New Roman" w:hAnsi="Times New Roman" w:cs="Times New Roman"/>
          <w:sz w:val="24"/>
          <w:szCs w:val="24"/>
        </w:rPr>
        <w:t>respon</w:t>
      </w:r>
      <w:r w:rsidR="00090F8A">
        <w:rPr>
          <w:rFonts w:ascii="Times New Roman" w:hAnsi="Times New Roman" w:cs="Times New Roman"/>
          <w:sz w:val="24"/>
          <w:szCs w:val="24"/>
        </w:rPr>
        <w:t xml:space="preserve"> </w:t>
      </w:r>
      <w:r w:rsidR="00C44B46">
        <w:rPr>
          <w:rFonts w:ascii="Times New Roman" w:hAnsi="Times New Roman" w:cs="Times New Roman"/>
          <w:sz w:val="24"/>
          <w:szCs w:val="24"/>
        </w:rPr>
        <w:t>dent’s legal; practitioners</w:t>
      </w:r>
    </w:p>
    <w:sectPr w:rsidR="00C44B46" w:rsidRPr="00B362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08" w:rsidRDefault="00C22D08" w:rsidP="00C44B46">
      <w:pPr>
        <w:spacing w:after="0" w:line="240" w:lineRule="auto"/>
      </w:pPr>
      <w:r>
        <w:separator/>
      </w:r>
    </w:p>
  </w:endnote>
  <w:endnote w:type="continuationSeparator" w:id="0">
    <w:p w:rsidR="00C22D08" w:rsidRDefault="00C22D08" w:rsidP="00C4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08" w:rsidRDefault="00C22D08" w:rsidP="00C44B46">
      <w:pPr>
        <w:spacing w:after="0" w:line="240" w:lineRule="auto"/>
      </w:pPr>
      <w:r>
        <w:separator/>
      </w:r>
    </w:p>
  </w:footnote>
  <w:footnote w:type="continuationSeparator" w:id="0">
    <w:p w:rsidR="00C22D08" w:rsidRDefault="00C22D08" w:rsidP="00C44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521932"/>
      <w:docPartObj>
        <w:docPartGallery w:val="Page Numbers (Top of Page)"/>
        <w:docPartUnique/>
      </w:docPartObj>
    </w:sdtPr>
    <w:sdtEndPr>
      <w:rPr>
        <w:noProof/>
      </w:rPr>
    </w:sdtEndPr>
    <w:sdtContent>
      <w:p w:rsidR="00C44B46" w:rsidRDefault="00C44B46">
        <w:pPr>
          <w:pStyle w:val="Header"/>
          <w:jc w:val="right"/>
          <w:rPr>
            <w:noProof/>
          </w:rPr>
        </w:pPr>
        <w:r>
          <w:fldChar w:fldCharType="begin"/>
        </w:r>
        <w:r>
          <w:instrText xml:space="preserve"> PAGE   \* MERGEFORMAT </w:instrText>
        </w:r>
        <w:r>
          <w:fldChar w:fldCharType="separate"/>
        </w:r>
        <w:r w:rsidR="002746D4">
          <w:rPr>
            <w:noProof/>
          </w:rPr>
          <w:t>1</w:t>
        </w:r>
        <w:r>
          <w:rPr>
            <w:noProof/>
          </w:rPr>
          <w:fldChar w:fldCharType="end"/>
        </w:r>
      </w:p>
      <w:p w:rsidR="00C44B46" w:rsidRDefault="00C44B46">
        <w:pPr>
          <w:pStyle w:val="Header"/>
          <w:jc w:val="right"/>
          <w:rPr>
            <w:noProof/>
          </w:rPr>
        </w:pPr>
        <w:r>
          <w:rPr>
            <w:noProof/>
          </w:rPr>
          <w:t xml:space="preserve">HH </w:t>
        </w:r>
        <w:r w:rsidR="00F61071">
          <w:rPr>
            <w:noProof/>
          </w:rPr>
          <w:t>249-</w:t>
        </w:r>
        <w:r>
          <w:rPr>
            <w:noProof/>
          </w:rPr>
          <w:t>23</w:t>
        </w:r>
      </w:p>
      <w:p w:rsidR="00C44B46" w:rsidRDefault="00090F8A">
        <w:pPr>
          <w:pStyle w:val="Header"/>
          <w:jc w:val="right"/>
        </w:pPr>
        <w:r>
          <w:rPr>
            <w:noProof/>
          </w:rPr>
          <w:t>HC 72</w:t>
        </w:r>
        <w:r w:rsidR="00C44B46">
          <w:rPr>
            <w:noProof/>
          </w:rPr>
          <w:t>44/21</w:t>
        </w:r>
      </w:p>
    </w:sdtContent>
  </w:sdt>
  <w:p w:rsidR="00C44B46" w:rsidRDefault="00C44B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3763"/>
    <w:multiLevelType w:val="hybridMultilevel"/>
    <w:tmpl w:val="45B83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D7B13"/>
    <w:multiLevelType w:val="hybridMultilevel"/>
    <w:tmpl w:val="31029308"/>
    <w:lvl w:ilvl="0" w:tplc="078CC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ED"/>
    <w:rsid w:val="00054854"/>
    <w:rsid w:val="0005702D"/>
    <w:rsid w:val="0007111E"/>
    <w:rsid w:val="000834D2"/>
    <w:rsid w:val="00085F5A"/>
    <w:rsid w:val="00090F8A"/>
    <w:rsid w:val="000A08E3"/>
    <w:rsid w:val="000D2085"/>
    <w:rsid w:val="000D36F5"/>
    <w:rsid w:val="00152306"/>
    <w:rsid w:val="00183756"/>
    <w:rsid w:val="001A5B47"/>
    <w:rsid w:val="001B7A58"/>
    <w:rsid w:val="001D723E"/>
    <w:rsid w:val="00254E1D"/>
    <w:rsid w:val="002746D4"/>
    <w:rsid w:val="00277078"/>
    <w:rsid w:val="002A16C9"/>
    <w:rsid w:val="00307954"/>
    <w:rsid w:val="00340E0C"/>
    <w:rsid w:val="00357CB2"/>
    <w:rsid w:val="003D743C"/>
    <w:rsid w:val="003F50BF"/>
    <w:rsid w:val="00413C24"/>
    <w:rsid w:val="004C492A"/>
    <w:rsid w:val="004F581F"/>
    <w:rsid w:val="005241E6"/>
    <w:rsid w:val="005A7814"/>
    <w:rsid w:val="005C3980"/>
    <w:rsid w:val="005D7614"/>
    <w:rsid w:val="006400A9"/>
    <w:rsid w:val="00672D9A"/>
    <w:rsid w:val="00674689"/>
    <w:rsid w:val="00677B68"/>
    <w:rsid w:val="006858F2"/>
    <w:rsid w:val="006A3253"/>
    <w:rsid w:val="006C0939"/>
    <w:rsid w:val="00742622"/>
    <w:rsid w:val="00787A6A"/>
    <w:rsid w:val="007F7443"/>
    <w:rsid w:val="00804DF0"/>
    <w:rsid w:val="008120DC"/>
    <w:rsid w:val="0082516D"/>
    <w:rsid w:val="008F4D85"/>
    <w:rsid w:val="008F5137"/>
    <w:rsid w:val="00916DB1"/>
    <w:rsid w:val="00961043"/>
    <w:rsid w:val="009B29AE"/>
    <w:rsid w:val="00A83A4D"/>
    <w:rsid w:val="00A90FD9"/>
    <w:rsid w:val="00B3623E"/>
    <w:rsid w:val="00B97305"/>
    <w:rsid w:val="00BF62E9"/>
    <w:rsid w:val="00C22D08"/>
    <w:rsid w:val="00C44B46"/>
    <w:rsid w:val="00DA6CDB"/>
    <w:rsid w:val="00DB4D55"/>
    <w:rsid w:val="00DE66ED"/>
    <w:rsid w:val="00E049E7"/>
    <w:rsid w:val="00E63021"/>
    <w:rsid w:val="00EC3571"/>
    <w:rsid w:val="00EE1EDE"/>
    <w:rsid w:val="00EE760A"/>
    <w:rsid w:val="00F61071"/>
    <w:rsid w:val="00F67555"/>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12504-DCEB-4176-827C-CCE295DC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92A"/>
    <w:pPr>
      <w:ind w:left="720"/>
      <w:contextualSpacing/>
    </w:pPr>
  </w:style>
  <w:style w:type="paragraph" w:styleId="Header">
    <w:name w:val="header"/>
    <w:basedOn w:val="Normal"/>
    <w:link w:val="HeaderChar"/>
    <w:uiPriority w:val="99"/>
    <w:unhideWhenUsed/>
    <w:rsid w:val="00C4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46"/>
  </w:style>
  <w:style w:type="paragraph" w:styleId="Footer">
    <w:name w:val="footer"/>
    <w:basedOn w:val="Normal"/>
    <w:link w:val="FooterChar"/>
    <w:uiPriority w:val="99"/>
    <w:unhideWhenUsed/>
    <w:rsid w:val="00C4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46"/>
  </w:style>
  <w:style w:type="paragraph" w:styleId="BalloonText">
    <w:name w:val="Balloon Text"/>
    <w:basedOn w:val="Normal"/>
    <w:link w:val="BalloonTextChar"/>
    <w:uiPriority w:val="99"/>
    <w:semiHidden/>
    <w:unhideWhenUsed/>
    <w:rsid w:val="00EE1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2023-04-12T13:26:00Z</cp:lastPrinted>
  <dcterms:created xsi:type="dcterms:W3CDTF">2023-04-14T10:44:00Z</dcterms:created>
  <dcterms:modified xsi:type="dcterms:W3CDTF">2023-04-14T10:44:00Z</dcterms:modified>
</cp:coreProperties>
</file>