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D89" w:rsidRPr="00523BA6" w:rsidRDefault="00E51D89" w:rsidP="00E51D89">
      <w:pPr>
        <w:rPr>
          <w:rFonts w:cs="Tahoma"/>
          <w:b/>
          <w:color w:val="auto"/>
          <w:szCs w:val="24"/>
        </w:rPr>
      </w:pPr>
      <w:bookmarkStart w:id="0" w:name="_GoBack"/>
      <w:bookmarkEnd w:id="0"/>
      <w:r w:rsidRPr="00523BA6">
        <w:rPr>
          <w:rFonts w:cs="Tahoma"/>
          <w:b/>
          <w:color w:val="auto"/>
          <w:szCs w:val="24"/>
        </w:rPr>
        <w:t xml:space="preserve">IN THE LABOUR COURT OF ZIMBABWE             </w:t>
      </w:r>
    </w:p>
    <w:p w:rsidR="00E51D89" w:rsidRDefault="00E51D89" w:rsidP="00E51D89">
      <w:pPr>
        <w:rPr>
          <w:rFonts w:cs="Tahoma"/>
          <w:b/>
          <w:color w:val="auto"/>
          <w:szCs w:val="24"/>
        </w:rPr>
      </w:pPr>
      <w:r w:rsidRPr="00523BA6">
        <w:rPr>
          <w:rFonts w:cs="Tahoma"/>
          <w:b/>
          <w:color w:val="auto"/>
          <w:szCs w:val="24"/>
        </w:rPr>
        <w:t xml:space="preserve">HELD AT </w:t>
      </w:r>
      <w:r w:rsidR="003D14D2" w:rsidRPr="00523BA6">
        <w:rPr>
          <w:rFonts w:cs="Tahoma"/>
          <w:b/>
          <w:color w:val="auto"/>
          <w:szCs w:val="24"/>
        </w:rPr>
        <w:t xml:space="preserve">HARARE ON </w:t>
      </w:r>
      <w:r w:rsidR="003D5A05">
        <w:rPr>
          <w:rFonts w:cs="Tahoma"/>
          <w:b/>
          <w:color w:val="auto"/>
          <w:szCs w:val="24"/>
        </w:rPr>
        <w:t>11</w:t>
      </w:r>
      <w:r w:rsidR="0014119D" w:rsidRPr="0014119D">
        <w:rPr>
          <w:rFonts w:cs="Tahoma"/>
          <w:b/>
          <w:color w:val="auto"/>
          <w:szCs w:val="24"/>
          <w:vertAlign w:val="superscript"/>
        </w:rPr>
        <w:t>TH</w:t>
      </w:r>
      <w:r w:rsidR="003D5A05">
        <w:rPr>
          <w:rFonts w:cs="Tahoma"/>
          <w:b/>
          <w:color w:val="auto"/>
          <w:szCs w:val="24"/>
        </w:rPr>
        <w:t xml:space="preserve"> MARCH 2015         </w:t>
      </w:r>
      <w:r w:rsidR="005C58EB" w:rsidRPr="00523BA6">
        <w:rPr>
          <w:rFonts w:cs="Tahoma"/>
          <w:b/>
          <w:color w:val="auto"/>
          <w:szCs w:val="24"/>
        </w:rPr>
        <w:t xml:space="preserve">  </w:t>
      </w:r>
      <w:r w:rsidRPr="00523BA6">
        <w:rPr>
          <w:rFonts w:cs="Tahoma"/>
          <w:b/>
          <w:color w:val="auto"/>
          <w:szCs w:val="24"/>
        </w:rPr>
        <w:t>CASE NO.</w:t>
      </w:r>
      <w:r w:rsidR="003D14D2" w:rsidRPr="00523BA6">
        <w:rPr>
          <w:rFonts w:cs="Tahoma"/>
          <w:b/>
          <w:color w:val="auto"/>
          <w:szCs w:val="24"/>
        </w:rPr>
        <w:t xml:space="preserve"> </w:t>
      </w:r>
      <w:r w:rsidR="003D5A05">
        <w:rPr>
          <w:rFonts w:cs="Tahoma"/>
          <w:b/>
          <w:color w:val="auto"/>
          <w:szCs w:val="24"/>
        </w:rPr>
        <w:t>LC/H/275/15</w:t>
      </w:r>
    </w:p>
    <w:p w:rsidR="008A5FEC" w:rsidRPr="00523BA6" w:rsidRDefault="008A5FEC" w:rsidP="00E51D89">
      <w:pPr>
        <w:rPr>
          <w:rFonts w:cs="Tahoma"/>
          <w:b/>
          <w:color w:val="auto"/>
          <w:szCs w:val="24"/>
        </w:rPr>
      </w:pPr>
      <w:r>
        <w:rPr>
          <w:rFonts w:cs="Tahoma"/>
          <w:b/>
          <w:color w:val="auto"/>
          <w:szCs w:val="24"/>
        </w:rPr>
        <w:t xml:space="preserve">AND </w:t>
      </w:r>
      <w:r w:rsidR="0002151B">
        <w:rPr>
          <w:rFonts w:cs="Tahoma"/>
          <w:b/>
          <w:color w:val="auto"/>
          <w:szCs w:val="24"/>
        </w:rPr>
        <w:t>18</w:t>
      </w:r>
      <w:r w:rsidR="0002151B" w:rsidRPr="0002151B">
        <w:rPr>
          <w:rFonts w:cs="Tahoma"/>
          <w:b/>
          <w:color w:val="auto"/>
          <w:szCs w:val="24"/>
          <w:vertAlign w:val="superscript"/>
        </w:rPr>
        <w:t>th</w:t>
      </w:r>
      <w:r w:rsidR="0002151B">
        <w:rPr>
          <w:rFonts w:cs="Tahoma"/>
          <w:b/>
          <w:color w:val="auto"/>
          <w:szCs w:val="24"/>
        </w:rPr>
        <w:t xml:space="preserve"> MARCH</w:t>
      </w:r>
      <w:r>
        <w:rPr>
          <w:rFonts w:cs="Tahoma"/>
          <w:b/>
          <w:color w:val="auto"/>
          <w:szCs w:val="24"/>
        </w:rPr>
        <w:t>, 2016</w:t>
      </w:r>
    </w:p>
    <w:p w:rsidR="00E51D89" w:rsidRPr="00523BA6" w:rsidRDefault="00E51D89" w:rsidP="00E51D89">
      <w:pPr>
        <w:rPr>
          <w:rFonts w:cs="Tahoma"/>
          <w:color w:val="auto"/>
          <w:szCs w:val="24"/>
        </w:rPr>
      </w:pPr>
      <w:r w:rsidRPr="00523BA6">
        <w:rPr>
          <w:rFonts w:cs="Tahoma"/>
          <w:color w:val="auto"/>
          <w:szCs w:val="24"/>
        </w:rPr>
        <w:t xml:space="preserve">In the matter between:- </w:t>
      </w:r>
    </w:p>
    <w:p w:rsidR="00E51D89" w:rsidRPr="00523BA6" w:rsidRDefault="000F6091" w:rsidP="00BE6E11">
      <w:pPr>
        <w:rPr>
          <w:rFonts w:cs="Tahoma"/>
          <w:b/>
          <w:color w:val="auto"/>
          <w:szCs w:val="24"/>
        </w:rPr>
      </w:pPr>
      <w:r>
        <w:rPr>
          <w:rFonts w:cs="Tahoma"/>
          <w:b/>
          <w:color w:val="auto"/>
          <w:szCs w:val="24"/>
        </w:rPr>
        <w:t xml:space="preserve">ACKIM ZEMBE                                            </w:t>
      </w:r>
      <w:r w:rsidR="00BE6E11" w:rsidRPr="00523BA6">
        <w:rPr>
          <w:rFonts w:cs="Tahoma"/>
          <w:b/>
          <w:color w:val="auto"/>
          <w:szCs w:val="24"/>
        </w:rPr>
        <w:t>-</w:t>
      </w:r>
      <w:r w:rsidR="008A5FEC">
        <w:rPr>
          <w:rFonts w:cs="Tahoma"/>
          <w:b/>
          <w:color w:val="auto"/>
          <w:szCs w:val="24"/>
        </w:rPr>
        <w:tab/>
      </w:r>
      <w:r w:rsidR="008A5FEC">
        <w:rPr>
          <w:rFonts w:cs="Tahoma"/>
          <w:b/>
          <w:color w:val="auto"/>
          <w:szCs w:val="24"/>
        </w:rPr>
        <w:tab/>
      </w:r>
      <w:r w:rsidR="009D188E" w:rsidRPr="00523BA6">
        <w:rPr>
          <w:rFonts w:cs="Tahoma"/>
          <w:b/>
          <w:color w:val="auto"/>
          <w:szCs w:val="24"/>
        </w:rPr>
        <w:t>APPELLANT</w:t>
      </w:r>
    </w:p>
    <w:sdt>
      <w:sdtPr>
        <w:rPr>
          <w:color w:val="auto"/>
        </w:rPr>
        <w:id w:val="967902742"/>
        <w:docPartObj>
          <w:docPartGallery w:val="Cover Pages"/>
          <w:docPartUnique/>
        </w:docPartObj>
      </w:sdtPr>
      <w:sdtEndPr/>
      <w:sdtContent>
        <w:p w:rsidR="00E51D89" w:rsidRPr="00523BA6" w:rsidRDefault="00E51D89" w:rsidP="00E51D89">
          <w:pPr>
            <w:rPr>
              <w:b/>
              <w:color w:val="auto"/>
            </w:rPr>
          </w:pPr>
          <w:r w:rsidRPr="00523BA6">
            <w:rPr>
              <w:b/>
              <w:color w:val="auto"/>
              <w:szCs w:val="24"/>
            </w:rPr>
            <w:t>AND</w:t>
          </w:r>
        </w:p>
        <w:p w:rsidR="00EA2BDD" w:rsidRPr="00523BA6" w:rsidRDefault="000F6091" w:rsidP="00EA2BDD">
          <w:pPr>
            <w:rPr>
              <w:rFonts w:cs="Tahoma"/>
              <w:b/>
              <w:color w:val="auto"/>
              <w:szCs w:val="24"/>
            </w:rPr>
          </w:pPr>
          <w:r>
            <w:rPr>
              <w:rFonts w:cs="Tahoma"/>
              <w:b/>
              <w:color w:val="auto"/>
              <w:szCs w:val="24"/>
            </w:rPr>
            <w:t xml:space="preserve">INNSCOR AFRICA </w:t>
          </w:r>
          <w:r w:rsidR="008A5FEC">
            <w:rPr>
              <w:rFonts w:cs="Tahoma"/>
              <w:b/>
              <w:color w:val="auto"/>
              <w:szCs w:val="24"/>
            </w:rPr>
            <w:t>FAST FOODS</w:t>
          </w:r>
          <w:r>
            <w:rPr>
              <w:rFonts w:cs="Tahoma"/>
              <w:b/>
              <w:color w:val="auto"/>
              <w:szCs w:val="24"/>
            </w:rPr>
            <w:t xml:space="preserve">                  </w:t>
          </w:r>
          <w:r w:rsidR="008A5FEC">
            <w:rPr>
              <w:rFonts w:cs="Tahoma"/>
              <w:b/>
              <w:color w:val="auto"/>
              <w:szCs w:val="24"/>
            </w:rPr>
            <w:t xml:space="preserve">- </w:t>
          </w:r>
          <w:r w:rsidR="008A5FEC">
            <w:rPr>
              <w:rFonts w:cs="Tahoma"/>
              <w:b/>
              <w:color w:val="auto"/>
              <w:szCs w:val="24"/>
            </w:rPr>
            <w:tab/>
          </w:r>
          <w:r w:rsidR="009D188E" w:rsidRPr="00523BA6">
            <w:rPr>
              <w:rFonts w:cs="Tahoma"/>
              <w:b/>
              <w:color w:val="auto"/>
              <w:szCs w:val="24"/>
            </w:rPr>
            <w:t xml:space="preserve"> RESPONDENT</w:t>
          </w:r>
        </w:p>
        <w:p w:rsidR="00EA2BDD" w:rsidRPr="00523BA6" w:rsidRDefault="00EA2BDD" w:rsidP="00EA2BDD">
          <w:pPr>
            <w:rPr>
              <w:rFonts w:cs="Tahoma"/>
              <w:color w:val="auto"/>
              <w:szCs w:val="24"/>
            </w:rPr>
          </w:pPr>
          <w:r w:rsidRPr="00523BA6">
            <w:rPr>
              <w:rFonts w:cs="Tahoma"/>
              <w:color w:val="auto"/>
              <w:szCs w:val="24"/>
            </w:rPr>
            <w:t xml:space="preserve">Before the Honourable B.T Chivizhe: Judge </w:t>
          </w:r>
        </w:p>
        <w:p w:rsidR="00EA2BDD" w:rsidRPr="00523BA6" w:rsidRDefault="00EA2BDD" w:rsidP="00EA2BDD">
          <w:pPr>
            <w:rPr>
              <w:rFonts w:cs="Tahoma"/>
              <w:b/>
              <w:color w:val="auto"/>
              <w:szCs w:val="24"/>
            </w:rPr>
          </w:pPr>
          <w:r w:rsidRPr="00523BA6">
            <w:rPr>
              <w:rFonts w:cs="Tahoma"/>
              <w:b/>
              <w:color w:val="auto"/>
              <w:szCs w:val="24"/>
            </w:rPr>
            <w:t>For Appellant</w:t>
          </w:r>
          <w:r w:rsidR="008A5FEC">
            <w:rPr>
              <w:rFonts w:cs="Tahoma"/>
              <w:b/>
              <w:color w:val="auto"/>
              <w:szCs w:val="24"/>
            </w:rPr>
            <w:tab/>
          </w:r>
          <w:r w:rsidRPr="00523BA6">
            <w:rPr>
              <w:rFonts w:cs="Tahoma"/>
              <w:b/>
              <w:color w:val="auto"/>
              <w:szCs w:val="24"/>
            </w:rPr>
            <w:t>:</w:t>
          </w:r>
          <w:r w:rsidR="000F6091">
            <w:rPr>
              <w:rFonts w:cs="Tahoma"/>
              <w:b/>
              <w:color w:val="auto"/>
              <w:szCs w:val="24"/>
            </w:rPr>
            <w:t xml:space="preserve"> Mr A. Zembe</w:t>
          </w:r>
          <w:r w:rsidR="00BE6E11" w:rsidRPr="00523BA6">
            <w:rPr>
              <w:rFonts w:cs="Tahoma"/>
              <w:b/>
              <w:color w:val="auto"/>
              <w:szCs w:val="24"/>
            </w:rPr>
            <w:t xml:space="preserve"> </w:t>
          </w:r>
          <w:r w:rsidR="000F6091">
            <w:rPr>
              <w:rFonts w:cs="Tahoma"/>
              <w:b/>
              <w:color w:val="auto"/>
              <w:szCs w:val="24"/>
            </w:rPr>
            <w:t>(In Person</w:t>
          </w:r>
          <w:r w:rsidR="008871B5" w:rsidRPr="00523BA6">
            <w:rPr>
              <w:rFonts w:cs="Tahoma"/>
              <w:b/>
              <w:color w:val="auto"/>
              <w:szCs w:val="24"/>
            </w:rPr>
            <w:t xml:space="preserve">) </w:t>
          </w:r>
        </w:p>
        <w:p w:rsidR="00EA2BDD" w:rsidRPr="00523BA6" w:rsidRDefault="00EA2BDD" w:rsidP="00EA2BDD">
          <w:pPr>
            <w:rPr>
              <w:rFonts w:cs="Tahoma"/>
              <w:b/>
              <w:color w:val="auto"/>
              <w:szCs w:val="24"/>
            </w:rPr>
          </w:pPr>
          <w:r w:rsidRPr="00523BA6">
            <w:rPr>
              <w:rFonts w:cs="Tahoma"/>
              <w:b/>
              <w:color w:val="auto"/>
              <w:szCs w:val="24"/>
            </w:rPr>
            <w:t>For Respondent</w:t>
          </w:r>
          <w:r w:rsidR="008A5FEC">
            <w:rPr>
              <w:rFonts w:cs="Tahoma"/>
              <w:b/>
              <w:color w:val="auto"/>
              <w:szCs w:val="24"/>
            </w:rPr>
            <w:tab/>
          </w:r>
          <w:r w:rsidRPr="00523BA6">
            <w:rPr>
              <w:rFonts w:cs="Tahoma"/>
              <w:b/>
              <w:color w:val="auto"/>
              <w:szCs w:val="24"/>
            </w:rPr>
            <w:t xml:space="preserve">: </w:t>
          </w:r>
          <w:r w:rsidR="000F6091">
            <w:rPr>
              <w:rFonts w:cs="Tahoma"/>
              <w:b/>
              <w:color w:val="auto"/>
              <w:szCs w:val="24"/>
            </w:rPr>
            <w:t>Mr B. Taru</w:t>
          </w:r>
          <w:r w:rsidR="00012499">
            <w:rPr>
              <w:rFonts w:cs="Tahoma"/>
              <w:b/>
              <w:color w:val="auto"/>
              <w:szCs w:val="24"/>
            </w:rPr>
            <w:t>wi</w:t>
          </w:r>
          <w:r w:rsidR="000F6091">
            <w:rPr>
              <w:rFonts w:cs="Tahoma"/>
              <w:b/>
              <w:color w:val="auto"/>
              <w:szCs w:val="24"/>
            </w:rPr>
            <w:t>nga (Human Resources Manager</w:t>
          </w:r>
          <w:r w:rsidR="008871B5" w:rsidRPr="00523BA6">
            <w:rPr>
              <w:rFonts w:cs="Tahoma"/>
              <w:b/>
              <w:color w:val="auto"/>
              <w:szCs w:val="24"/>
            </w:rPr>
            <w:t xml:space="preserve">) </w:t>
          </w:r>
          <w:r w:rsidRPr="00523BA6">
            <w:rPr>
              <w:rFonts w:cs="Tahoma"/>
              <w:b/>
              <w:color w:val="auto"/>
              <w:szCs w:val="24"/>
            </w:rPr>
            <w:t xml:space="preserve"> </w:t>
          </w:r>
        </w:p>
        <w:p w:rsidR="008871B5" w:rsidRPr="00523BA6" w:rsidRDefault="00EA2BDD" w:rsidP="006C1FF4">
          <w:pPr>
            <w:rPr>
              <w:color w:val="auto"/>
            </w:rPr>
          </w:pPr>
          <w:r w:rsidRPr="00523BA6">
            <w:rPr>
              <w:rFonts w:cs="Tahoma"/>
              <w:b/>
              <w:color w:val="auto"/>
              <w:szCs w:val="24"/>
            </w:rPr>
            <w:t>CHIVIZHE</w:t>
          </w:r>
          <w:r w:rsidR="00C352A3" w:rsidRPr="00523BA6">
            <w:rPr>
              <w:rFonts w:cs="Tahoma"/>
              <w:b/>
              <w:color w:val="auto"/>
              <w:szCs w:val="24"/>
            </w:rPr>
            <w:t xml:space="preserve">, J; </w:t>
          </w:r>
        </w:p>
      </w:sdtContent>
    </w:sdt>
    <w:p w:rsidR="000F6091" w:rsidRDefault="000F6091" w:rsidP="006C1FF4">
      <w:pPr>
        <w:rPr>
          <w:color w:val="auto"/>
        </w:rPr>
      </w:pPr>
      <w:r>
        <w:rPr>
          <w:color w:val="auto"/>
        </w:rPr>
        <w:tab/>
        <w:t>This is an appeal against a determination by the Respondent Appeals Authority handed down on the 12</w:t>
      </w:r>
      <w:r w:rsidRPr="000F6091">
        <w:rPr>
          <w:color w:val="auto"/>
          <w:vertAlign w:val="superscript"/>
        </w:rPr>
        <w:t>th</w:t>
      </w:r>
      <w:r>
        <w:rPr>
          <w:color w:val="auto"/>
        </w:rPr>
        <w:t xml:space="preserve"> of February 2015 but received by Appellant on the 2</w:t>
      </w:r>
      <w:r w:rsidRPr="000F6091">
        <w:rPr>
          <w:color w:val="auto"/>
          <w:vertAlign w:val="superscript"/>
        </w:rPr>
        <w:t>nd</w:t>
      </w:r>
      <w:r>
        <w:rPr>
          <w:color w:val="auto"/>
        </w:rPr>
        <w:t xml:space="preserve"> March 2015. The appeal is opposed. </w:t>
      </w:r>
    </w:p>
    <w:p w:rsidR="002A4BB1" w:rsidRDefault="000F6091" w:rsidP="006C1FF4">
      <w:pPr>
        <w:rPr>
          <w:color w:val="auto"/>
        </w:rPr>
      </w:pPr>
      <w:r>
        <w:rPr>
          <w:color w:val="auto"/>
        </w:rPr>
        <w:tab/>
        <w:t>The Appellant was employed by the Respondent as a Shift Manager. He appeared before a Disciplinary Authority on the 10</w:t>
      </w:r>
      <w:r w:rsidRPr="000F6091">
        <w:rPr>
          <w:color w:val="auto"/>
          <w:vertAlign w:val="superscript"/>
        </w:rPr>
        <w:t>th</w:t>
      </w:r>
      <w:r>
        <w:rPr>
          <w:color w:val="auto"/>
        </w:rPr>
        <w:t xml:space="preserve"> of July, 2008 facing charges of misconduct i.e </w:t>
      </w:r>
      <w:r w:rsidRPr="00295F9D">
        <w:rPr>
          <w:b/>
          <w:color w:val="auto"/>
        </w:rPr>
        <w:t>Section 4 (a) of Statutory Instrument 15 of 2006</w:t>
      </w:r>
      <w:r w:rsidR="00CA501A">
        <w:rPr>
          <w:color w:val="auto"/>
        </w:rPr>
        <w:t>. The allegations were that the Appellant had</w:t>
      </w:r>
      <w:r w:rsidR="00E25965">
        <w:rPr>
          <w:color w:val="auto"/>
        </w:rPr>
        <w:t>,</w:t>
      </w:r>
      <w:r w:rsidR="00CA501A">
        <w:rPr>
          <w:color w:val="auto"/>
        </w:rPr>
        <w:t xml:space="preserve"> following a spot check</w:t>
      </w:r>
      <w:r w:rsidR="00E25965">
        <w:rPr>
          <w:color w:val="auto"/>
        </w:rPr>
        <w:t xml:space="preserve">, </w:t>
      </w:r>
      <w:r w:rsidR="00CA501A">
        <w:rPr>
          <w:color w:val="auto"/>
        </w:rPr>
        <w:t xml:space="preserve">been found with a negative variance of Z$80 Billion and </w:t>
      </w:r>
      <w:r w:rsidR="00E25965">
        <w:rPr>
          <w:color w:val="auto"/>
        </w:rPr>
        <w:t>Z</w:t>
      </w:r>
      <w:r w:rsidR="00CA501A">
        <w:rPr>
          <w:color w:val="auto"/>
        </w:rPr>
        <w:t>$8 billion. The Disciplinary Authority referred its determination to Prime Legal Aid Society who were facilitating</w:t>
      </w:r>
      <w:r w:rsidR="00E25965">
        <w:rPr>
          <w:color w:val="auto"/>
        </w:rPr>
        <w:t xml:space="preserve"> the Appellant l</w:t>
      </w:r>
      <w:r w:rsidR="00CA501A">
        <w:rPr>
          <w:color w:val="auto"/>
        </w:rPr>
        <w:t>egal representation at the time.</w:t>
      </w:r>
      <w:r w:rsidR="00E25965">
        <w:rPr>
          <w:color w:val="auto"/>
        </w:rPr>
        <w:t xml:space="preserve"> </w:t>
      </w:r>
      <w:r w:rsidR="002A4BB1">
        <w:rPr>
          <w:color w:val="auto"/>
        </w:rPr>
        <w:t>The judgement was referred on 17</w:t>
      </w:r>
      <w:r w:rsidR="002A4BB1" w:rsidRPr="002A4BB1">
        <w:rPr>
          <w:color w:val="auto"/>
          <w:vertAlign w:val="superscript"/>
        </w:rPr>
        <w:t>th</w:t>
      </w:r>
      <w:r w:rsidR="002A4BB1">
        <w:rPr>
          <w:color w:val="auto"/>
        </w:rPr>
        <w:t xml:space="preserve"> of July, 2008. The Appellant received the judgment later from there. When the Appellant attempted to note his appeal he was advised that he was out of time as the code required that an appeal be noted 7 days from the date of judgement.</w:t>
      </w:r>
    </w:p>
    <w:p w:rsidR="008A5FEC" w:rsidRDefault="008A5FEC" w:rsidP="006C1FF4">
      <w:pPr>
        <w:rPr>
          <w:color w:val="auto"/>
        </w:rPr>
      </w:pPr>
    </w:p>
    <w:p w:rsidR="00181D7A" w:rsidRDefault="006C02A9" w:rsidP="00E25965">
      <w:pPr>
        <w:ind w:firstLine="720"/>
        <w:rPr>
          <w:color w:val="auto"/>
        </w:rPr>
      </w:pPr>
      <w:r>
        <w:rPr>
          <w:color w:val="auto"/>
        </w:rPr>
        <w:t>The Appellant still aggrieved then referred a complaint to the Labour Officer. The matter was subsequently referred to compulsory arbitration. The arbitral award was handed down on the 13</w:t>
      </w:r>
      <w:r w:rsidRPr="006C02A9">
        <w:rPr>
          <w:color w:val="auto"/>
          <w:vertAlign w:val="superscript"/>
        </w:rPr>
        <w:t>th</w:t>
      </w:r>
      <w:r>
        <w:rPr>
          <w:color w:val="auto"/>
        </w:rPr>
        <w:t xml:space="preserve"> of June, 2014. In her ruling the Arbitrator found that the Appellant had not exhausted domestic remedies and should explore that route. The Appellant then lodged his second appeal to the Appeals Authority. In a letter dated 8</w:t>
      </w:r>
      <w:r w:rsidRPr="006C02A9">
        <w:rPr>
          <w:color w:val="auto"/>
          <w:vertAlign w:val="superscript"/>
        </w:rPr>
        <w:t>th</w:t>
      </w:r>
      <w:r>
        <w:rPr>
          <w:color w:val="auto"/>
        </w:rPr>
        <w:t xml:space="preserve"> of July 2014 but received by Appellant on the 28</w:t>
      </w:r>
      <w:r w:rsidRPr="006C02A9">
        <w:rPr>
          <w:color w:val="auto"/>
          <w:vertAlign w:val="superscript"/>
        </w:rPr>
        <w:t>th</w:t>
      </w:r>
      <w:r>
        <w:rPr>
          <w:color w:val="auto"/>
        </w:rPr>
        <w:t xml:space="preserve"> of October 2014 the Appellant was advised that his appeal</w:t>
      </w:r>
      <w:r w:rsidR="00181D7A">
        <w:rPr>
          <w:color w:val="auto"/>
        </w:rPr>
        <w:t xml:space="preserve"> </w:t>
      </w:r>
      <w:r>
        <w:rPr>
          <w:color w:val="auto"/>
        </w:rPr>
        <w:t>could not be heard as it was out of time and there was no application for condonation. The Appellant then filed an application for condonation of late noting of his appeal</w:t>
      </w:r>
      <w:r w:rsidR="00181D7A">
        <w:rPr>
          <w:color w:val="auto"/>
        </w:rPr>
        <w:t xml:space="preserve"> on the 31</w:t>
      </w:r>
      <w:r w:rsidR="00181D7A" w:rsidRPr="00181D7A">
        <w:rPr>
          <w:color w:val="auto"/>
          <w:vertAlign w:val="superscript"/>
        </w:rPr>
        <w:t>st</w:t>
      </w:r>
      <w:r w:rsidR="00181D7A">
        <w:rPr>
          <w:color w:val="auto"/>
        </w:rPr>
        <w:t xml:space="preserve"> of October 2014.</w:t>
      </w:r>
      <w:r w:rsidR="00E25965">
        <w:rPr>
          <w:color w:val="auto"/>
        </w:rPr>
        <w:t xml:space="preserve"> In a</w:t>
      </w:r>
      <w:r w:rsidR="00181D7A">
        <w:rPr>
          <w:color w:val="auto"/>
        </w:rPr>
        <w:t xml:space="preserve"> letter dated 12</w:t>
      </w:r>
      <w:r w:rsidR="00181D7A" w:rsidRPr="00181D7A">
        <w:rPr>
          <w:color w:val="auto"/>
          <w:vertAlign w:val="superscript"/>
        </w:rPr>
        <w:t>th</w:t>
      </w:r>
      <w:r w:rsidR="00181D7A">
        <w:rPr>
          <w:color w:val="auto"/>
        </w:rPr>
        <w:t xml:space="preserve"> February 2015 the Human Resources Director advised the Appellant of the dismissal of his application for condonation on the two points, firstly on the basis that the Appellant had tendered false reasons for his failure to comply with time frames and secondly that he had no prospects of success on appeal.</w:t>
      </w:r>
    </w:p>
    <w:p w:rsidR="006C1FF4" w:rsidRDefault="00181D7A" w:rsidP="00E25965">
      <w:pPr>
        <w:ind w:firstLine="720"/>
        <w:rPr>
          <w:color w:val="auto"/>
        </w:rPr>
      </w:pPr>
      <w:r>
        <w:rPr>
          <w:color w:val="auto"/>
        </w:rPr>
        <w:t xml:space="preserve">Still aggrieved by this determination and undeterred the Appellant then noted the present appeal with this </w:t>
      </w:r>
      <w:r w:rsidR="008A5FEC">
        <w:rPr>
          <w:color w:val="auto"/>
        </w:rPr>
        <w:t>C</w:t>
      </w:r>
      <w:r>
        <w:rPr>
          <w:color w:val="auto"/>
        </w:rPr>
        <w:t>ourt. The basis for appealing</w:t>
      </w:r>
      <w:r w:rsidR="00E25965">
        <w:rPr>
          <w:color w:val="auto"/>
        </w:rPr>
        <w:t>, as outlined in his grounds is</w:t>
      </w:r>
      <w:r>
        <w:rPr>
          <w:color w:val="auto"/>
        </w:rPr>
        <w:t xml:space="preserve"> as follows;</w:t>
      </w:r>
      <w:r w:rsidR="005C58EB" w:rsidRPr="00523BA6">
        <w:rPr>
          <w:color w:val="auto"/>
        </w:rPr>
        <w:t xml:space="preserve"> </w:t>
      </w:r>
    </w:p>
    <w:p w:rsidR="008A5FEC" w:rsidRDefault="008A5FEC" w:rsidP="008A5FEC">
      <w:pPr>
        <w:pStyle w:val="ListParagraph"/>
        <w:numPr>
          <w:ilvl w:val="0"/>
          <w:numId w:val="7"/>
        </w:numPr>
        <w:spacing w:line="240" w:lineRule="auto"/>
        <w:rPr>
          <w:color w:val="auto"/>
          <w:sz w:val="22"/>
        </w:rPr>
      </w:pPr>
      <w:r>
        <w:rPr>
          <w:color w:val="auto"/>
          <w:sz w:val="22"/>
        </w:rPr>
        <w:t xml:space="preserve">This appeal is noted and these Grounds of Appeal were drafted </w:t>
      </w:r>
      <w:r w:rsidRPr="008A5FEC">
        <w:rPr>
          <w:b/>
          <w:color w:val="auto"/>
          <w:sz w:val="22"/>
        </w:rPr>
        <w:t>without</w:t>
      </w:r>
      <w:r>
        <w:rPr>
          <w:color w:val="auto"/>
          <w:sz w:val="22"/>
        </w:rPr>
        <w:t xml:space="preserve"> the benefit of the record of proceedings which Innscor Africa, through the office of the Appeals Authority, Mr M. Muleya, flatly refused to provide despite written request for it.</w:t>
      </w:r>
    </w:p>
    <w:p w:rsidR="008A5FEC" w:rsidRDefault="008A5FEC" w:rsidP="008A5FEC">
      <w:pPr>
        <w:pStyle w:val="ListParagraph"/>
        <w:spacing w:line="240" w:lineRule="auto"/>
        <w:ind w:left="1440"/>
        <w:rPr>
          <w:color w:val="auto"/>
          <w:sz w:val="22"/>
        </w:rPr>
      </w:pPr>
    </w:p>
    <w:p w:rsidR="008A5FEC" w:rsidRDefault="008A5FEC" w:rsidP="008A5FEC">
      <w:pPr>
        <w:pStyle w:val="ListParagraph"/>
        <w:numPr>
          <w:ilvl w:val="0"/>
          <w:numId w:val="7"/>
        </w:numPr>
        <w:spacing w:line="240" w:lineRule="auto"/>
        <w:rPr>
          <w:color w:val="auto"/>
          <w:sz w:val="22"/>
        </w:rPr>
      </w:pPr>
      <w:r>
        <w:rPr>
          <w:color w:val="auto"/>
          <w:sz w:val="22"/>
        </w:rPr>
        <w:t>There is clear evidence that the Appeals Authority who heard the appellant’s application for condonation for late noting of appeal was prejudiced against the appellant and should have recused himself. Suffice to point to his decision letter of the 12</w:t>
      </w:r>
      <w:r w:rsidRPr="008A5FEC">
        <w:rPr>
          <w:color w:val="auto"/>
          <w:sz w:val="22"/>
          <w:vertAlign w:val="superscript"/>
        </w:rPr>
        <w:t>th</w:t>
      </w:r>
      <w:r>
        <w:rPr>
          <w:color w:val="auto"/>
          <w:sz w:val="22"/>
        </w:rPr>
        <w:t xml:space="preserve"> of February 2015 which ends by stating – “</w:t>
      </w:r>
      <w:r w:rsidRPr="008A5FEC">
        <w:rPr>
          <w:i/>
          <w:color w:val="auto"/>
          <w:sz w:val="22"/>
        </w:rPr>
        <w:t>Please be advised that we consider this matter closed and no further correspondence will be entertained on same</w:t>
      </w:r>
      <w:r>
        <w:rPr>
          <w:color w:val="auto"/>
          <w:sz w:val="22"/>
        </w:rPr>
        <w:t>.”</w:t>
      </w:r>
    </w:p>
    <w:p w:rsidR="008A5FEC" w:rsidRPr="008A5FEC" w:rsidRDefault="008A5FEC" w:rsidP="008A5FEC">
      <w:pPr>
        <w:pStyle w:val="ListParagraph"/>
        <w:rPr>
          <w:color w:val="auto"/>
          <w:sz w:val="22"/>
        </w:rPr>
      </w:pPr>
    </w:p>
    <w:p w:rsidR="008A5FEC" w:rsidRDefault="008A5FEC" w:rsidP="008A5FEC">
      <w:pPr>
        <w:pStyle w:val="ListParagraph"/>
        <w:numPr>
          <w:ilvl w:val="0"/>
          <w:numId w:val="7"/>
        </w:numPr>
        <w:spacing w:line="240" w:lineRule="auto"/>
        <w:rPr>
          <w:color w:val="auto"/>
          <w:sz w:val="22"/>
        </w:rPr>
      </w:pPr>
      <w:r>
        <w:rPr>
          <w:color w:val="auto"/>
          <w:sz w:val="22"/>
        </w:rPr>
        <w:t>The respondent erred in that no proper hearing of the appellant’s application for condonation of late noting of appeal was conducted thus denyi</w:t>
      </w:r>
      <w:r w:rsidR="00EF326B">
        <w:rPr>
          <w:color w:val="auto"/>
          <w:sz w:val="22"/>
        </w:rPr>
        <w:t>n</w:t>
      </w:r>
      <w:r>
        <w:rPr>
          <w:color w:val="auto"/>
          <w:sz w:val="22"/>
        </w:rPr>
        <w:t xml:space="preserve">g the appellant </w:t>
      </w:r>
      <w:r w:rsidR="00EF326B">
        <w:rPr>
          <w:color w:val="auto"/>
          <w:sz w:val="22"/>
        </w:rPr>
        <w:t xml:space="preserve">the right to be heard in flagrant breach of the </w:t>
      </w:r>
      <w:r w:rsidR="00EF326B" w:rsidRPr="00EF326B">
        <w:rPr>
          <w:i/>
          <w:color w:val="auto"/>
          <w:sz w:val="22"/>
        </w:rPr>
        <w:t>audi alteram partem</w:t>
      </w:r>
      <w:r w:rsidR="00EF326B">
        <w:rPr>
          <w:color w:val="auto"/>
          <w:sz w:val="22"/>
        </w:rPr>
        <w:t xml:space="preserve"> principle of natural justice. After submitting my application all that I then received from the respondent was the letter from the respondent’s Human Resources Director, Mr M. Muleya and dated 12</w:t>
      </w:r>
      <w:r w:rsidR="00EF326B" w:rsidRPr="00EF326B">
        <w:rPr>
          <w:color w:val="auto"/>
          <w:sz w:val="22"/>
          <w:vertAlign w:val="superscript"/>
        </w:rPr>
        <w:t>th</w:t>
      </w:r>
      <w:r w:rsidR="00EF326B">
        <w:rPr>
          <w:color w:val="auto"/>
          <w:sz w:val="22"/>
        </w:rPr>
        <w:t xml:space="preserve"> February 2015, which was purportedly deciding on my application. The appellant was never called to a hearing and given the opportunity to expound on or amplify his submissions as contained in the application. The respondent’s letter of the 12</w:t>
      </w:r>
      <w:r w:rsidR="00EF326B" w:rsidRPr="00EF326B">
        <w:rPr>
          <w:color w:val="auto"/>
          <w:sz w:val="22"/>
          <w:vertAlign w:val="superscript"/>
        </w:rPr>
        <w:t>th</w:t>
      </w:r>
      <w:r w:rsidR="00EF326B">
        <w:rPr>
          <w:color w:val="auto"/>
          <w:sz w:val="22"/>
        </w:rPr>
        <w:t xml:space="preserve"> of </w:t>
      </w:r>
      <w:r w:rsidR="00EF326B">
        <w:rPr>
          <w:color w:val="auto"/>
          <w:sz w:val="22"/>
        </w:rPr>
        <w:lastRenderedPageBreak/>
        <w:t>February 2015 does not even indicate whether or not the need to conduct a proper hearing in respect of the application was ever given consideration. This suggests that the respondent took a cavalier approach to this matter without regard being had to whether or not real justice was being delivered to me.</w:t>
      </w:r>
    </w:p>
    <w:p w:rsidR="00EF326B" w:rsidRPr="00EF326B" w:rsidRDefault="00EF326B" w:rsidP="00EF326B">
      <w:pPr>
        <w:pStyle w:val="ListParagraph"/>
        <w:rPr>
          <w:color w:val="auto"/>
          <w:sz w:val="22"/>
        </w:rPr>
      </w:pPr>
    </w:p>
    <w:p w:rsidR="00EF326B" w:rsidRDefault="00EF326B" w:rsidP="008A5FEC">
      <w:pPr>
        <w:pStyle w:val="ListParagraph"/>
        <w:numPr>
          <w:ilvl w:val="0"/>
          <w:numId w:val="7"/>
        </w:numPr>
        <w:spacing w:line="240" w:lineRule="auto"/>
        <w:rPr>
          <w:color w:val="auto"/>
          <w:sz w:val="22"/>
        </w:rPr>
      </w:pPr>
      <w:r>
        <w:rPr>
          <w:color w:val="auto"/>
          <w:sz w:val="22"/>
        </w:rPr>
        <w:t>On the basis of the facts and a correct appreciation of the law on the standard of proof required in these matters the Appeals Officer erred in holding that my explanation for the delay in submitting my application for condonation of late noting of appeal was untrue. The Appeals Officer failed to give full weight and consideration to my detailed explanation of the chronology of events that led me to being late in submitting the application, which was, in my submission cogent and reasonable. I submit that a reasonable person facing the same circumstances that I faced in this matter would have behaved in the manner that I did.</w:t>
      </w:r>
    </w:p>
    <w:p w:rsidR="00EF326B" w:rsidRPr="00EF326B" w:rsidRDefault="00EF326B" w:rsidP="00EF326B">
      <w:pPr>
        <w:pStyle w:val="ListParagraph"/>
        <w:rPr>
          <w:color w:val="auto"/>
          <w:sz w:val="22"/>
        </w:rPr>
      </w:pPr>
    </w:p>
    <w:p w:rsidR="00EF326B" w:rsidRDefault="00EF326B" w:rsidP="008A5FEC">
      <w:pPr>
        <w:pStyle w:val="ListParagraph"/>
        <w:numPr>
          <w:ilvl w:val="0"/>
          <w:numId w:val="7"/>
        </w:numPr>
        <w:spacing w:line="240" w:lineRule="auto"/>
        <w:rPr>
          <w:color w:val="auto"/>
          <w:sz w:val="22"/>
        </w:rPr>
      </w:pPr>
      <w:r>
        <w:rPr>
          <w:color w:val="auto"/>
          <w:sz w:val="22"/>
        </w:rPr>
        <w:t>There are good prospects of success on appeal if my appeal within the Innscor Appeals structure is heard on the merits and determined fairly, in that –</w:t>
      </w:r>
    </w:p>
    <w:p w:rsidR="00EF326B" w:rsidRPr="00EF326B" w:rsidRDefault="00EF326B" w:rsidP="00EF326B">
      <w:pPr>
        <w:pStyle w:val="ListParagraph"/>
        <w:rPr>
          <w:color w:val="auto"/>
          <w:sz w:val="22"/>
        </w:rPr>
      </w:pPr>
    </w:p>
    <w:p w:rsidR="00EF326B" w:rsidRDefault="00EF326B" w:rsidP="00EF326B">
      <w:pPr>
        <w:pStyle w:val="ListParagraph"/>
        <w:numPr>
          <w:ilvl w:val="1"/>
          <w:numId w:val="7"/>
        </w:numPr>
        <w:spacing w:line="240" w:lineRule="auto"/>
        <w:rPr>
          <w:color w:val="auto"/>
          <w:sz w:val="22"/>
        </w:rPr>
      </w:pPr>
      <w:r>
        <w:rPr>
          <w:color w:val="auto"/>
          <w:sz w:val="22"/>
        </w:rPr>
        <w:t xml:space="preserve">My internal deposit slip giving rise to the charges clearly shows no variance or </w:t>
      </w:r>
      <w:r w:rsidR="00012499">
        <w:rPr>
          <w:color w:val="auto"/>
          <w:sz w:val="22"/>
        </w:rPr>
        <w:t>under banking</w:t>
      </w:r>
      <w:r>
        <w:rPr>
          <w:color w:val="auto"/>
          <w:sz w:val="22"/>
        </w:rPr>
        <w:t xml:space="preserve"> as alleged by Innscor in respect of the cash I banked on the day. Innscor should produce the deposit slip, swipe cards till roll and my own point of sale till roll if it contents that I wrong on this one.</w:t>
      </w:r>
    </w:p>
    <w:p w:rsidR="00EF326B" w:rsidRDefault="00EF326B" w:rsidP="00EF326B">
      <w:pPr>
        <w:pStyle w:val="ListParagraph"/>
        <w:spacing w:line="240" w:lineRule="auto"/>
        <w:ind w:left="2160"/>
        <w:rPr>
          <w:color w:val="auto"/>
          <w:sz w:val="22"/>
        </w:rPr>
      </w:pPr>
    </w:p>
    <w:p w:rsidR="00EF326B" w:rsidRDefault="00EF326B" w:rsidP="00EF326B">
      <w:pPr>
        <w:pStyle w:val="ListParagraph"/>
        <w:numPr>
          <w:ilvl w:val="1"/>
          <w:numId w:val="7"/>
        </w:numPr>
        <w:spacing w:line="240" w:lineRule="auto"/>
        <w:rPr>
          <w:color w:val="auto"/>
          <w:sz w:val="22"/>
        </w:rPr>
      </w:pPr>
      <w:r>
        <w:rPr>
          <w:color w:val="auto"/>
          <w:sz w:val="22"/>
        </w:rPr>
        <w:t>I never admitted to the charges as alleged as initially the allegation was not on banking variance which I was later charged with.</w:t>
      </w:r>
    </w:p>
    <w:p w:rsidR="00EF326B" w:rsidRPr="00EF326B" w:rsidRDefault="00EF326B" w:rsidP="00EF326B">
      <w:pPr>
        <w:pStyle w:val="ListParagraph"/>
        <w:rPr>
          <w:color w:val="auto"/>
          <w:sz w:val="22"/>
        </w:rPr>
      </w:pPr>
    </w:p>
    <w:p w:rsidR="00EF326B" w:rsidRPr="008A5FEC" w:rsidRDefault="00EF326B" w:rsidP="00EF326B">
      <w:pPr>
        <w:pStyle w:val="ListParagraph"/>
        <w:numPr>
          <w:ilvl w:val="1"/>
          <w:numId w:val="7"/>
        </w:numPr>
        <w:spacing w:line="240" w:lineRule="auto"/>
        <w:rPr>
          <w:color w:val="auto"/>
          <w:sz w:val="22"/>
        </w:rPr>
      </w:pPr>
      <w:r>
        <w:rPr>
          <w:color w:val="auto"/>
          <w:sz w:val="22"/>
        </w:rPr>
        <w:t xml:space="preserve">The other allegation that I had not </w:t>
      </w:r>
      <w:r w:rsidR="00012499">
        <w:rPr>
          <w:color w:val="auto"/>
          <w:sz w:val="22"/>
        </w:rPr>
        <w:t>completed the</w:t>
      </w:r>
      <w:r>
        <w:rPr>
          <w:color w:val="auto"/>
          <w:sz w:val="22"/>
        </w:rPr>
        <w:t xml:space="preserve"> requisite stock closure documentation is patently incorrect in that on the day in question it is, in fact, the respondent’s Stats Officer who collected these documents from my desk before I could fully complete them. He was under the erroneous impression that I had left for home without completing these when in fact I was still at work at that time.</w:t>
      </w:r>
    </w:p>
    <w:p w:rsidR="006628A8" w:rsidRDefault="003D5A05" w:rsidP="003D2205">
      <w:pPr>
        <w:ind w:firstLine="720"/>
        <w:rPr>
          <w:color w:val="auto"/>
        </w:rPr>
      </w:pPr>
      <w:r>
        <w:rPr>
          <w:color w:val="auto"/>
        </w:rPr>
        <w:t xml:space="preserve">The </w:t>
      </w:r>
      <w:r w:rsidR="003D2205">
        <w:rPr>
          <w:color w:val="auto"/>
        </w:rPr>
        <w:t>Respondent opposes the appeal. In it</w:t>
      </w:r>
      <w:r>
        <w:rPr>
          <w:color w:val="auto"/>
        </w:rPr>
        <w:t>s Notice of Response, the Respondent submitted that the appeal is not properly placed befo</w:t>
      </w:r>
      <w:r w:rsidR="003D2205">
        <w:rPr>
          <w:color w:val="auto"/>
        </w:rPr>
        <w:t>re the Labour Court. Further Appellant</w:t>
      </w:r>
      <w:r>
        <w:rPr>
          <w:color w:val="auto"/>
        </w:rPr>
        <w:t xml:space="preserve"> grounds of appeal are grounds for review rat</w:t>
      </w:r>
      <w:r w:rsidR="003D2205">
        <w:rPr>
          <w:color w:val="auto"/>
        </w:rPr>
        <w:t>her than appeal. The appeal</w:t>
      </w:r>
      <w:r w:rsidR="006628A8">
        <w:rPr>
          <w:color w:val="auto"/>
        </w:rPr>
        <w:t xml:space="preserve"> is also irregular and defective as it is essentially three</w:t>
      </w:r>
      <w:r w:rsidR="003D2205">
        <w:rPr>
          <w:color w:val="auto"/>
        </w:rPr>
        <w:t xml:space="preserve"> applications in one matter</w:t>
      </w:r>
      <w:r w:rsidR="006628A8">
        <w:rPr>
          <w:color w:val="auto"/>
        </w:rPr>
        <w:t>. On this basis the Respondent prayed for the dismissal of appeal.</w:t>
      </w:r>
    </w:p>
    <w:p w:rsidR="00B1352C" w:rsidRDefault="00B1352C" w:rsidP="003D2205">
      <w:pPr>
        <w:ind w:firstLine="720"/>
        <w:rPr>
          <w:color w:val="auto"/>
        </w:rPr>
      </w:pPr>
    </w:p>
    <w:p w:rsidR="00B1352C" w:rsidRDefault="00B1352C" w:rsidP="003D2205">
      <w:pPr>
        <w:ind w:firstLine="720"/>
        <w:rPr>
          <w:color w:val="auto"/>
        </w:rPr>
      </w:pPr>
    </w:p>
    <w:p w:rsidR="00B1352C" w:rsidRDefault="00B1352C" w:rsidP="003D2205">
      <w:pPr>
        <w:ind w:firstLine="720"/>
        <w:rPr>
          <w:color w:val="auto"/>
        </w:rPr>
      </w:pPr>
    </w:p>
    <w:p w:rsidR="006628A8" w:rsidRDefault="006628A8" w:rsidP="003D2205">
      <w:pPr>
        <w:ind w:firstLine="720"/>
        <w:rPr>
          <w:color w:val="auto"/>
        </w:rPr>
      </w:pPr>
      <w:r>
        <w:rPr>
          <w:color w:val="auto"/>
        </w:rPr>
        <w:t xml:space="preserve">The Respondent raises a valid objection on the issue of the forum. It is clear on the basis of </w:t>
      </w:r>
      <w:r w:rsidRPr="00295F9D">
        <w:rPr>
          <w:b/>
          <w:color w:val="auto"/>
        </w:rPr>
        <w:t xml:space="preserve">Section 8 (6) </w:t>
      </w:r>
      <w:r w:rsidRPr="00B1352C">
        <w:rPr>
          <w:color w:val="auto"/>
        </w:rPr>
        <w:t>of the</w:t>
      </w:r>
      <w:r w:rsidRPr="00295F9D">
        <w:rPr>
          <w:b/>
          <w:color w:val="auto"/>
        </w:rPr>
        <w:t xml:space="preserve"> Labour (National Employment Code of Conduct) Regulations, 2006</w:t>
      </w:r>
      <w:r>
        <w:rPr>
          <w:color w:val="auto"/>
        </w:rPr>
        <w:t xml:space="preserve"> that an appeal against a determination by the Appeals Officer/Committee has to be referred to a Labour Officer or an Employment Council A</w:t>
      </w:r>
      <w:r w:rsidR="003D2205">
        <w:rPr>
          <w:color w:val="auto"/>
        </w:rPr>
        <w:t>gent within seven working days o</w:t>
      </w:r>
      <w:r>
        <w:rPr>
          <w:color w:val="auto"/>
        </w:rPr>
        <w:t>f receipt of such decision. The purported app</w:t>
      </w:r>
      <w:r w:rsidR="003D2205">
        <w:rPr>
          <w:color w:val="auto"/>
        </w:rPr>
        <w:t xml:space="preserve">eal before this </w:t>
      </w:r>
      <w:r w:rsidR="00B1352C">
        <w:rPr>
          <w:color w:val="auto"/>
        </w:rPr>
        <w:t>C</w:t>
      </w:r>
      <w:r w:rsidR="003D2205">
        <w:rPr>
          <w:color w:val="auto"/>
        </w:rPr>
        <w:t>ourt is thus</w:t>
      </w:r>
      <w:r>
        <w:rPr>
          <w:color w:val="auto"/>
        </w:rPr>
        <w:t xml:space="preserve"> improperly before this </w:t>
      </w:r>
      <w:r w:rsidR="00B1352C">
        <w:rPr>
          <w:color w:val="auto"/>
        </w:rPr>
        <w:t>C</w:t>
      </w:r>
      <w:r>
        <w:rPr>
          <w:color w:val="auto"/>
        </w:rPr>
        <w:t>ourt.</w:t>
      </w:r>
    </w:p>
    <w:p w:rsidR="006628A8" w:rsidRDefault="006628A8" w:rsidP="003D2205">
      <w:pPr>
        <w:ind w:firstLine="720"/>
        <w:rPr>
          <w:color w:val="auto"/>
        </w:rPr>
      </w:pPr>
      <w:r>
        <w:rPr>
          <w:color w:val="auto"/>
        </w:rPr>
        <w:t>In the circumstances an order is granted as follows:</w:t>
      </w:r>
    </w:p>
    <w:p w:rsidR="00B1352C" w:rsidRPr="0002151B" w:rsidRDefault="006628A8" w:rsidP="0002151B">
      <w:pPr>
        <w:ind w:left="720"/>
        <w:rPr>
          <w:rFonts w:cs="Tahoma"/>
          <w:b/>
          <w:color w:val="auto"/>
          <w:szCs w:val="24"/>
        </w:rPr>
      </w:pPr>
      <w:r w:rsidRPr="0002151B">
        <w:rPr>
          <w:color w:val="auto"/>
        </w:rPr>
        <w:t>The purported appeal filed under Ref LC/H/275/15 is hereby dismissed as being improperly placed before the Labour Court</w:t>
      </w:r>
      <w:r w:rsidR="003D2205" w:rsidRPr="0002151B">
        <w:rPr>
          <w:color w:val="auto"/>
        </w:rPr>
        <w:t>.</w:t>
      </w:r>
      <w:r w:rsidRPr="0002151B">
        <w:rPr>
          <w:color w:val="auto"/>
        </w:rPr>
        <w:t xml:space="preserve"> </w:t>
      </w:r>
    </w:p>
    <w:p w:rsidR="00B1352C" w:rsidRDefault="00B1352C" w:rsidP="00B1352C">
      <w:pPr>
        <w:rPr>
          <w:color w:val="auto"/>
        </w:rPr>
      </w:pPr>
    </w:p>
    <w:p w:rsidR="00B1352C" w:rsidRDefault="00B1352C" w:rsidP="00B1352C">
      <w:pPr>
        <w:rPr>
          <w:color w:val="auto"/>
        </w:rPr>
      </w:pPr>
    </w:p>
    <w:p w:rsidR="00B1352C" w:rsidRDefault="00B1352C" w:rsidP="00B1352C">
      <w:pPr>
        <w:rPr>
          <w:color w:val="auto"/>
        </w:rPr>
      </w:pPr>
    </w:p>
    <w:p w:rsidR="00B1352C" w:rsidRDefault="00B1352C" w:rsidP="00B1352C">
      <w:pPr>
        <w:rPr>
          <w:color w:val="auto"/>
        </w:rPr>
      </w:pPr>
    </w:p>
    <w:p w:rsidR="003D5A05" w:rsidRPr="00B1352C" w:rsidRDefault="003D5A05" w:rsidP="00B1352C">
      <w:pPr>
        <w:rPr>
          <w:rFonts w:cs="Tahoma"/>
          <w:b/>
          <w:color w:val="auto"/>
          <w:szCs w:val="24"/>
        </w:rPr>
      </w:pPr>
      <w:r w:rsidRPr="00B1352C">
        <w:rPr>
          <w:color w:val="auto"/>
        </w:rPr>
        <w:t xml:space="preserve"> </w:t>
      </w:r>
    </w:p>
    <w:sectPr w:rsidR="003D5A05" w:rsidRPr="00B1352C" w:rsidSect="008A5FEC">
      <w:headerReference w:type="default" r:id="rI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F1B" w:rsidRDefault="00216F1B" w:rsidP="00A741A7">
      <w:pPr>
        <w:spacing w:before="0" w:after="0" w:line="240" w:lineRule="auto"/>
      </w:pPr>
      <w:r>
        <w:separator/>
      </w:r>
    </w:p>
  </w:endnote>
  <w:endnote w:type="continuationSeparator" w:id="0">
    <w:p w:rsidR="00216F1B" w:rsidRDefault="00216F1B" w:rsidP="00A741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902760"/>
      <w:docPartObj>
        <w:docPartGallery w:val="Page Numbers (Bottom of Page)"/>
        <w:docPartUnique/>
      </w:docPartObj>
    </w:sdtPr>
    <w:sdtEndPr/>
    <w:sdtContent>
      <w:p w:rsidR="00EC682E" w:rsidRDefault="00B51DB8">
        <w:pPr>
          <w:pStyle w:val="Footer"/>
          <w:jc w:val="center"/>
        </w:pPr>
        <w:r>
          <w:fldChar w:fldCharType="begin"/>
        </w:r>
        <w:r>
          <w:instrText xml:space="preserve"> PAGE   \* MERGEFORMAT </w:instrText>
        </w:r>
        <w:r>
          <w:fldChar w:fldCharType="separate"/>
        </w:r>
        <w:r w:rsidR="0002151B">
          <w:rPr>
            <w:noProof/>
          </w:rPr>
          <w:t>4</w:t>
        </w:r>
        <w:r>
          <w:rPr>
            <w:noProof/>
          </w:rPr>
          <w:fldChar w:fldCharType="end"/>
        </w:r>
      </w:p>
    </w:sdtContent>
  </w:sdt>
  <w:p w:rsidR="00EC682E" w:rsidRDefault="00EC68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F1B" w:rsidRDefault="00216F1B" w:rsidP="00A741A7">
      <w:pPr>
        <w:spacing w:before="0" w:after="0" w:line="240" w:lineRule="auto"/>
      </w:pPr>
      <w:r>
        <w:separator/>
      </w:r>
    </w:p>
  </w:footnote>
  <w:footnote w:type="continuationSeparator" w:id="0">
    <w:p w:rsidR="00216F1B" w:rsidRDefault="00216F1B" w:rsidP="00A741A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FEC" w:rsidRDefault="008A5FEC">
    <w:pPr>
      <w:pStyle w:val="Header"/>
    </w:pPr>
    <w:r>
      <w:tab/>
    </w:r>
  </w:p>
  <w:p w:rsidR="008A5FEC" w:rsidRDefault="008A5FEC">
    <w:pPr>
      <w:pStyle w:val="Header"/>
    </w:pPr>
    <w:r>
      <w:rPr>
        <w:b/>
      </w:rPr>
      <w:tab/>
    </w:r>
    <w:r>
      <w:rPr>
        <w:b/>
      </w:rPr>
      <w:tab/>
    </w:r>
    <w:r w:rsidRPr="008A5FEC">
      <w:rPr>
        <w:b/>
      </w:rPr>
      <w:t>JUDGMENT LC/H/</w:t>
    </w:r>
    <w:r w:rsidR="0002151B">
      <w:rPr>
        <w:b/>
      </w:rPr>
      <w:t>178</w:t>
    </w:r>
    <w:r w:rsidRPr="008A5FEC">
      <w:rPr>
        <w:b/>
      </w:rPr>
      <w:t xml:space="preserve">/16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FEC" w:rsidRDefault="008A5FEC">
    <w:pPr>
      <w:pStyle w:val="Header"/>
    </w:pPr>
    <w:r>
      <w:rPr>
        <w:b/>
      </w:rPr>
      <w:tab/>
    </w:r>
    <w:r>
      <w:rPr>
        <w:b/>
      </w:rPr>
      <w:tab/>
    </w:r>
    <w:r w:rsidRPr="008A5FEC">
      <w:rPr>
        <w:b/>
      </w:rPr>
      <w:t>JUDGMENT LC/H/</w:t>
    </w:r>
    <w:r w:rsidR="0002151B">
      <w:rPr>
        <w:b/>
      </w:rPr>
      <w:t>178</w:t>
    </w:r>
    <w:r w:rsidRPr="008A5FEC">
      <w:rPr>
        <w:b/>
      </w:rPr>
      <w:t xml:space="preserve">/16       </w:t>
    </w:r>
  </w:p>
  <w:p w:rsidR="009D188E" w:rsidRPr="009D188E" w:rsidRDefault="009D188E">
    <w:pPr>
      <w:pStyle w:val="Header"/>
      <w:rPr>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69E"/>
    <w:multiLevelType w:val="hybridMultilevel"/>
    <w:tmpl w:val="7E0AB6C0"/>
    <w:lvl w:ilvl="0" w:tplc="A40AAC32">
      <w:start w:val="5"/>
      <w:numFmt w:val="bullet"/>
      <w:lvlText w:val="-"/>
      <w:lvlJc w:val="left"/>
      <w:pPr>
        <w:ind w:left="1080" w:hanging="360"/>
      </w:pPr>
      <w:rPr>
        <w:rFonts w:ascii="Tahoma" w:eastAsiaTheme="minorHAnsi" w:hAnsi="Tahoma" w:cs="Tahoma" w:hint="default"/>
        <w:b w:val="0"/>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165D35C4"/>
    <w:multiLevelType w:val="hybridMultilevel"/>
    <w:tmpl w:val="40F8E922"/>
    <w:lvl w:ilvl="0" w:tplc="1918EFC0">
      <w:start w:val="1"/>
      <w:numFmt w:val="decimal"/>
      <w:lvlText w:val="%1)"/>
      <w:lvlJc w:val="left"/>
      <w:pPr>
        <w:ind w:left="720" w:hanging="360"/>
      </w:pPr>
      <w:rPr>
        <w:rFonts w:cs="Tahoma"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6BC5FA3"/>
    <w:multiLevelType w:val="hybridMultilevel"/>
    <w:tmpl w:val="50400E38"/>
    <w:lvl w:ilvl="0" w:tplc="AA1A4EA4">
      <w:numFmt w:val="bullet"/>
      <w:lvlText w:val="-"/>
      <w:lvlJc w:val="left"/>
      <w:pPr>
        <w:ind w:left="6120" w:hanging="360"/>
      </w:pPr>
      <w:rPr>
        <w:rFonts w:ascii="Tahoma" w:eastAsiaTheme="minorHAnsi" w:hAnsi="Tahoma" w:cs="Tahoma" w:hint="default"/>
      </w:rPr>
    </w:lvl>
    <w:lvl w:ilvl="1" w:tplc="30090003" w:tentative="1">
      <w:start w:val="1"/>
      <w:numFmt w:val="bullet"/>
      <w:lvlText w:val="o"/>
      <w:lvlJc w:val="left"/>
      <w:pPr>
        <w:ind w:left="6840" w:hanging="360"/>
      </w:pPr>
      <w:rPr>
        <w:rFonts w:ascii="Courier New" w:hAnsi="Courier New" w:cs="Courier New" w:hint="default"/>
      </w:rPr>
    </w:lvl>
    <w:lvl w:ilvl="2" w:tplc="30090005" w:tentative="1">
      <w:start w:val="1"/>
      <w:numFmt w:val="bullet"/>
      <w:lvlText w:val=""/>
      <w:lvlJc w:val="left"/>
      <w:pPr>
        <w:ind w:left="7560" w:hanging="360"/>
      </w:pPr>
      <w:rPr>
        <w:rFonts w:ascii="Wingdings" w:hAnsi="Wingdings" w:hint="default"/>
      </w:rPr>
    </w:lvl>
    <w:lvl w:ilvl="3" w:tplc="30090001" w:tentative="1">
      <w:start w:val="1"/>
      <w:numFmt w:val="bullet"/>
      <w:lvlText w:val=""/>
      <w:lvlJc w:val="left"/>
      <w:pPr>
        <w:ind w:left="8280" w:hanging="360"/>
      </w:pPr>
      <w:rPr>
        <w:rFonts w:ascii="Symbol" w:hAnsi="Symbol" w:hint="default"/>
      </w:rPr>
    </w:lvl>
    <w:lvl w:ilvl="4" w:tplc="30090003" w:tentative="1">
      <w:start w:val="1"/>
      <w:numFmt w:val="bullet"/>
      <w:lvlText w:val="o"/>
      <w:lvlJc w:val="left"/>
      <w:pPr>
        <w:ind w:left="9000" w:hanging="360"/>
      </w:pPr>
      <w:rPr>
        <w:rFonts w:ascii="Courier New" w:hAnsi="Courier New" w:cs="Courier New" w:hint="default"/>
      </w:rPr>
    </w:lvl>
    <w:lvl w:ilvl="5" w:tplc="30090005" w:tentative="1">
      <w:start w:val="1"/>
      <w:numFmt w:val="bullet"/>
      <w:lvlText w:val=""/>
      <w:lvlJc w:val="left"/>
      <w:pPr>
        <w:ind w:left="9720" w:hanging="360"/>
      </w:pPr>
      <w:rPr>
        <w:rFonts w:ascii="Wingdings" w:hAnsi="Wingdings" w:hint="default"/>
      </w:rPr>
    </w:lvl>
    <w:lvl w:ilvl="6" w:tplc="30090001" w:tentative="1">
      <w:start w:val="1"/>
      <w:numFmt w:val="bullet"/>
      <w:lvlText w:val=""/>
      <w:lvlJc w:val="left"/>
      <w:pPr>
        <w:ind w:left="10440" w:hanging="360"/>
      </w:pPr>
      <w:rPr>
        <w:rFonts w:ascii="Symbol" w:hAnsi="Symbol" w:hint="default"/>
      </w:rPr>
    </w:lvl>
    <w:lvl w:ilvl="7" w:tplc="30090003" w:tentative="1">
      <w:start w:val="1"/>
      <w:numFmt w:val="bullet"/>
      <w:lvlText w:val="o"/>
      <w:lvlJc w:val="left"/>
      <w:pPr>
        <w:ind w:left="11160" w:hanging="360"/>
      </w:pPr>
      <w:rPr>
        <w:rFonts w:ascii="Courier New" w:hAnsi="Courier New" w:cs="Courier New" w:hint="default"/>
      </w:rPr>
    </w:lvl>
    <w:lvl w:ilvl="8" w:tplc="30090005" w:tentative="1">
      <w:start w:val="1"/>
      <w:numFmt w:val="bullet"/>
      <w:lvlText w:val=""/>
      <w:lvlJc w:val="left"/>
      <w:pPr>
        <w:ind w:left="11880" w:hanging="360"/>
      </w:pPr>
      <w:rPr>
        <w:rFonts w:ascii="Wingdings" w:hAnsi="Wingdings" w:hint="default"/>
      </w:rPr>
    </w:lvl>
  </w:abstractNum>
  <w:abstractNum w:abstractNumId="3">
    <w:nsid w:val="18DD0BEE"/>
    <w:multiLevelType w:val="multilevel"/>
    <w:tmpl w:val="850A7A32"/>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44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760" w:hanging="2160"/>
      </w:pPr>
      <w:rPr>
        <w:rFonts w:hint="default"/>
      </w:rPr>
    </w:lvl>
    <w:lvl w:ilvl="8">
      <w:start w:val="1"/>
      <w:numFmt w:val="decimal"/>
      <w:isLgl/>
      <w:lvlText w:val="%1.%2.%3.%4.%5.%6.%7.%8.%9."/>
      <w:lvlJc w:val="left"/>
      <w:pPr>
        <w:ind w:left="6120" w:hanging="2160"/>
      </w:pPr>
      <w:rPr>
        <w:rFonts w:hint="default"/>
      </w:rPr>
    </w:lvl>
  </w:abstractNum>
  <w:abstractNum w:abstractNumId="4">
    <w:nsid w:val="2873757B"/>
    <w:multiLevelType w:val="hybridMultilevel"/>
    <w:tmpl w:val="9C2A8C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3ECE3578"/>
    <w:multiLevelType w:val="hybridMultilevel"/>
    <w:tmpl w:val="7F1E135C"/>
    <w:lvl w:ilvl="0" w:tplc="A20C502E">
      <w:start w:val="1"/>
      <w:numFmt w:val="decimal"/>
      <w:lvlText w:val="%1."/>
      <w:lvlJc w:val="left"/>
      <w:pPr>
        <w:ind w:left="360" w:hanging="360"/>
      </w:pPr>
      <w:rPr>
        <w:rFonts w:cs="Tahoma"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6">
    <w:nsid w:val="41B45F67"/>
    <w:multiLevelType w:val="hybridMultilevel"/>
    <w:tmpl w:val="869456B4"/>
    <w:lvl w:ilvl="0" w:tplc="C748B9D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4EA6086F"/>
    <w:multiLevelType w:val="hybridMultilevel"/>
    <w:tmpl w:val="793A3260"/>
    <w:lvl w:ilvl="0" w:tplc="9A80BADE">
      <w:start w:val="1"/>
      <w:numFmt w:val="decimal"/>
      <w:lvlText w:val="%1."/>
      <w:lvlJc w:val="left"/>
      <w:pPr>
        <w:ind w:left="360" w:hanging="360"/>
      </w:pPr>
      <w:rPr>
        <w:rFonts w:cs="Tahoma"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4"/>
  </w:num>
  <w:num w:numId="2">
    <w:abstractNumId w:val="2"/>
  </w:num>
  <w:num w:numId="3">
    <w:abstractNumId w:val="5"/>
  </w:num>
  <w:num w:numId="4">
    <w:abstractNumId w:val="7"/>
  </w:num>
  <w:num w:numId="5">
    <w:abstractNumId w:val="1"/>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612"/>
    <w:rsid w:val="00012499"/>
    <w:rsid w:val="00013FF2"/>
    <w:rsid w:val="00020EF3"/>
    <w:rsid w:val="0002151B"/>
    <w:rsid w:val="00083106"/>
    <w:rsid w:val="00093F2E"/>
    <w:rsid w:val="000A296A"/>
    <w:rsid w:val="000F1B6E"/>
    <w:rsid w:val="000F6091"/>
    <w:rsid w:val="00101CE5"/>
    <w:rsid w:val="00111FFA"/>
    <w:rsid w:val="00112311"/>
    <w:rsid w:val="0014119D"/>
    <w:rsid w:val="001767DE"/>
    <w:rsid w:val="00181D7A"/>
    <w:rsid w:val="001928A1"/>
    <w:rsid w:val="00212CC8"/>
    <w:rsid w:val="00216F1B"/>
    <w:rsid w:val="00233207"/>
    <w:rsid w:val="00260D99"/>
    <w:rsid w:val="00295F9D"/>
    <w:rsid w:val="002A4BB1"/>
    <w:rsid w:val="00325728"/>
    <w:rsid w:val="0034367F"/>
    <w:rsid w:val="003460F2"/>
    <w:rsid w:val="003B36C9"/>
    <w:rsid w:val="003D14D2"/>
    <w:rsid w:val="003D2205"/>
    <w:rsid w:val="003D5A05"/>
    <w:rsid w:val="00415657"/>
    <w:rsid w:val="0042577E"/>
    <w:rsid w:val="00426898"/>
    <w:rsid w:val="00467CAA"/>
    <w:rsid w:val="0047468C"/>
    <w:rsid w:val="00496B8A"/>
    <w:rsid w:val="004B159C"/>
    <w:rsid w:val="00504DFB"/>
    <w:rsid w:val="00523AFA"/>
    <w:rsid w:val="00523BA6"/>
    <w:rsid w:val="00527612"/>
    <w:rsid w:val="005336BA"/>
    <w:rsid w:val="00547360"/>
    <w:rsid w:val="005630DC"/>
    <w:rsid w:val="00597946"/>
    <w:rsid w:val="005C5303"/>
    <w:rsid w:val="005C58EB"/>
    <w:rsid w:val="005F70AD"/>
    <w:rsid w:val="00610032"/>
    <w:rsid w:val="00652E6E"/>
    <w:rsid w:val="006571A2"/>
    <w:rsid w:val="006628A8"/>
    <w:rsid w:val="006C02A9"/>
    <w:rsid w:val="006C1486"/>
    <w:rsid w:val="006C1FF4"/>
    <w:rsid w:val="006D391B"/>
    <w:rsid w:val="00710C8A"/>
    <w:rsid w:val="00726CD4"/>
    <w:rsid w:val="00735F9F"/>
    <w:rsid w:val="007523CE"/>
    <w:rsid w:val="00766326"/>
    <w:rsid w:val="00773E64"/>
    <w:rsid w:val="007B5C1F"/>
    <w:rsid w:val="00814AAD"/>
    <w:rsid w:val="0083053A"/>
    <w:rsid w:val="00847844"/>
    <w:rsid w:val="00885B13"/>
    <w:rsid w:val="008871B5"/>
    <w:rsid w:val="00897845"/>
    <w:rsid w:val="008A5FEC"/>
    <w:rsid w:val="008B203E"/>
    <w:rsid w:val="0090084B"/>
    <w:rsid w:val="009070D5"/>
    <w:rsid w:val="009171C9"/>
    <w:rsid w:val="00940C15"/>
    <w:rsid w:val="009536AF"/>
    <w:rsid w:val="00976FB5"/>
    <w:rsid w:val="00977A88"/>
    <w:rsid w:val="009A5D13"/>
    <w:rsid w:val="009D188E"/>
    <w:rsid w:val="009E2056"/>
    <w:rsid w:val="00A02271"/>
    <w:rsid w:val="00A267DE"/>
    <w:rsid w:val="00A67EFE"/>
    <w:rsid w:val="00A741A7"/>
    <w:rsid w:val="00A87B2C"/>
    <w:rsid w:val="00AB3597"/>
    <w:rsid w:val="00AD0529"/>
    <w:rsid w:val="00AE1E4D"/>
    <w:rsid w:val="00AE70E5"/>
    <w:rsid w:val="00AF1243"/>
    <w:rsid w:val="00B00F6D"/>
    <w:rsid w:val="00B1352C"/>
    <w:rsid w:val="00B51DB8"/>
    <w:rsid w:val="00B8659B"/>
    <w:rsid w:val="00B9653C"/>
    <w:rsid w:val="00BE6E11"/>
    <w:rsid w:val="00C10051"/>
    <w:rsid w:val="00C108A5"/>
    <w:rsid w:val="00C352A3"/>
    <w:rsid w:val="00C563E7"/>
    <w:rsid w:val="00C63EFE"/>
    <w:rsid w:val="00C7542A"/>
    <w:rsid w:val="00C838A1"/>
    <w:rsid w:val="00C91FDC"/>
    <w:rsid w:val="00CA501A"/>
    <w:rsid w:val="00CB1901"/>
    <w:rsid w:val="00CC4B59"/>
    <w:rsid w:val="00CF1090"/>
    <w:rsid w:val="00CF6EC2"/>
    <w:rsid w:val="00D0286F"/>
    <w:rsid w:val="00D44B38"/>
    <w:rsid w:val="00D50394"/>
    <w:rsid w:val="00D514C3"/>
    <w:rsid w:val="00D6584D"/>
    <w:rsid w:val="00D82E99"/>
    <w:rsid w:val="00D830CC"/>
    <w:rsid w:val="00DB3048"/>
    <w:rsid w:val="00DB6390"/>
    <w:rsid w:val="00DC0B6B"/>
    <w:rsid w:val="00DE1D3C"/>
    <w:rsid w:val="00E1584A"/>
    <w:rsid w:val="00E22C1A"/>
    <w:rsid w:val="00E25965"/>
    <w:rsid w:val="00E409F6"/>
    <w:rsid w:val="00E51D89"/>
    <w:rsid w:val="00E65E70"/>
    <w:rsid w:val="00E66E9D"/>
    <w:rsid w:val="00E71F8D"/>
    <w:rsid w:val="00E90EC8"/>
    <w:rsid w:val="00EA2BDD"/>
    <w:rsid w:val="00EB2C00"/>
    <w:rsid w:val="00EC682E"/>
    <w:rsid w:val="00EF218B"/>
    <w:rsid w:val="00EF326B"/>
    <w:rsid w:val="00F106C2"/>
    <w:rsid w:val="00F81D22"/>
    <w:rsid w:val="00FD0CE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EF3"/>
    <w:pPr>
      <w:spacing w:before="120" w:after="240" w:line="360" w:lineRule="auto"/>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26"/>
    <w:pPr>
      <w:ind w:left="720"/>
      <w:contextualSpacing/>
    </w:pPr>
  </w:style>
  <w:style w:type="paragraph" w:styleId="Header">
    <w:name w:val="header"/>
    <w:basedOn w:val="Normal"/>
    <w:link w:val="HeaderChar"/>
    <w:uiPriority w:val="99"/>
    <w:unhideWhenUsed/>
    <w:rsid w:val="00A741A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741A7"/>
    <w:rPr>
      <w:rFonts w:ascii="Tahoma" w:hAnsi="Tahoma"/>
      <w:sz w:val="26"/>
    </w:rPr>
  </w:style>
  <w:style w:type="paragraph" w:styleId="Footer">
    <w:name w:val="footer"/>
    <w:basedOn w:val="Normal"/>
    <w:link w:val="FooterChar"/>
    <w:uiPriority w:val="99"/>
    <w:unhideWhenUsed/>
    <w:rsid w:val="00A741A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741A7"/>
    <w:rPr>
      <w:rFonts w:ascii="Tahoma" w:hAnsi="Tahoma"/>
      <w:sz w:val="26"/>
    </w:rPr>
  </w:style>
  <w:style w:type="paragraph" w:styleId="NoSpacing">
    <w:name w:val="No Spacing"/>
    <w:link w:val="NoSpacingChar"/>
    <w:uiPriority w:val="1"/>
    <w:qFormat/>
    <w:rsid w:val="00CC4B59"/>
    <w:pPr>
      <w:spacing w:before="120" w:after="320" w:line="240" w:lineRule="auto"/>
    </w:pPr>
    <w:rPr>
      <w:rFonts w:ascii="Tahoma" w:eastAsiaTheme="minorEastAsia" w:hAnsi="Tahoma"/>
      <w:lang w:val="en-US"/>
    </w:rPr>
  </w:style>
  <w:style w:type="character" w:customStyle="1" w:styleId="NoSpacingChar">
    <w:name w:val="No Spacing Char"/>
    <w:basedOn w:val="DefaultParagraphFont"/>
    <w:link w:val="NoSpacing"/>
    <w:uiPriority w:val="1"/>
    <w:rsid w:val="00CC4B59"/>
    <w:rPr>
      <w:rFonts w:ascii="Tahoma" w:eastAsiaTheme="minorEastAsia" w:hAnsi="Tahoma"/>
      <w:lang w:val="en-US"/>
    </w:rPr>
  </w:style>
  <w:style w:type="paragraph" w:styleId="BalloonText">
    <w:name w:val="Balloon Text"/>
    <w:basedOn w:val="Normal"/>
    <w:link w:val="BalloonTextChar"/>
    <w:uiPriority w:val="99"/>
    <w:semiHidden/>
    <w:unhideWhenUsed/>
    <w:rsid w:val="005F70AD"/>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5F70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EF3"/>
    <w:pPr>
      <w:spacing w:before="120" w:after="240" w:line="360" w:lineRule="auto"/>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26"/>
    <w:pPr>
      <w:ind w:left="720"/>
      <w:contextualSpacing/>
    </w:pPr>
  </w:style>
  <w:style w:type="paragraph" w:styleId="Header">
    <w:name w:val="header"/>
    <w:basedOn w:val="Normal"/>
    <w:link w:val="HeaderChar"/>
    <w:uiPriority w:val="99"/>
    <w:unhideWhenUsed/>
    <w:rsid w:val="00A741A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741A7"/>
    <w:rPr>
      <w:rFonts w:ascii="Tahoma" w:hAnsi="Tahoma"/>
      <w:sz w:val="26"/>
    </w:rPr>
  </w:style>
  <w:style w:type="paragraph" w:styleId="Footer">
    <w:name w:val="footer"/>
    <w:basedOn w:val="Normal"/>
    <w:link w:val="FooterChar"/>
    <w:uiPriority w:val="99"/>
    <w:unhideWhenUsed/>
    <w:rsid w:val="00A741A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741A7"/>
    <w:rPr>
      <w:rFonts w:ascii="Tahoma" w:hAnsi="Tahoma"/>
      <w:sz w:val="26"/>
    </w:rPr>
  </w:style>
  <w:style w:type="paragraph" w:styleId="NoSpacing">
    <w:name w:val="No Spacing"/>
    <w:link w:val="NoSpacingChar"/>
    <w:uiPriority w:val="1"/>
    <w:qFormat/>
    <w:rsid w:val="00CC4B59"/>
    <w:pPr>
      <w:spacing w:before="120" w:after="320" w:line="240" w:lineRule="auto"/>
    </w:pPr>
    <w:rPr>
      <w:rFonts w:ascii="Tahoma" w:eastAsiaTheme="minorEastAsia" w:hAnsi="Tahoma"/>
      <w:lang w:val="en-US"/>
    </w:rPr>
  </w:style>
  <w:style w:type="character" w:customStyle="1" w:styleId="NoSpacingChar">
    <w:name w:val="No Spacing Char"/>
    <w:basedOn w:val="DefaultParagraphFont"/>
    <w:link w:val="NoSpacing"/>
    <w:uiPriority w:val="1"/>
    <w:rsid w:val="00CC4B59"/>
    <w:rPr>
      <w:rFonts w:ascii="Tahoma" w:eastAsiaTheme="minorEastAsia" w:hAnsi="Tahoma"/>
      <w:lang w:val="en-US"/>
    </w:rPr>
  </w:style>
  <w:style w:type="paragraph" w:styleId="BalloonText">
    <w:name w:val="Balloon Text"/>
    <w:basedOn w:val="Normal"/>
    <w:link w:val="BalloonTextChar"/>
    <w:uiPriority w:val="99"/>
    <w:semiHidden/>
    <w:unhideWhenUsed/>
    <w:rsid w:val="005F70AD"/>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5F70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40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dc:creator>
  <cp:lastModifiedBy>HP</cp:lastModifiedBy>
  <cp:revision>2</cp:revision>
  <dcterms:created xsi:type="dcterms:W3CDTF">2016-03-15T01:18:00Z</dcterms:created>
  <dcterms:modified xsi:type="dcterms:W3CDTF">2016-03-15T01:18:00Z</dcterms:modified>
</cp:coreProperties>
</file>