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E8" w:rsidRDefault="006C02E8" w:rsidP="006C02E8">
      <w:pPr>
        <w:pStyle w:val="NoSpacing"/>
        <w:jc w:val="both"/>
        <w:rPr>
          <w:rFonts w:ascii="Times New Roman" w:hAnsi="Times New Roman" w:cs="Times New Roman"/>
          <w:sz w:val="24"/>
          <w:szCs w:val="24"/>
        </w:rPr>
      </w:pPr>
      <w:bookmarkStart w:id="0" w:name="_GoBack"/>
      <w:bookmarkEnd w:id="0"/>
    </w:p>
    <w:p w:rsidR="003D348F" w:rsidRDefault="003D348F" w:rsidP="006C02E8">
      <w:pPr>
        <w:pStyle w:val="NoSpacing"/>
        <w:jc w:val="both"/>
        <w:rPr>
          <w:rFonts w:ascii="Times New Roman" w:hAnsi="Times New Roman" w:cs="Times New Roman"/>
          <w:sz w:val="24"/>
          <w:szCs w:val="24"/>
        </w:rPr>
      </w:pPr>
    </w:p>
    <w:p w:rsidR="006C02E8" w:rsidRDefault="00042869" w:rsidP="006C02E8">
      <w:pPr>
        <w:pStyle w:val="NoSpacing"/>
        <w:jc w:val="both"/>
        <w:rPr>
          <w:rFonts w:ascii="Times New Roman" w:hAnsi="Times New Roman" w:cs="Times New Roman"/>
          <w:sz w:val="24"/>
          <w:szCs w:val="24"/>
        </w:rPr>
      </w:pPr>
      <w:r w:rsidRPr="002F5380">
        <w:rPr>
          <w:rFonts w:ascii="Times New Roman" w:hAnsi="Times New Roman" w:cs="Times New Roman"/>
          <w:sz w:val="24"/>
          <w:szCs w:val="24"/>
        </w:rPr>
        <w:t>ABINA CHAPFIKA</w:t>
      </w:r>
    </w:p>
    <w:p w:rsidR="00042869" w:rsidRPr="002F5380" w:rsidRDefault="006C02E8" w:rsidP="006C02E8">
      <w:pPr>
        <w:pStyle w:val="NoSpacing"/>
        <w:jc w:val="both"/>
        <w:rPr>
          <w:rFonts w:ascii="Times New Roman" w:hAnsi="Times New Roman" w:cs="Times New Roman"/>
          <w:sz w:val="24"/>
          <w:szCs w:val="24"/>
        </w:rPr>
      </w:pPr>
      <w:r>
        <w:rPr>
          <w:rFonts w:ascii="Times New Roman" w:hAnsi="Times New Roman" w:cs="Times New Roman"/>
          <w:sz w:val="24"/>
          <w:szCs w:val="24"/>
        </w:rPr>
        <w:t>versus</w:t>
      </w:r>
    </w:p>
    <w:p w:rsidR="00042869" w:rsidRDefault="00042869" w:rsidP="006C02E8">
      <w:pPr>
        <w:spacing w:after="0" w:line="240" w:lineRule="auto"/>
        <w:jc w:val="both"/>
        <w:rPr>
          <w:rFonts w:ascii="Times New Roman" w:hAnsi="Times New Roman" w:cs="Times New Roman"/>
          <w:sz w:val="24"/>
          <w:szCs w:val="24"/>
        </w:rPr>
      </w:pPr>
      <w:r w:rsidRPr="002F5380">
        <w:rPr>
          <w:rFonts w:ascii="Times New Roman" w:hAnsi="Times New Roman" w:cs="Times New Roman"/>
          <w:sz w:val="24"/>
          <w:szCs w:val="24"/>
        </w:rPr>
        <w:t>CENTRAL AFRICAN BUILDING SOCIETY</w:t>
      </w:r>
    </w:p>
    <w:p w:rsidR="00C24ABF" w:rsidRDefault="00C24ABF" w:rsidP="006C02E8">
      <w:pPr>
        <w:spacing w:after="0" w:line="240" w:lineRule="auto"/>
        <w:jc w:val="both"/>
        <w:rPr>
          <w:rFonts w:ascii="Times New Roman" w:hAnsi="Times New Roman" w:cs="Times New Roman"/>
          <w:sz w:val="24"/>
          <w:szCs w:val="24"/>
        </w:rPr>
      </w:pPr>
    </w:p>
    <w:p w:rsidR="006C02E8" w:rsidRDefault="006C02E8" w:rsidP="006C02E8">
      <w:pPr>
        <w:spacing w:after="0" w:line="240" w:lineRule="auto"/>
        <w:jc w:val="both"/>
        <w:rPr>
          <w:rFonts w:ascii="Times New Roman" w:hAnsi="Times New Roman" w:cs="Times New Roman"/>
          <w:sz w:val="24"/>
          <w:szCs w:val="24"/>
        </w:rPr>
      </w:pPr>
    </w:p>
    <w:p w:rsidR="006C02E8" w:rsidRPr="002F5380" w:rsidRDefault="006C02E8" w:rsidP="006C02E8">
      <w:pPr>
        <w:spacing w:after="0" w:line="240" w:lineRule="auto"/>
        <w:jc w:val="both"/>
        <w:rPr>
          <w:rFonts w:ascii="Times New Roman" w:hAnsi="Times New Roman" w:cs="Times New Roman"/>
          <w:sz w:val="24"/>
          <w:szCs w:val="24"/>
        </w:rPr>
      </w:pPr>
    </w:p>
    <w:p w:rsidR="00042869" w:rsidRPr="002F5380" w:rsidRDefault="00042869" w:rsidP="006C02E8">
      <w:pPr>
        <w:pStyle w:val="NoSpacing"/>
        <w:jc w:val="both"/>
        <w:rPr>
          <w:rFonts w:ascii="Times New Roman" w:hAnsi="Times New Roman" w:cs="Times New Roman"/>
          <w:sz w:val="24"/>
          <w:szCs w:val="24"/>
        </w:rPr>
      </w:pPr>
      <w:r w:rsidRPr="002F5380">
        <w:rPr>
          <w:rFonts w:ascii="Times New Roman" w:hAnsi="Times New Roman" w:cs="Times New Roman"/>
          <w:sz w:val="24"/>
          <w:szCs w:val="24"/>
        </w:rPr>
        <w:t>HIGH COURT OF ZIMBABWE</w:t>
      </w:r>
    </w:p>
    <w:p w:rsidR="00042869" w:rsidRPr="002F5380" w:rsidRDefault="00042869" w:rsidP="006C02E8">
      <w:pPr>
        <w:pStyle w:val="NoSpacing"/>
        <w:jc w:val="both"/>
        <w:rPr>
          <w:rFonts w:ascii="Times New Roman" w:hAnsi="Times New Roman" w:cs="Times New Roman"/>
          <w:sz w:val="24"/>
          <w:szCs w:val="24"/>
        </w:rPr>
      </w:pPr>
      <w:r w:rsidRPr="002F5380">
        <w:rPr>
          <w:rFonts w:ascii="Times New Roman" w:hAnsi="Times New Roman" w:cs="Times New Roman"/>
          <w:sz w:val="24"/>
          <w:szCs w:val="24"/>
        </w:rPr>
        <w:t>TAGU J</w:t>
      </w:r>
    </w:p>
    <w:p w:rsidR="00042869" w:rsidRDefault="00C92AFD" w:rsidP="006C02E8">
      <w:pPr>
        <w:pStyle w:val="NoSpacing"/>
        <w:jc w:val="both"/>
        <w:rPr>
          <w:rFonts w:ascii="Times New Roman" w:hAnsi="Times New Roman" w:cs="Times New Roman"/>
          <w:sz w:val="24"/>
          <w:szCs w:val="24"/>
        </w:rPr>
      </w:pPr>
      <w:r w:rsidRPr="002F5380">
        <w:rPr>
          <w:rFonts w:ascii="Times New Roman" w:hAnsi="Times New Roman" w:cs="Times New Roman"/>
          <w:sz w:val="24"/>
          <w:szCs w:val="24"/>
        </w:rPr>
        <w:t>HARARE</w:t>
      </w:r>
      <w:r w:rsidR="006C02E8">
        <w:rPr>
          <w:rFonts w:ascii="Times New Roman" w:hAnsi="Times New Roman" w:cs="Times New Roman"/>
          <w:sz w:val="24"/>
          <w:szCs w:val="24"/>
        </w:rPr>
        <w:t>,</w:t>
      </w:r>
      <w:r w:rsidRPr="002F5380">
        <w:rPr>
          <w:rFonts w:ascii="Times New Roman" w:hAnsi="Times New Roman" w:cs="Times New Roman"/>
          <w:sz w:val="24"/>
          <w:szCs w:val="24"/>
        </w:rPr>
        <w:t xml:space="preserve"> 17 </w:t>
      </w:r>
      <w:r w:rsidR="006C02E8">
        <w:rPr>
          <w:rFonts w:ascii="Times New Roman" w:hAnsi="Times New Roman" w:cs="Times New Roman"/>
          <w:sz w:val="24"/>
          <w:szCs w:val="24"/>
        </w:rPr>
        <w:t xml:space="preserve">November 2017 &amp; </w:t>
      </w:r>
      <w:r w:rsidRPr="002F5380">
        <w:rPr>
          <w:rFonts w:ascii="Times New Roman" w:hAnsi="Times New Roman" w:cs="Times New Roman"/>
          <w:sz w:val="24"/>
          <w:szCs w:val="24"/>
        </w:rPr>
        <w:t>3 J</w:t>
      </w:r>
      <w:r w:rsidR="006C02E8" w:rsidRPr="002F5380">
        <w:rPr>
          <w:rFonts w:ascii="Times New Roman" w:hAnsi="Times New Roman" w:cs="Times New Roman"/>
          <w:sz w:val="24"/>
          <w:szCs w:val="24"/>
        </w:rPr>
        <w:t>anuary</w:t>
      </w:r>
      <w:r w:rsidRPr="002F5380">
        <w:rPr>
          <w:rFonts w:ascii="Times New Roman" w:hAnsi="Times New Roman" w:cs="Times New Roman"/>
          <w:sz w:val="24"/>
          <w:szCs w:val="24"/>
        </w:rPr>
        <w:t xml:space="preserve"> 2018</w:t>
      </w:r>
    </w:p>
    <w:p w:rsidR="006C02E8" w:rsidRPr="002F5380" w:rsidRDefault="006C02E8" w:rsidP="006C02E8">
      <w:pPr>
        <w:pStyle w:val="NoSpacing"/>
        <w:jc w:val="both"/>
        <w:rPr>
          <w:rFonts w:ascii="Times New Roman" w:hAnsi="Times New Roman" w:cs="Times New Roman"/>
          <w:sz w:val="24"/>
          <w:szCs w:val="24"/>
        </w:rPr>
      </w:pPr>
    </w:p>
    <w:p w:rsidR="00E45B97" w:rsidRPr="002F5380" w:rsidRDefault="00E45B97" w:rsidP="002F5380">
      <w:pPr>
        <w:pStyle w:val="NoSpacing"/>
        <w:spacing w:line="360" w:lineRule="auto"/>
        <w:jc w:val="both"/>
        <w:rPr>
          <w:rFonts w:ascii="Times New Roman" w:hAnsi="Times New Roman" w:cs="Times New Roman"/>
          <w:sz w:val="24"/>
          <w:szCs w:val="24"/>
        </w:rPr>
      </w:pPr>
    </w:p>
    <w:p w:rsidR="00042869" w:rsidRDefault="00042869" w:rsidP="002F5380">
      <w:pPr>
        <w:spacing w:line="360" w:lineRule="auto"/>
        <w:jc w:val="both"/>
        <w:rPr>
          <w:rFonts w:ascii="Times New Roman" w:hAnsi="Times New Roman" w:cs="Times New Roman"/>
          <w:b/>
          <w:sz w:val="24"/>
          <w:szCs w:val="24"/>
        </w:rPr>
      </w:pPr>
      <w:r w:rsidRPr="002F5380">
        <w:rPr>
          <w:rFonts w:ascii="Times New Roman" w:hAnsi="Times New Roman" w:cs="Times New Roman"/>
          <w:b/>
          <w:sz w:val="24"/>
          <w:szCs w:val="24"/>
        </w:rPr>
        <w:t>Opposed Application</w:t>
      </w:r>
    </w:p>
    <w:p w:rsidR="006C02E8" w:rsidRPr="002F5380" w:rsidRDefault="006C02E8" w:rsidP="002F5380">
      <w:pPr>
        <w:spacing w:line="360" w:lineRule="auto"/>
        <w:jc w:val="both"/>
        <w:rPr>
          <w:rFonts w:ascii="Times New Roman" w:hAnsi="Times New Roman" w:cs="Times New Roman"/>
          <w:b/>
          <w:sz w:val="24"/>
          <w:szCs w:val="24"/>
        </w:rPr>
      </w:pPr>
    </w:p>
    <w:p w:rsidR="00042869" w:rsidRPr="002F5380" w:rsidRDefault="00042869" w:rsidP="006C02E8">
      <w:pPr>
        <w:pStyle w:val="NoSpacing"/>
        <w:jc w:val="both"/>
        <w:rPr>
          <w:rFonts w:ascii="Times New Roman" w:hAnsi="Times New Roman" w:cs="Times New Roman"/>
          <w:sz w:val="24"/>
          <w:szCs w:val="24"/>
        </w:rPr>
      </w:pPr>
      <w:r w:rsidRPr="006C02E8">
        <w:rPr>
          <w:rFonts w:ascii="Times New Roman" w:hAnsi="Times New Roman" w:cs="Times New Roman"/>
          <w:i/>
          <w:sz w:val="24"/>
          <w:szCs w:val="24"/>
        </w:rPr>
        <w:t>E Mandaza</w:t>
      </w:r>
      <w:r w:rsidRPr="002F5380">
        <w:rPr>
          <w:rFonts w:ascii="Times New Roman" w:hAnsi="Times New Roman" w:cs="Times New Roman"/>
          <w:sz w:val="24"/>
          <w:szCs w:val="24"/>
        </w:rPr>
        <w:t>, for applicant</w:t>
      </w:r>
    </w:p>
    <w:p w:rsidR="00042869" w:rsidRPr="002F5380" w:rsidRDefault="00042869" w:rsidP="006C02E8">
      <w:pPr>
        <w:pStyle w:val="NoSpacing"/>
        <w:jc w:val="both"/>
        <w:rPr>
          <w:rFonts w:ascii="Times New Roman" w:hAnsi="Times New Roman" w:cs="Times New Roman"/>
          <w:sz w:val="24"/>
          <w:szCs w:val="24"/>
        </w:rPr>
      </w:pPr>
      <w:r w:rsidRPr="006C02E8">
        <w:rPr>
          <w:rFonts w:ascii="Times New Roman" w:hAnsi="Times New Roman" w:cs="Times New Roman"/>
          <w:i/>
          <w:sz w:val="24"/>
          <w:szCs w:val="24"/>
        </w:rPr>
        <w:t xml:space="preserve">E </w:t>
      </w:r>
      <w:r w:rsidR="00C24ABF">
        <w:rPr>
          <w:rFonts w:ascii="Times New Roman" w:hAnsi="Times New Roman" w:cs="Times New Roman"/>
          <w:i/>
          <w:sz w:val="24"/>
          <w:szCs w:val="24"/>
        </w:rPr>
        <w:t>Jori</w:t>
      </w:r>
      <w:r w:rsidRPr="002F5380">
        <w:rPr>
          <w:rFonts w:ascii="Times New Roman" w:hAnsi="Times New Roman" w:cs="Times New Roman"/>
          <w:sz w:val="24"/>
          <w:szCs w:val="24"/>
        </w:rPr>
        <w:t>, for respondent</w:t>
      </w:r>
    </w:p>
    <w:p w:rsidR="00E45B97" w:rsidRDefault="00E45B97" w:rsidP="002F5380">
      <w:pPr>
        <w:pStyle w:val="NoSpacing"/>
        <w:spacing w:line="360" w:lineRule="auto"/>
        <w:jc w:val="both"/>
        <w:rPr>
          <w:rFonts w:ascii="Times New Roman" w:hAnsi="Times New Roman" w:cs="Times New Roman"/>
          <w:sz w:val="24"/>
          <w:szCs w:val="24"/>
        </w:rPr>
      </w:pPr>
    </w:p>
    <w:p w:rsidR="006C02E8" w:rsidRPr="002F5380" w:rsidRDefault="006C02E8" w:rsidP="002F5380">
      <w:pPr>
        <w:pStyle w:val="NoSpacing"/>
        <w:spacing w:line="360" w:lineRule="auto"/>
        <w:jc w:val="both"/>
        <w:rPr>
          <w:rFonts w:ascii="Times New Roman" w:hAnsi="Times New Roman" w:cs="Times New Roman"/>
          <w:sz w:val="24"/>
          <w:szCs w:val="24"/>
        </w:rPr>
      </w:pPr>
    </w:p>
    <w:p w:rsidR="00FC349B" w:rsidRPr="002F5380" w:rsidRDefault="00042869" w:rsidP="006C02E8">
      <w:pPr>
        <w:spacing w:after="0" w:line="360" w:lineRule="auto"/>
        <w:jc w:val="both"/>
        <w:rPr>
          <w:rFonts w:ascii="Times New Roman" w:hAnsi="Times New Roman" w:cs="Times New Roman"/>
          <w:sz w:val="24"/>
          <w:szCs w:val="24"/>
        </w:rPr>
      </w:pPr>
      <w:r w:rsidRPr="002F5380">
        <w:rPr>
          <w:rFonts w:ascii="Times New Roman" w:hAnsi="Times New Roman" w:cs="Times New Roman"/>
          <w:sz w:val="24"/>
          <w:szCs w:val="24"/>
        </w:rPr>
        <w:t xml:space="preserve">             TAGU J:</w:t>
      </w:r>
      <w:r w:rsidR="008F059C" w:rsidRPr="002F5380">
        <w:rPr>
          <w:rFonts w:ascii="Times New Roman" w:hAnsi="Times New Roman" w:cs="Times New Roman"/>
          <w:sz w:val="24"/>
          <w:szCs w:val="24"/>
        </w:rPr>
        <w:t xml:space="preserve"> </w:t>
      </w:r>
      <w:r w:rsidR="002E32DF" w:rsidRPr="002F5380">
        <w:rPr>
          <w:rFonts w:ascii="Times New Roman" w:hAnsi="Times New Roman" w:cs="Times New Roman"/>
          <w:sz w:val="24"/>
          <w:szCs w:val="24"/>
        </w:rPr>
        <w:t xml:space="preserve">This is an application for the upliftment of an automatic bar in terms of Order 12 </w:t>
      </w:r>
      <w:r w:rsidR="006C02E8">
        <w:rPr>
          <w:rFonts w:ascii="Times New Roman" w:hAnsi="Times New Roman" w:cs="Times New Roman"/>
          <w:sz w:val="24"/>
          <w:szCs w:val="24"/>
        </w:rPr>
        <w:t>r</w:t>
      </w:r>
      <w:r w:rsidR="002E32DF" w:rsidRPr="002F5380">
        <w:rPr>
          <w:rFonts w:ascii="Times New Roman" w:hAnsi="Times New Roman" w:cs="Times New Roman"/>
          <w:sz w:val="24"/>
          <w:szCs w:val="24"/>
        </w:rPr>
        <w:t xml:space="preserve"> 84 (1) (a) of the Rules of this Honourable Court. The facts are that on </w:t>
      </w:r>
      <w:r w:rsidR="006C02E8">
        <w:rPr>
          <w:rFonts w:ascii="Times New Roman" w:hAnsi="Times New Roman" w:cs="Times New Roman"/>
          <w:sz w:val="24"/>
          <w:szCs w:val="24"/>
        </w:rPr>
        <w:t>10</w:t>
      </w:r>
      <w:r w:rsidR="002E32DF" w:rsidRPr="002F5380">
        <w:rPr>
          <w:rFonts w:ascii="Times New Roman" w:hAnsi="Times New Roman" w:cs="Times New Roman"/>
          <w:sz w:val="24"/>
          <w:szCs w:val="24"/>
        </w:rPr>
        <w:t xml:space="preserve"> December 2015 the respondent issued summons against</w:t>
      </w:r>
      <w:r w:rsidR="00425EE9" w:rsidRPr="002F5380">
        <w:rPr>
          <w:rFonts w:ascii="Times New Roman" w:hAnsi="Times New Roman" w:cs="Times New Roman"/>
          <w:sz w:val="24"/>
          <w:szCs w:val="24"/>
        </w:rPr>
        <w:t xml:space="preserve"> a company called</w:t>
      </w:r>
      <w:r w:rsidR="002E32DF" w:rsidRPr="002F5380">
        <w:rPr>
          <w:rFonts w:ascii="Times New Roman" w:hAnsi="Times New Roman" w:cs="Times New Roman"/>
          <w:sz w:val="24"/>
          <w:szCs w:val="24"/>
        </w:rPr>
        <w:t xml:space="preserve"> </w:t>
      </w:r>
      <w:r w:rsidR="006F169D" w:rsidRPr="002F5380">
        <w:rPr>
          <w:rFonts w:ascii="Times New Roman" w:hAnsi="Times New Roman" w:cs="Times New Roman"/>
          <w:sz w:val="24"/>
          <w:szCs w:val="24"/>
        </w:rPr>
        <w:t xml:space="preserve">Racewin Trading (Private) Limited, David Chapfika, </w:t>
      </w:r>
      <w:r w:rsidR="002E32DF" w:rsidRPr="002F5380">
        <w:rPr>
          <w:rFonts w:ascii="Times New Roman" w:hAnsi="Times New Roman" w:cs="Times New Roman"/>
          <w:sz w:val="24"/>
          <w:szCs w:val="24"/>
        </w:rPr>
        <w:t>the applicant</w:t>
      </w:r>
      <w:r w:rsidR="006F169D" w:rsidRPr="002F5380">
        <w:rPr>
          <w:rFonts w:ascii="Times New Roman" w:hAnsi="Times New Roman" w:cs="Times New Roman"/>
          <w:sz w:val="24"/>
          <w:szCs w:val="24"/>
        </w:rPr>
        <w:t xml:space="preserve"> Abina Chapfika</w:t>
      </w:r>
      <w:r w:rsidR="002E32DF" w:rsidRPr="002F5380">
        <w:rPr>
          <w:rFonts w:ascii="Times New Roman" w:hAnsi="Times New Roman" w:cs="Times New Roman"/>
          <w:sz w:val="24"/>
          <w:szCs w:val="24"/>
        </w:rPr>
        <w:t>,</w:t>
      </w:r>
      <w:r w:rsidR="006F169D" w:rsidRPr="002F5380">
        <w:rPr>
          <w:rFonts w:ascii="Times New Roman" w:hAnsi="Times New Roman" w:cs="Times New Roman"/>
          <w:sz w:val="24"/>
          <w:szCs w:val="24"/>
        </w:rPr>
        <w:t xml:space="preserve"> and David Chapfika N</w:t>
      </w:r>
      <w:r w:rsidR="006C02E8">
        <w:rPr>
          <w:rFonts w:ascii="Times New Roman" w:hAnsi="Times New Roman" w:cs="Times New Roman"/>
          <w:sz w:val="24"/>
          <w:szCs w:val="24"/>
        </w:rPr>
        <w:t xml:space="preserve"> O</w:t>
      </w:r>
      <w:r w:rsidR="006F169D" w:rsidRPr="002F5380">
        <w:rPr>
          <w:rFonts w:ascii="Times New Roman" w:hAnsi="Times New Roman" w:cs="Times New Roman"/>
          <w:sz w:val="24"/>
          <w:szCs w:val="24"/>
        </w:rPr>
        <w:t xml:space="preserve"> (In his capacity as Executor of the Estate Late Netsai</w:t>
      </w:r>
      <w:r w:rsidR="008C1FB2" w:rsidRPr="002F5380">
        <w:rPr>
          <w:rFonts w:ascii="Times New Roman" w:hAnsi="Times New Roman" w:cs="Times New Roman"/>
          <w:sz w:val="24"/>
          <w:szCs w:val="24"/>
        </w:rPr>
        <w:t xml:space="preserve"> Robson Chapfika</w:t>
      </w:r>
      <w:r w:rsidR="000B3A48" w:rsidRPr="002F5380">
        <w:rPr>
          <w:rFonts w:ascii="Times New Roman" w:hAnsi="Times New Roman" w:cs="Times New Roman"/>
          <w:sz w:val="24"/>
          <w:szCs w:val="24"/>
        </w:rPr>
        <w:t>)</w:t>
      </w:r>
      <w:r w:rsidR="008C1FB2" w:rsidRPr="002F5380">
        <w:rPr>
          <w:rFonts w:ascii="Times New Roman" w:hAnsi="Times New Roman" w:cs="Times New Roman"/>
          <w:sz w:val="24"/>
          <w:szCs w:val="24"/>
        </w:rPr>
        <w:t xml:space="preserve"> all co-principal debtors and surety respectively.</w:t>
      </w:r>
      <w:r w:rsidR="006F169D" w:rsidRPr="002F5380">
        <w:rPr>
          <w:rFonts w:ascii="Times New Roman" w:hAnsi="Times New Roman" w:cs="Times New Roman"/>
          <w:sz w:val="24"/>
          <w:szCs w:val="24"/>
        </w:rPr>
        <w:t xml:space="preserve"> The </w:t>
      </w:r>
      <w:r w:rsidR="005A58B8" w:rsidRPr="002F5380">
        <w:rPr>
          <w:rFonts w:ascii="Times New Roman" w:hAnsi="Times New Roman" w:cs="Times New Roman"/>
          <w:sz w:val="24"/>
          <w:szCs w:val="24"/>
        </w:rPr>
        <w:t>summons</w:t>
      </w:r>
      <w:r w:rsidR="002F1703" w:rsidRPr="002F5380">
        <w:rPr>
          <w:rFonts w:ascii="Times New Roman" w:hAnsi="Times New Roman" w:cs="Times New Roman"/>
          <w:sz w:val="24"/>
          <w:szCs w:val="24"/>
        </w:rPr>
        <w:t xml:space="preserve"> and declaration were duly served by the Sheriff on the applicant and other defendants on </w:t>
      </w:r>
      <w:r w:rsidR="006C02E8">
        <w:rPr>
          <w:rFonts w:ascii="Times New Roman" w:hAnsi="Times New Roman" w:cs="Times New Roman"/>
          <w:sz w:val="24"/>
          <w:szCs w:val="24"/>
        </w:rPr>
        <w:t>17</w:t>
      </w:r>
      <w:r w:rsidR="002F1703" w:rsidRPr="002F5380">
        <w:rPr>
          <w:rFonts w:ascii="Times New Roman" w:hAnsi="Times New Roman" w:cs="Times New Roman"/>
          <w:sz w:val="24"/>
          <w:szCs w:val="24"/>
        </w:rPr>
        <w:t xml:space="preserve"> December</w:t>
      </w:r>
      <w:r w:rsidR="00425EE9" w:rsidRPr="002F5380">
        <w:rPr>
          <w:rFonts w:ascii="Times New Roman" w:hAnsi="Times New Roman" w:cs="Times New Roman"/>
          <w:sz w:val="24"/>
          <w:szCs w:val="24"/>
        </w:rPr>
        <w:t xml:space="preserve"> 2015 on their chosen </w:t>
      </w:r>
      <w:r w:rsidR="00425EE9" w:rsidRPr="006C02E8">
        <w:rPr>
          <w:rFonts w:ascii="Times New Roman" w:hAnsi="Times New Roman" w:cs="Times New Roman"/>
          <w:i/>
          <w:sz w:val="24"/>
          <w:szCs w:val="24"/>
        </w:rPr>
        <w:t>domicilliu</w:t>
      </w:r>
      <w:r w:rsidR="002F1703" w:rsidRPr="006C02E8">
        <w:rPr>
          <w:rFonts w:ascii="Times New Roman" w:hAnsi="Times New Roman" w:cs="Times New Roman"/>
          <w:i/>
          <w:sz w:val="24"/>
          <w:szCs w:val="24"/>
        </w:rPr>
        <w:t>m citandi et executandi</w:t>
      </w:r>
      <w:r w:rsidR="002F1703" w:rsidRPr="002F5380">
        <w:rPr>
          <w:rFonts w:ascii="Times New Roman" w:hAnsi="Times New Roman" w:cs="Times New Roman"/>
          <w:sz w:val="24"/>
          <w:szCs w:val="24"/>
        </w:rPr>
        <w:t xml:space="preserve"> by handing the copies of the summons and declaration on one Enerst Chitsinde a caretaker at the address of service. It will be noted from the Deed of Surety on page 36 of the application that the applicant in the present application as a principal debtor and surety </w:t>
      </w:r>
      <w:r w:rsidR="00425EE9" w:rsidRPr="002F5380">
        <w:rPr>
          <w:rFonts w:ascii="Times New Roman" w:hAnsi="Times New Roman" w:cs="Times New Roman"/>
          <w:sz w:val="24"/>
          <w:szCs w:val="24"/>
        </w:rPr>
        <w:t xml:space="preserve">chose as her </w:t>
      </w:r>
      <w:r w:rsidR="00425EE9" w:rsidRPr="006C02E8">
        <w:rPr>
          <w:rFonts w:ascii="Times New Roman" w:hAnsi="Times New Roman" w:cs="Times New Roman"/>
          <w:i/>
          <w:sz w:val="24"/>
          <w:szCs w:val="24"/>
        </w:rPr>
        <w:t>domicillium citandi et executan</w:t>
      </w:r>
      <w:r w:rsidR="00AE3928" w:rsidRPr="006C02E8">
        <w:rPr>
          <w:rFonts w:ascii="Times New Roman" w:hAnsi="Times New Roman" w:cs="Times New Roman"/>
          <w:i/>
          <w:sz w:val="24"/>
          <w:szCs w:val="24"/>
        </w:rPr>
        <w:t>di</w:t>
      </w:r>
      <w:r w:rsidR="00AE3928" w:rsidRPr="002F5380">
        <w:rPr>
          <w:rFonts w:ascii="Times New Roman" w:hAnsi="Times New Roman" w:cs="Times New Roman"/>
          <w:sz w:val="24"/>
          <w:szCs w:val="24"/>
        </w:rPr>
        <w:t xml:space="preserve"> Number 88</w:t>
      </w:r>
      <w:r w:rsidR="00425EE9" w:rsidRPr="002F5380">
        <w:rPr>
          <w:rFonts w:ascii="Times New Roman" w:hAnsi="Times New Roman" w:cs="Times New Roman"/>
          <w:sz w:val="24"/>
          <w:szCs w:val="24"/>
        </w:rPr>
        <w:t>1 Endevour Crescent, M</w:t>
      </w:r>
      <w:r w:rsidR="008A708B" w:rsidRPr="002F5380">
        <w:rPr>
          <w:rFonts w:ascii="Times New Roman" w:hAnsi="Times New Roman" w:cs="Times New Roman"/>
          <w:sz w:val="24"/>
          <w:szCs w:val="24"/>
        </w:rPr>
        <w:t>oun</w:t>
      </w:r>
      <w:r w:rsidR="00425EE9" w:rsidRPr="002F5380">
        <w:rPr>
          <w:rFonts w:ascii="Times New Roman" w:hAnsi="Times New Roman" w:cs="Times New Roman"/>
          <w:sz w:val="24"/>
          <w:szCs w:val="24"/>
        </w:rPr>
        <w:t>t Pleasant Business Park, Harare. The summons and declaration were duly served at the given address.</w:t>
      </w:r>
    </w:p>
    <w:p w:rsidR="00C258D1" w:rsidRPr="002F5380" w:rsidRDefault="006C02E8" w:rsidP="006C02E8">
      <w:pPr>
        <w:tabs>
          <w:tab w:val="left" w:pos="72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349B" w:rsidRPr="002F5380">
        <w:rPr>
          <w:rFonts w:ascii="Times New Roman" w:hAnsi="Times New Roman" w:cs="Times New Roman"/>
          <w:sz w:val="24"/>
          <w:szCs w:val="24"/>
        </w:rPr>
        <w:t>In her founding affidavit the applicant A</w:t>
      </w:r>
      <w:r>
        <w:rPr>
          <w:rFonts w:ascii="Times New Roman" w:hAnsi="Times New Roman" w:cs="Times New Roman"/>
          <w:sz w:val="24"/>
          <w:szCs w:val="24"/>
        </w:rPr>
        <w:t xml:space="preserve">bina </w:t>
      </w:r>
      <w:r w:rsidR="00FC349B" w:rsidRPr="002F5380">
        <w:rPr>
          <w:rFonts w:ascii="Times New Roman" w:hAnsi="Times New Roman" w:cs="Times New Roman"/>
          <w:sz w:val="24"/>
          <w:szCs w:val="24"/>
        </w:rPr>
        <w:t>C</w:t>
      </w:r>
      <w:r w:rsidRPr="002F5380">
        <w:rPr>
          <w:rFonts w:ascii="Times New Roman" w:hAnsi="Times New Roman" w:cs="Times New Roman"/>
          <w:sz w:val="24"/>
          <w:szCs w:val="24"/>
        </w:rPr>
        <w:t>hapfika</w:t>
      </w:r>
      <w:r w:rsidR="00417E62" w:rsidRPr="002F5380">
        <w:rPr>
          <w:rFonts w:ascii="Times New Roman" w:hAnsi="Times New Roman" w:cs="Times New Roman"/>
          <w:sz w:val="24"/>
          <w:szCs w:val="24"/>
        </w:rPr>
        <w:t xml:space="preserve"> the wife to the second defendant D</w:t>
      </w:r>
      <w:r w:rsidR="003D348F">
        <w:rPr>
          <w:rFonts w:ascii="Times New Roman" w:hAnsi="Times New Roman" w:cs="Times New Roman"/>
          <w:sz w:val="24"/>
          <w:szCs w:val="24"/>
        </w:rPr>
        <w:t>avid</w:t>
      </w:r>
      <w:r w:rsidR="00417E62" w:rsidRPr="002F5380">
        <w:rPr>
          <w:rFonts w:ascii="Times New Roman" w:hAnsi="Times New Roman" w:cs="Times New Roman"/>
          <w:sz w:val="24"/>
          <w:szCs w:val="24"/>
        </w:rPr>
        <w:t xml:space="preserve"> C</w:t>
      </w:r>
      <w:r w:rsidR="003D348F" w:rsidRPr="002F5380">
        <w:rPr>
          <w:rFonts w:ascii="Times New Roman" w:hAnsi="Times New Roman" w:cs="Times New Roman"/>
          <w:sz w:val="24"/>
          <w:szCs w:val="24"/>
        </w:rPr>
        <w:t>hapfika</w:t>
      </w:r>
      <w:r w:rsidR="00417E62" w:rsidRPr="002F5380">
        <w:rPr>
          <w:rFonts w:ascii="Times New Roman" w:hAnsi="Times New Roman" w:cs="Times New Roman"/>
          <w:sz w:val="24"/>
          <w:szCs w:val="24"/>
        </w:rPr>
        <w:t xml:space="preserve"> submitted that she was not served with the summons and declaration and was not aware that the other defendants therein h</w:t>
      </w:r>
      <w:r w:rsidR="00DF22BB" w:rsidRPr="002F5380">
        <w:rPr>
          <w:rFonts w:ascii="Times New Roman" w:hAnsi="Times New Roman" w:cs="Times New Roman"/>
          <w:sz w:val="24"/>
          <w:szCs w:val="24"/>
        </w:rPr>
        <w:t>ad been served with the summons. S</w:t>
      </w:r>
      <w:r w:rsidR="00417E62" w:rsidRPr="002F5380">
        <w:rPr>
          <w:rFonts w:ascii="Times New Roman" w:hAnsi="Times New Roman" w:cs="Times New Roman"/>
          <w:sz w:val="24"/>
          <w:szCs w:val="24"/>
        </w:rPr>
        <w:t xml:space="preserve">he said she only became aware of the summons when she came across the summons accidentally in their matrimonial home on the evening of 18 January 2016 when she was doing her routine cleaning. </w:t>
      </w:r>
      <w:r w:rsidR="00417E62" w:rsidRPr="002F5380">
        <w:rPr>
          <w:rFonts w:ascii="Times New Roman" w:hAnsi="Times New Roman" w:cs="Times New Roman"/>
          <w:sz w:val="24"/>
          <w:szCs w:val="24"/>
        </w:rPr>
        <w:lastRenderedPageBreak/>
        <w:t>She said t</w:t>
      </w:r>
      <w:r w:rsidR="00C10696" w:rsidRPr="002F5380">
        <w:rPr>
          <w:rFonts w:ascii="Times New Roman" w:hAnsi="Times New Roman" w:cs="Times New Roman"/>
          <w:sz w:val="24"/>
          <w:szCs w:val="24"/>
        </w:rPr>
        <w:t>he summons was not served upon h</w:t>
      </w:r>
      <w:r w:rsidR="00417E62" w:rsidRPr="002F5380">
        <w:rPr>
          <w:rFonts w:ascii="Times New Roman" w:hAnsi="Times New Roman" w:cs="Times New Roman"/>
          <w:sz w:val="24"/>
          <w:szCs w:val="24"/>
        </w:rPr>
        <w:t>e</w:t>
      </w:r>
      <w:r w:rsidR="00C10696" w:rsidRPr="002F5380">
        <w:rPr>
          <w:rFonts w:ascii="Times New Roman" w:hAnsi="Times New Roman" w:cs="Times New Roman"/>
          <w:sz w:val="24"/>
          <w:szCs w:val="24"/>
        </w:rPr>
        <w:t>r</w:t>
      </w:r>
      <w:r w:rsidR="00417E62" w:rsidRPr="002F5380">
        <w:rPr>
          <w:rFonts w:ascii="Times New Roman" w:hAnsi="Times New Roman" w:cs="Times New Roman"/>
          <w:sz w:val="24"/>
          <w:szCs w:val="24"/>
        </w:rPr>
        <w:t xml:space="preserve"> personally and</w:t>
      </w:r>
      <w:r w:rsidR="0073445C" w:rsidRPr="002F5380">
        <w:rPr>
          <w:rFonts w:ascii="Times New Roman" w:hAnsi="Times New Roman" w:cs="Times New Roman"/>
          <w:sz w:val="24"/>
          <w:szCs w:val="24"/>
        </w:rPr>
        <w:t xml:space="preserve"> as such she was not aware of it</w:t>
      </w:r>
      <w:r w:rsidR="00417E62" w:rsidRPr="002F5380">
        <w:rPr>
          <w:rFonts w:ascii="Times New Roman" w:hAnsi="Times New Roman" w:cs="Times New Roman"/>
          <w:sz w:val="24"/>
          <w:szCs w:val="24"/>
        </w:rPr>
        <w:t>s existence. Her husband who is the second defendant in the summons for reasons known to him did not inform her of the court process timeously and she was duly barred for failing to enter an appearance to defend. She now wa</w:t>
      </w:r>
      <w:r w:rsidR="008F6C62" w:rsidRPr="002F5380">
        <w:rPr>
          <w:rFonts w:ascii="Times New Roman" w:hAnsi="Times New Roman" w:cs="Times New Roman"/>
          <w:sz w:val="24"/>
          <w:szCs w:val="24"/>
        </w:rPr>
        <w:t>nt</w:t>
      </w:r>
      <w:r w:rsidR="00417E62" w:rsidRPr="002F5380">
        <w:rPr>
          <w:rFonts w:ascii="Times New Roman" w:hAnsi="Times New Roman" w:cs="Times New Roman"/>
          <w:sz w:val="24"/>
          <w:szCs w:val="24"/>
        </w:rPr>
        <w:t>s the automatic bar to be uplifted so that she files her appearance to defendant the action</w:t>
      </w:r>
      <w:r w:rsidR="008C1C52" w:rsidRPr="002F5380">
        <w:rPr>
          <w:rFonts w:ascii="Times New Roman" w:hAnsi="Times New Roman" w:cs="Times New Roman"/>
          <w:sz w:val="24"/>
          <w:szCs w:val="24"/>
        </w:rPr>
        <w:t>. H</w:t>
      </w:r>
      <w:r w:rsidR="008F6C62" w:rsidRPr="002F5380">
        <w:rPr>
          <w:rFonts w:ascii="Times New Roman" w:hAnsi="Times New Roman" w:cs="Times New Roman"/>
          <w:sz w:val="24"/>
          <w:szCs w:val="24"/>
        </w:rPr>
        <w:t>er explanation being that she has a strong case and defence on the merits because the responden</w:t>
      </w:r>
      <w:r>
        <w:rPr>
          <w:rFonts w:ascii="Times New Roman" w:hAnsi="Times New Roman" w:cs="Times New Roman"/>
          <w:sz w:val="24"/>
          <w:szCs w:val="24"/>
        </w:rPr>
        <w:t>t’s claim under case number HC</w:t>
      </w:r>
      <w:r w:rsidR="003D348F">
        <w:rPr>
          <w:rFonts w:ascii="Times New Roman" w:hAnsi="Times New Roman" w:cs="Times New Roman"/>
          <w:sz w:val="24"/>
          <w:szCs w:val="24"/>
        </w:rPr>
        <w:t xml:space="preserve"> </w:t>
      </w:r>
      <w:r w:rsidR="008F6C62" w:rsidRPr="002F5380">
        <w:rPr>
          <w:rFonts w:ascii="Times New Roman" w:hAnsi="Times New Roman" w:cs="Times New Roman"/>
          <w:sz w:val="24"/>
          <w:szCs w:val="24"/>
        </w:rPr>
        <w:t>12138/15 is based on Surety Mortgage Bond No. 3876/2013 which she never signed. It is he</w:t>
      </w:r>
      <w:r w:rsidR="00367C4E" w:rsidRPr="002F5380">
        <w:rPr>
          <w:rFonts w:ascii="Times New Roman" w:hAnsi="Times New Roman" w:cs="Times New Roman"/>
          <w:sz w:val="24"/>
          <w:szCs w:val="24"/>
        </w:rPr>
        <w:t>r</w:t>
      </w:r>
      <w:r w:rsidR="008F6C62" w:rsidRPr="002F5380">
        <w:rPr>
          <w:rFonts w:ascii="Times New Roman" w:hAnsi="Times New Roman" w:cs="Times New Roman"/>
          <w:sz w:val="24"/>
          <w:szCs w:val="24"/>
        </w:rPr>
        <w:t xml:space="preserve"> contention that at no time did she execute a Deed of Suretyship in the respondent’s favour and she only became aware of the same sometime in January 2016 when sh</w:t>
      </w:r>
      <w:r w:rsidR="00750398" w:rsidRPr="002F5380">
        <w:rPr>
          <w:rFonts w:ascii="Times New Roman" w:hAnsi="Times New Roman" w:cs="Times New Roman"/>
          <w:sz w:val="24"/>
          <w:szCs w:val="24"/>
        </w:rPr>
        <w:t>e discovered</w:t>
      </w:r>
      <w:r w:rsidR="008F6C62" w:rsidRPr="002F5380">
        <w:rPr>
          <w:rFonts w:ascii="Times New Roman" w:hAnsi="Times New Roman" w:cs="Times New Roman"/>
          <w:sz w:val="24"/>
          <w:szCs w:val="24"/>
        </w:rPr>
        <w:t xml:space="preserve"> the summons.</w:t>
      </w:r>
      <w:r w:rsidR="007E6431" w:rsidRPr="002F5380">
        <w:rPr>
          <w:rFonts w:ascii="Times New Roman" w:hAnsi="Times New Roman" w:cs="Times New Roman"/>
          <w:sz w:val="24"/>
          <w:szCs w:val="24"/>
        </w:rPr>
        <w:t xml:space="preserve"> She said h</w:t>
      </w:r>
      <w:r w:rsidR="008F6C62" w:rsidRPr="002F5380">
        <w:rPr>
          <w:rFonts w:ascii="Times New Roman" w:hAnsi="Times New Roman" w:cs="Times New Roman"/>
          <w:sz w:val="24"/>
          <w:szCs w:val="24"/>
        </w:rPr>
        <w:t>er husband fraudulently forged her signature without her knowledge and the signature on the said Surety Mortgage Bond is not hers.</w:t>
      </w:r>
      <w:r w:rsidR="00C258D1" w:rsidRPr="002F5380">
        <w:rPr>
          <w:rFonts w:ascii="Times New Roman" w:hAnsi="Times New Roman" w:cs="Times New Roman"/>
          <w:sz w:val="24"/>
          <w:szCs w:val="24"/>
        </w:rPr>
        <w:t xml:space="preserve"> She prays for an order that-</w:t>
      </w:r>
    </w:p>
    <w:p w:rsidR="00D63B23" w:rsidRPr="002F5380" w:rsidRDefault="00D63B23" w:rsidP="002F5380">
      <w:pPr>
        <w:pStyle w:val="ListParagraph"/>
        <w:numPr>
          <w:ilvl w:val="0"/>
          <w:numId w:val="1"/>
        </w:numPr>
        <w:tabs>
          <w:tab w:val="left" w:pos="2430"/>
        </w:tabs>
        <w:spacing w:line="360" w:lineRule="auto"/>
        <w:jc w:val="both"/>
        <w:rPr>
          <w:rFonts w:ascii="Times New Roman" w:hAnsi="Times New Roman" w:cs="Times New Roman"/>
          <w:sz w:val="24"/>
          <w:szCs w:val="24"/>
        </w:rPr>
      </w:pPr>
      <w:r w:rsidRPr="002F5380">
        <w:rPr>
          <w:rFonts w:ascii="Times New Roman" w:hAnsi="Times New Roman" w:cs="Times New Roman"/>
          <w:sz w:val="24"/>
          <w:szCs w:val="24"/>
        </w:rPr>
        <w:t>“</w:t>
      </w:r>
      <w:r w:rsidR="00C258D1" w:rsidRPr="002F5380">
        <w:rPr>
          <w:rFonts w:ascii="Times New Roman" w:hAnsi="Times New Roman" w:cs="Times New Roman"/>
          <w:sz w:val="24"/>
          <w:szCs w:val="24"/>
        </w:rPr>
        <w:t xml:space="preserve">The operative automatic bar against </w:t>
      </w:r>
      <w:r w:rsidRPr="002F5380">
        <w:rPr>
          <w:rFonts w:ascii="Times New Roman" w:hAnsi="Times New Roman" w:cs="Times New Roman"/>
          <w:sz w:val="24"/>
          <w:szCs w:val="24"/>
        </w:rPr>
        <w:t>the Applicant in Case No. HC 12138/15 be and is hereby uplifted.</w:t>
      </w:r>
    </w:p>
    <w:p w:rsidR="00D63B23" w:rsidRPr="002F5380" w:rsidRDefault="00D63B23" w:rsidP="002F5380">
      <w:pPr>
        <w:pStyle w:val="ListParagraph"/>
        <w:numPr>
          <w:ilvl w:val="0"/>
          <w:numId w:val="1"/>
        </w:numPr>
        <w:tabs>
          <w:tab w:val="left" w:pos="2430"/>
        </w:tabs>
        <w:spacing w:line="360" w:lineRule="auto"/>
        <w:jc w:val="both"/>
        <w:rPr>
          <w:rFonts w:ascii="Times New Roman" w:hAnsi="Times New Roman" w:cs="Times New Roman"/>
          <w:sz w:val="24"/>
          <w:szCs w:val="24"/>
        </w:rPr>
      </w:pPr>
      <w:r w:rsidRPr="002F5380">
        <w:rPr>
          <w:rFonts w:ascii="Times New Roman" w:hAnsi="Times New Roman" w:cs="Times New Roman"/>
          <w:sz w:val="24"/>
          <w:szCs w:val="24"/>
        </w:rPr>
        <w:t xml:space="preserve">The </w:t>
      </w:r>
      <w:r w:rsidR="003D348F">
        <w:rPr>
          <w:rFonts w:ascii="Times New Roman" w:hAnsi="Times New Roman" w:cs="Times New Roman"/>
          <w:sz w:val="24"/>
          <w:szCs w:val="24"/>
        </w:rPr>
        <w:t>first r</w:t>
      </w:r>
      <w:r w:rsidRPr="002F5380">
        <w:rPr>
          <w:rFonts w:ascii="Times New Roman" w:hAnsi="Times New Roman" w:cs="Times New Roman"/>
          <w:sz w:val="24"/>
          <w:szCs w:val="24"/>
        </w:rPr>
        <w:t>espondent be and are hereby ordered to pay costs of suit on a legal practitioner and client scale only if it opposes this Application.”</w:t>
      </w:r>
    </w:p>
    <w:p w:rsidR="00186AAA" w:rsidRPr="002F5380" w:rsidRDefault="006C02E8" w:rsidP="006C02E8">
      <w:pPr>
        <w:tabs>
          <w:tab w:val="left" w:pos="1440"/>
          <w:tab w:val="left" w:pos="24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3B23" w:rsidRPr="002F5380">
        <w:rPr>
          <w:rFonts w:ascii="Times New Roman" w:hAnsi="Times New Roman" w:cs="Times New Roman"/>
          <w:sz w:val="24"/>
          <w:szCs w:val="24"/>
        </w:rPr>
        <w:t xml:space="preserve">The application for the upliftment of the automatic bar is strongly opposed by the respondent. In his opposing affidavit Collins Chikukwa the respondent’s Recoveries Manager </w:t>
      </w:r>
      <w:r w:rsidR="006877E0" w:rsidRPr="002F5380">
        <w:rPr>
          <w:rFonts w:ascii="Times New Roman" w:hAnsi="Times New Roman" w:cs="Times New Roman"/>
          <w:sz w:val="24"/>
          <w:szCs w:val="24"/>
        </w:rPr>
        <w:t xml:space="preserve">submitted among other things that </w:t>
      </w:r>
      <w:r w:rsidR="00132D9C" w:rsidRPr="002F5380">
        <w:rPr>
          <w:rFonts w:ascii="Times New Roman" w:hAnsi="Times New Roman" w:cs="Times New Roman"/>
          <w:sz w:val="24"/>
          <w:szCs w:val="24"/>
        </w:rPr>
        <w:t>there is no averment by the applicant on how the summons came to be in the matrimonial house. Further, there has been no attempt to explain why the husband did not bring the summons to the attention of the applicant. This could have been done by way of a supporting affidavit from the applicant’s husband confirming that he brought the summons into the matrimonial home and he did not bring them to the attention of the applicant. According to him its highly unlikely that having brought the summons home the husband would leave them lying around without bringing them to the specific attention of the applicant. The probability is that the applicant was advised of the service of the summons but probably left it to her husband to address the matter and this application is simply meant to frustrate</w:t>
      </w:r>
      <w:r w:rsidR="00A00222" w:rsidRPr="002F5380">
        <w:rPr>
          <w:rFonts w:ascii="Times New Roman" w:hAnsi="Times New Roman" w:cs="Times New Roman"/>
          <w:sz w:val="24"/>
          <w:szCs w:val="24"/>
        </w:rPr>
        <w:t xml:space="preserve"> the respondent in i</w:t>
      </w:r>
      <w:r w:rsidR="00132D9C" w:rsidRPr="002F5380">
        <w:rPr>
          <w:rFonts w:ascii="Times New Roman" w:hAnsi="Times New Roman" w:cs="Times New Roman"/>
          <w:sz w:val="24"/>
          <w:szCs w:val="24"/>
        </w:rPr>
        <w:t>ts efforts to recover the debt. This view is fortified by the fact that the applicant’s husband, the co-defendant, has not been cited in this matter</w:t>
      </w:r>
      <w:r w:rsidR="00186AAA" w:rsidRPr="002F5380">
        <w:rPr>
          <w:rFonts w:ascii="Times New Roman" w:hAnsi="Times New Roman" w:cs="Times New Roman"/>
          <w:sz w:val="24"/>
          <w:szCs w:val="24"/>
        </w:rPr>
        <w:t>.</w:t>
      </w:r>
    </w:p>
    <w:p w:rsidR="003D348F" w:rsidRDefault="003D348F" w:rsidP="002F5380">
      <w:pPr>
        <w:tabs>
          <w:tab w:val="left" w:pos="2430"/>
        </w:tabs>
        <w:spacing w:line="360" w:lineRule="auto"/>
        <w:jc w:val="both"/>
        <w:rPr>
          <w:rFonts w:ascii="Times New Roman" w:hAnsi="Times New Roman" w:cs="Times New Roman"/>
          <w:b/>
          <w:sz w:val="24"/>
          <w:szCs w:val="24"/>
          <w:u w:val="single"/>
        </w:rPr>
      </w:pPr>
    </w:p>
    <w:p w:rsidR="00F22096" w:rsidRPr="002F5380" w:rsidRDefault="00F22096" w:rsidP="002F5380">
      <w:pPr>
        <w:tabs>
          <w:tab w:val="left" w:pos="2430"/>
        </w:tabs>
        <w:spacing w:line="360" w:lineRule="auto"/>
        <w:jc w:val="both"/>
        <w:rPr>
          <w:rFonts w:ascii="Times New Roman" w:hAnsi="Times New Roman" w:cs="Times New Roman"/>
          <w:b/>
          <w:sz w:val="24"/>
          <w:szCs w:val="24"/>
          <w:u w:val="single"/>
        </w:rPr>
      </w:pPr>
      <w:r w:rsidRPr="002F5380">
        <w:rPr>
          <w:rFonts w:ascii="Times New Roman" w:hAnsi="Times New Roman" w:cs="Times New Roman"/>
          <w:b/>
          <w:sz w:val="24"/>
          <w:szCs w:val="24"/>
          <w:u w:val="single"/>
        </w:rPr>
        <w:lastRenderedPageBreak/>
        <w:t>THE LAW</w:t>
      </w:r>
    </w:p>
    <w:p w:rsidR="00F5684D" w:rsidRPr="002F5380" w:rsidRDefault="003D348F" w:rsidP="002F5380">
      <w:pPr>
        <w:tabs>
          <w:tab w:val="left" w:pos="24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86AAA" w:rsidRPr="002F5380">
        <w:rPr>
          <w:rFonts w:ascii="Times New Roman" w:hAnsi="Times New Roman" w:cs="Times New Roman"/>
          <w:sz w:val="24"/>
          <w:szCs w:val="24"/>
        </w:rPr>
        <w:t>In an application of this nature the applicant must</w:t>
      </w:r>
      <w:r w:rsidR="00F5684D" w:rsidRPr="002F5380">
        <w:rPr>
          <w:rFonts w:ascii="Times New Roman" w:hAnsi="Times New Roman" w:cs="Times New Roman"/>
          <w:sz w:val="24"/>
          <w:szCs w:val="24"/>
        </w:rPr>
        <w:t xml:space="preserve"> satisfy the requirements to be met in an application for the upliftment of the bar. The requirements were spelt out in the case of </w:t>
      </w:r>
      <w:r w:rsidR="00F5684D" w:rsidRPr="006C02E8">
        <w:rPr>
          <w:rFonts w:ascii="Times New Roman" w:hAnsi="Times New Roman" w:cs="Times New Roman"/>
          <w:i/>
          <w:sz w:val="24"/>
          <w:szCs w:val="24"/>
        </w:rPr>
        <w:t>Smith N</w:t>
      </w:r>
      <w:r w:rsidR="006C02E8">
        <w:rPr>
          <w:rFonts w:ascii="Times New Roman" w:hAnsi="Times New Roman" w:cs="Times New Roman"/>
          <w:i/>
          <w:sz w:val="24"/>
          <w:szCs w:val="24"/>
        </w:rPr>
        <w:t xml:space="preserve"> </w:t>
      </w:r>
      <w:r w:rsidR="00F5684D" w:rsidRPr="006C02E8">
        <w:rPr>
          <w:rFonts w:ascii="Times New Roman" w:hAnsi="Times New Roman" w:cs="Times New Roman"/>
          <w:i/>
          <w:sz w:val="24"/>
          <w:szCs w:val="24"/>
        </w:rPr>
        <w:t>O</w:t>
      </w:r>
      <w:r w:rsidR="00F5684D" w:rsidRPr="002F5380">
        <w:rPr>
          <w:rFonts w:ascii="Times New Roman" w:hAnsi="Times New Roman" w:cs="Times New Roman"/>
          <w:sz w:val="24"/>
          <w:szCs w:val="24"/>
        </w:rPr>
        <w:t xml:space="preserve"> v </w:t>
      </w:r>
      <w:r w:rsidR="00F5684D" w:rsidRPr="006C02E8">
        <w:rPr>
          <w:rFonts w:ascii="Times New Roman" w:hAnsi="Times New Roman" w:cs="Times New Roman"/>
          <w:i/>
          <w:sz w:val="24"/>
          <w:szCs w:val="24"/>
        </w:rPr>
        <w:t>Brummer N</w:t>
      </w:r>
      <w:r w:rsidR="006C02E8">
        <w:rPr>
          <w:rFonts w:ascii="Times New Roman" w:hAnsi="Times New Roman" w:cs="Times New Roman"/>
          <w:i/>
          <w:sz w:val="24"/>
          <w:szCs w:val="24"/>
        </w:rPr>
        <w:t xml:space="preserve"> </w:t>
      </w:r>
      <w:r w:rsidR="00F5684D" w:rsidRPr="006C02E8">
        <w:rPr>
          <w:rFonts w:ascii="Times New Roman" w:hAnsi="Times New Roman" w:cs="Times New Roman"/>
          <w:i/>
          <w:sz w:val="24"/>
          <w:szCs w:val="24"/>
        </w:rPr>
        <w:t>O &amp; Anor</w:t>
      </w:r>
      <w:r w:rsidR="00F5684D" w:rsidRPr="002F5380">
        <w:rPr>
          <w:rFonts w:ascii="Times New Roman" w:hAnsi="Times New Roman" w:cs="Times New Roman"/>
          <w:sz w:val="24"/>
          <w:szCs w:val="24"/>
        </w:rPr>
        <w:t xml:space="preserve"> </w:t>
      </w:r>
      <w:r w:rsidR="006C02E8">
        <w:rPr>
          <w:rFonts w:ascii="Times New Roman" w:hAnsi="Times New Roman" w:cs="Times New Roman"/>
          <w:sz w:val="24"/>
          <w:szCs w:val="24"/>
        </w:rPr>
        <w:t>1954 (3) SA 352 (O) at p</w:t>
      </w:r>
      <w:r w:rsidR="00F5684D" w:rsidRPr="002F5380">
        <w:rPr>
          <w:rFonts w:ascii="Times New Roman" w:hAnsi="Times New Roman" w:cs="Times New Roman"/>
          <w:sz w:val="24"/>
          <w:szCs w:val="24"/>
        </w:rPr>
        <w:t xml:space="preserve"> 358 as follows-</w:t>
      </w:r>
    </w:p>
    <w:p w:rsidR="00F5684D" w:rsidRPr="002F5380" w:rsidRDefault="00F5684D" w:rsidP="002F5380">
      <w:pPr>
        <w:tabs>
          <w:tab w:val="left" w:pos="2430"/>
        </w:tabs>
        <w:spacing w:line="360" w:lineRule="auto"/>
        <w:jc w:val="both"/>
        <w:rPr>
          <w:rFonts w:ascii="Times New Roman" w:hAnsi="Times New Roman" w:cs="Times New Roman"/>
          <w:sz w:val="24"/>
          <w:szCs w:val="24"/>
        </w:rPr>
      </w:pPr>
      <w:r w:rsidRPr="002F5380">
        <w:rPr>
          <w:rFonts w:ascii="Times New Roman" w:hAnsi="Times New Roman" w:cs="Times New Roman"/>
          <w:sz w:val="24"/>
          <w:szCs w:val="24"/>
        </w:rPr>
        <w:t xml:space="preserve">          “(a) A reasonable explanation for the Applicant’s delay is forthcoming;</w:t>
      </w:r>
    </w:p>
    <w:p w:rsidR="00F5684D" w:rsidRPr="002F5380" w:rsidRDefault="00F5684D" w:rsidP="003D348F">
      <w:pPr>
        <w:spacing w:line="360" w:lineRule="auto"/>
        <w:ind w:left="720"/>
        <w:jc w:val="both"/>
        <w:rPr>
          <w:rFonts w:ascii="Times New Roman" w:hAnsi="Times New Roman" w:cs="Times New Roman"/>
          <w:sz w:val="24"/>
          <w:szCs w:val="24"/>
        </w:rPr>
      </w:pPr>
      <w:r w:rsidRPr="002F5380">
        <w:rPr>
          <w:rFonts w:ascii="Times New Roman" w:hAnsi="Times New Roman" w:cs="Times New Roman"/>
          <w:sz w:val="24"/>
          <w:szCs w:val="24"/>
        </w:rPr>
        <w:t>(b) The Application must be bona fide and not made with intent to delay the other party’s claim;</w:t>
      </w:r>
    </w:p>
    <w:p w:rsidR="00F5684D" w:rsidRDefault="003D348F" w:rsidP="003D3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684D" w:rsidRPr="002F5380">
        <w:rPr>
          <w:rFonts w:ascii="Times New Roman" w:hAnsi="Times New Roman" w:cs="Times New Roman"/>
          <w:sz w:val="24"/>
          <w:szCs w:val="24"/>
        </w:rPr>
        <w:t xml:space="preserve">(c) The Applicant must not be guilty of a reckless or intentional disregard of the rules </w:t>
      </w:r>
    </w:p>
    <w:p w:rsidR="003D348F" w:rsidRPr="002F5380" w:rsidRDefault="003D348F" w:rsidP="003D3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5380">
        <w:rPr>
          <w:rFonts w:ascii="Times New Roman" w:hAnsi="Times New Roman" w:cs="Times New Roman"/>
          <w:sz w:val="24"/>
          <w:szCs w:val="24"/>
        </w:rPr>
        <w:t>of court;</w:t>
      </w:r>
    </w:p>
    <w:p w:rsidR="00C35FF4" w:rsidRPr="002F5380" w:rsidRDefault="003D348F" w:rsidP="003D348F">
      <w:pPr>
        <w:tabs>
          <w:tab w:val="left" w:pos="810"/>
          <w:tab w:val="left" w:pos="243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35FF4" w:rsidRPr="002F5380">
        <w:rPr>
          <w:rFonts w:ascii="Times New Roman" w:hAnsi="Times New Roman" w:cs="Times New Roman"/>
          <w:sz w:val="24"/>
          <w:szCs w:val="24"/>
        </w:rPr>
        <w:t>(d) T</w:t>
      </w:r>
      <w:r w:rsidR="00F5684D" w:rsidRPr="002F5380">
        <w:rPr>
          <w:rFonts w:ascii="Times New Roman" w:hAnsi="Times New Roman" w:cs="Times New Roman"/>
          <w:sz w:val="24"/>
          <w:szCs w:val="24"/>
        </w:rPr>
        <w:t>he</w:t>
      </w:r>
      <w:r w:rsidR="00C35FF4" w:rsidRPr="002F5380">
        <w:rPr>
          <w:rFonts w:ascii="Times New Roman" w:hAnsi="Times New Roman" w:cs="Times New Roman"/>
          <w:sz w:val="24"/>
          <w:szCs w:val="24"/>
        </w:rPr>
        <w:t xml:space="preserve"> Applicant’s case should not be obviously without foundation; and</w:t>
      </w:r>
    </w:p>
    <w:p w:rsidR="00C35FF4" w:rsidRDefault="003D348F" w:rsidP="003D3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35FF4" w:rsidRPr="002F5380">
        <w:rPr>
          <w:rFonts w:ascii="Times New Roman" w:hAnsi="Times New Roman" w:cs="Times New Roman"/>
          <w:sz w:val="24"/>
          <w:szCs w:val="24"/>
        </w:rPr>
        <w:t xml:space="preserve">(e) The other party should not be prejudiced to an extent which cannot be rectified by </w:t>
      </w:r>
    </w:p>
    <w:p w:rsidR="003D348F" w:rsidRPr="002F5380" w:rsidRDefault="003D348F" w:rsidP="003D34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5380">
        <w:rPr>
          <w:rFonts w:ascii="Times New Roman" w:hAnsi="Times New Roman" w:cs="Times New Roman"/>
          <w:sz w:val="24"/>
          <w:szCs w:val="24"/>
        </w:rPr>
        <w:t>a suitable Order as to costs.</w:t>
      </w:r>
    </w:p>
    <w:p w:rsidR="00C35FF4" w:rsidRPr="002F5380" w:rsidRDefault="00C35FF4" w:rsidP="002F5380">
      <w:pPr>
        <w:tabs>
          <w:tab w:val="left" w:pos="2430"/>
        </w:tabs>
        <w:spacing w:line="360" w:lineRule="auto"/>
        <w:jc w:val="both"/>
        <w:rPr>
          <w:rFonts w:ascii="Times New Roman" w:hAnsi="Times New Roman" w:cs="Times New Roman"/>
          <w:b/>
          <w:sz w:val="24"/>
          <w:szCs w:val="24"/>
          <w:u w:val="single"/>
        </w:rPr>
      </w:pPr>
      <w:r w:rsidRPr="002F5380">
        <w:rPr>
          <w:rFonts w:ascii="Times New Roman" w:hAnsi="Times New Roman" w:cs="Times New Roman"/>
          <w:b/>
          <w:sz w:val="24"/>
          <w:szCs w:val="24"/>
          <w:u w:val="single"/>
        </w:rPr>
        <w:t>REASONABLE EXPLANATION FOR DEFAULT</w:t>
      </w:r>
    </w:p>
    <w:p w:rsidR="00186DE5" w:rsidRPr="002F5380" w:rsidRDefault="006C02E8" w:rsidP="006C02E8">
      <w:pPr>
        <w:tabs>
          <w:tab w:val="left" w:pos="2430"/>
          <w:tab w:val="left" w:pos="252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35FF4" w:rsidRPr="002F5380">
        <w:rPr>
          <w:rFonts w:ascii="Times New Roman" w:hAnsi="Times New Roman" w:cs="Times New Roman"/>
          <w:sz w:val="24"/>
          <w:szCs w:val="24"/>
        </w:rPr>
        <w:t xml:space="preserve">In my view the applicant must </w:t>
      </w:r>
      <w:r w:rsidR="00186AAA" w:rsidRPr="002F5380">
        <w:rPr>
          <w:rFonts w:ascii="Times New Roman" w:hAnsi="Times New Roman" w:cs="Times New Roman"/>
          <w:sz w:val="24"/>
          <w:szCs w:val="24"/>
        </w:rPr>
        <w:t>rebut the presumption of service created by the Sheriff’s return of service.</w:t>
      </w:r>
      <w:r w:rsidR="00C35FF4" w:rsidRPr="002F5380">
        <w:rPr>
          <w:rFonts w:ascii="Times New Roman" w:hAnsi="Times New Roman" w:cs="Times New Roman"/>
          <w:sz w:val="24"/>
          <w:szCs w:val="24"/>
        </w:rPr>
        <w:t xml:space="preserve"> The applicant’s explanation is that she was not personally served with the summons in case number HC 12128/15 and in the circumstances she could not enter an appearance to Defend within the stipulated</w:t>
      </w:r>
      <w:r w:rsidR="00186AAA" w:rsidRPr="002F5380">
        <w:rPr>
          <w:rFonts w:ascii="Times New Roman" w:hAnsi="Times New Roman" w:cs="Times New Roman"/>
          <w:sz w:val="24"/>
          <w:szCs w:val="24"/>
        </w:rPr>
        <w:t xml:space="preserve"> </w:t>
      </w:r>
      <w:r w:rsidR="00C35FF4" w:rsidRPr="002F5380">
        <w:rPr>
          <w:rFonts w:ascii="Times New Roman" w:hAnsi="Times New Roman" w:cs="Times New Roman"/>
          <w:sz w:val="24"/>
          <w:szCs w:val="24"/>
        </w:rPr>
        <w:t>time frame. The fact that the summons were not handed to the applicant personally is not decisive</w:t>
      </w:r>
      <w:r w:rsidR="00186AAA" w:rsidRPr="002F5380">
        <w:rPr>
          <w:rFonts w:ascii="Times New Roman" w:hAnsi="Times New Roman" w:cs="Times New Roman"/>
          <w:sz w:val="24"/>
          <w:szCs w:val="24"/>
        </w:rPr>
        <w:t xml:space="preserve"> </w:t>
      </w:r>
      <w:r w:rsidR="00C35FF4" w:rsidRPr="002F5380">
        <w:rPr>
          <w:rFonts w:ascii="Times New Roman" w:hAnsi="Times New Roman" w:cs="Times New Roman"/>
          <w:sz w:val="24"/>
          <w:szCs w:val="24"/>
        </w:rPr>
        <w:t>in her favour. This wa</w:t>
      </w:r>
      <w:r w:rsidR="00186DE5" w:rsidRPr="002F5380">
        <w:rPr>
          <w:rFonts w:ascii="Times New Roman" w:hAnsi="Times New Roman" w:cs="Times New Roman"/>
          <w:sz w:val="24"/>
          <w:szCs w:val="24"/>
        </w:rPr>
        <w:t xml:space="preserve">s not an action for civil imprisonment. The Rules of this honourable court provide for effective service on a person other than the defendant. Order 5 </w:t>
      </w:r>
      <w:r w:rsidR="003D348F">
        <w:rPr>
          <w:rFonts w:ascii="Times New Roman" w:hAnsi="Times New Roman" w:cs="Times New Roman"/>
          <w:sz w:val="24"/>
          <w:szCs w:val="24"/>
        </w:rPr>
        <w:t>r</w:t>
      </w:r>
      <w:r w:rsidR="00186DE5" w:rsidRPr="002F5380">
        <w:rPr>
          <w:rFonts w:ascii="Times New Roman" w:hAnsi="Times New Roman" w:cs="Times New Roman"/>
          <w:sz w:val="24"/>
          <w:szCs w:val="24"/>
        </w:rPr>
        <w:t xml:space="preserve"> 39 (2) (b) of the High Court Rules, 1971 clearly states in this respect as follows:</w:t>
      </w:r>
    </w:p>
    <w:p w:rsidR="00186DE5" w:rsidRPr="003D348F" w:rsidRDefault="00186DE5" w:rsidP="002F5380">
      <w:pPr>
        <w:tabs>
          <w:tab w:val="left" w:pos="2430"/>
        </w:tabs>
        <w:spacing w:line="240" w:lineRule="auto"/>
        <w:ind w:left="720"/>
        <w:jc w:val="both"/>
        <w:rPr>
          <w:rFonts w:ascii="Times New Roman" w:hAnsi="Times New Roman" w:cs="Times New Roman"/>
        </w:rPr>
      </w:pPr>
      <w:r w:rsidRPr="003D348F">
        <w:rPr>
          <w:rFonts w:ascii="Times New Roman" w:hAnsi="Times New Roman" w:cs="Times New Roman"/>
        </w:rPr>
        <w:t xml:space="preserve">“Subject to this Order, process other than process referred to in subrule (1) </w:t>
      </w:r>
      <w:r w:rsidR="002F5380" w:rsidRPr="003D348F">
        <w:rPr>
          <w:rFonts w:ascii="Times New Roman" w:hAnsi="Times New Roman" w:cs="Times New Roman"/>
        </w:rPr>
        <w:t xml:space="preserve">may </w:t>
      </w:r>
      <w:r w:rsidRPr="003D348F">
        <w:rPr>
          <w:rFonts w:ascii="Times New Roman" w:hAnsi="Times New Roman" w:cs="Times New Roman"/>
        </w:rPr>
        <w:t xml:space="preserve">be </w:t>
      </w:r>
      <w:r w:rsidR="002F5380" w:rsidRPr="003D348F">
        <w:rPr>
          <w:rFonts w:ascii="Times New Roman" w:hAnsi="Times New Roman" w:cs="Times New Roman"/>
        </w:rPr>
        <w:t xml:space="preserve"> </w:t>
      </w:r>
      <w:r w:rsidRPr="003D348F">
        <w:rPr>
          <w:rFonts w:ascii="Times New Roman" w:hAnsi="Times New Roman" w:cs="Times New Roman"/>
        </w:rPr>
        <w:t>served upon a person in any of the following ways-</w:t>
      </w:r>
    </w:p>
    <w:p w:rsidR="00186DE5" w:rsidRPr="003D348F" w:rsidRDefault="00186DE5" w:rsidP="002F5380">
      <w:pPr>
        <w:pStyle w:val="ListParagraph"/>
        <w:numPr>
          <w:ilvl w:val="0"/>
          <w:numId w:val="2"/>
        </w:numPr>
        <w:tabs>
          <w:tab w:val="left" w:pos="2430"/>
        </w:tabs>
        <w:spacing w:line="360" w:lineRule="auto"/>
        <w:jc w:val="both"/>
        <w:rPr>
          <w:rFonts w:ascii="Times New Roman" w:hAnsi="Times New Roman" w:cs="Times New Roman"/>
        </w:rPr>
      </w:pPr>
      <w:r w:rsidRPr="003D348F">
        <w:rPr>
          <w:rFonts w:ascii="Times New Roman" w:hAnsi="Times New Roman" w:cs="Times New Roman"/>
        </w:rPr>
        <w:t>by personal delivery to that person or his duly authorised agent;</w:t>
      </w:r>
    </w:p>
    <w:p w:rsidR="00186DE5" w:rsidRPr="003D348F" w:rsidRDefault="00186DE5" w:rsidP="002F5380">
      <w:pPr>
        <w:pStyle w:val="ListParagraph"/>
        <w:numPr>
          <w:ilvl w:val="0"/>
          <w:numId w:val="2"/>
        </w:numPr>
        <w:tabs>
          <w:tab w:val="left" w:pos="2430"/>
        </w:tabs>
        <w:spacing w:line="360" w:lineRule="auto"/>
        <w:jc w:val="both"/>
        <w:rPr>
          <w:rFonts w:ascii="Times New Roman" w:hAnsi="Times New Roman" w:cs="Times New Roman"/>
        </w:rPr>
      </w:pPr>
      <w:r w:rsidRPr="003D348F">
        <w:rPr>
          <w:rFonts w:ascii="Times New Roman" w:hAnsi="Times New Roman" w:cs="Times New Roman"/>
        </w:rPr>
        <w:t>by delivery to a responsible person at the residence or place of business or employment of the person on whom service is to be effected or at his chosen address for service.”</w:t>
      </w:r>
    </w:p>
    <w:p w:rsidR="003B1861" w:rsidRPr="002F5380" w:rsidRDefault="003D348F" w:rsidP="003D348F">
      <w:pPr>
        <w:tabs>
          <w:tab w:val="left" w:pos="24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5380">
        <w:rPr>
          <w:rFonts w:ascii="Times New Roman" w:hAnsi="Times New Roman" w:cs="Times New Roman"/>
          <w:sz w:val="24"/>
          <w:szCs w:val="24"/>
        </w:rPr>
        <w:t xml:space="preserve"> </w:t>
      </w:r>
      <w:r w:rsidR="00186DE5" w:rsidRPr="002F5380">
        <w:rPr>
          <w:rFonts w:ascii="Times New Roman" w:hAnsi="Times New Roman" w:cs="Times New Roman"/>
          <w:sz w:val="24"/>
          <w:szCs w:val="24"/>
        </w:rPr>
        <w:t>In this case the Sheriff‘s Return of Service shows that the Sheriff handed a copy of the Summons to E</w:t>
      </w:r>
      <w:r w:rsidR="006062DD" w:rsidRPr="002F5380">
        <w:rPr>
          <w:rFonts w:ascii="Times New Roman" w:hAnsi="Times New Roman" w:cs="Times New Roman"/>
          <w:sz w:val="24"/>
          <w:szCs w:val="24"/>
        </w:rPr>
        <w:t xml:space="preserve">rnest Chitsinde, a caretaker and a responsible person at Number 881 Endevour </w:t>
      </w:r>
      <w:r w:rsidR="006062DD" w:rsidRPr="002F5380">
        <w:rPr>
          <w:rFonts w:ascii="Times New Roman" w:hAnsi="Times New Roman" w:cs="Times New Roman"/>
          <w:sz w:val="24"/>
          <w:szCs w:val="24"/>
        </w:rPr>
        <w:lastRenderedPageBreak/>
        <w:t>Crescent, M</w:t>
      </w:r>
      <w:r w:rsidR="00300304" w:rsidRPr="002F5380">
        <w:rPr>
          <w:rFonts w:ascii="Times New Roman" w:hAnsi="Times New Roman" w:cs="Times New Roman"/>
          <w:sz w:val="24"/>
          <w:szCs w:val="24"/>
        </w:rPr>
        <w:t>oun</w:t>
      </w:r>
      <w:r w:rsidR="006062DD" w:rsidRPr="002F5380">
        <w:rPr>
          <w:rFonts w:ascii="Times New Roman" w:hAnsi="Times New Roman" w:cs="Times New Roman"/>
          <w:sz w:val="24"/>
          <w:szCs w:val="24"/>
        </w:rPr>
        <w:t xml:space="preserve">t Pleasant Business Park, Harare, the place which the applicant, in the Deed of Surety, had chosen as her </w:t>
      </w:r>
      <w:r w:rsidR="006062DD" w:rsidRPr="002F5380">
        <w:rPr>
          <w:rFonts w:ascii="Times New Roman" w:hAnsi="Times New Roman" w:cs="Times New Roman"/>
          <w:i/>
          <w:sz w:val="24"/>
          <w:szCs w:val="24"/>
        </w:rPr>
        <w:t>domicilium citandi et executandi</w:t>
      </w:r>
      <w:r w:rsidR="006062DD" w:rsidRPr="002F5380">
        <w:rPr>
          <w:rFonts w:ascii="Times New Roman" w:hAnsi="Times New Roman" w:cs="Times New Roman"/>
          <w:sz w:val="24"/>
          <w:szCs w:val="24"/>
        </w:rPr>
        <w:t>.</w:t>
      </w:r>
    </w:p>
    <w:p w:rsidR="00B132F1" w:rsidRPr="002F5380" w:rsidRDefault="002F5380" w:rsidP="003D348F">
      <w:pPr>
        <w:tabs>
          <w:tab w:val="left" w:pos="24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B1861" w:rsidRPr="002F5380">
        <w:rPr>
          <w:rFonts w:ascii="Times New Roman" w:hAnsi="Times New Roman" w:cs="Times New Roman"/>
          <w:sz w:val="24"/>
          <w:szCs w:val="24"/>
        </w:rPr>
        <w:t xml:space="preserve">It is common cause therefore, that the Sheriff’s Return of service constitutes </w:t>
      </w:r>
      <w:r w:rsidR="003B1861" w:rsidRPr="003D348F">
        <w:rPr>
          <w:rFonts w:ascii="Times New Roman" w:hAnsi="Times New Roman" w:cs="Times New Roman"/>
          <w:i/>
          <w:sz w:val="24"/>
          <w:szCs w:val="24"/>
        </w:rPr>
        <w:t>prima facie</w:t>
      </w:r>
      <w:r w:rsidR="003B1861" w:rsidRPr="002F5380">
        <w:rPr>
          <w:rFonts w:ascii="Times New Roman" w:hAnsi="Times New Roman" w:cs="Times New Roman"/>
          <w:sz w:val="24"/>
          <w:szCs w:val="24"/>
        </w:rPr>
        <w:t xml:space="preserve"> proof of service. It </w:t>
      </w:r>
      <w:r w:rsidR="00253CE4" w:rsidRPr="002F5380">
        <w:rPr>
          <w:rFonts w:ascii="Times New Roman" w:hAnsi="Times New Roman" w:cs="Times New Roman"/>
          <w:sz w:val="24"/>
          <w:szCs w:val="24"/>
        </w:rPr>
        <w:t>is trite law</w:t>
      </w:r>
      <w:r w:rsidR="003B1861" w:rsidRPr="002F5380">
        <w:rPr>
          <w:rFonts w:ascii="Times New Roman" w:hAnsi="Times New Roman" w:cs="Times New Roman"/>
          <w:sz w:val="24"/>
          <w:szCs w:val="24"/>
        </w:rPr>
        <w:t xml:space="preserve"> as stated in the case of </w:t>
      </w:r>
      <w:r w:rsidR="003B1861" w:rsidRPr="003D348F">
        <w:rPr>
          <w:rFonts w:ascii="Times New Roman" w:hAnsi="Times New Roman" w:cs="Times New Roman"/>
          <w:i/>
          <w:sz w:val="24"/>
          <w:szCs w:val="24"/>
        </w:rPr>
        <w:t>Phill</w:t>
      </w:r>
      <w:r w:rsidR="003B1861" w:rsidRPr="002F5380">
        <w:rPr>
          <w:rFonts w:ascii="Times New Roman" w:hAnsi="Times New Roman" w:cs="Times New Roman"/>
          <w:sz w:val="24"/>
          <w:szCs w:val="24"/>
        </w:rPr>
        <w:t xml:space="preserve"> v </w:t>
      </w:r>
      <w:r w:rsidR="003B1861" w:rsidRPr="003D348F">
        <w:rPr>
          <w:rFonts w:ascii="Times New Roman" w:hAnsi="Times New Roman" w:cs="Times New Roman"/>
          <w:i/>
          <w:sz w:val="24"/>
          <w:szCs w:val="24"/>
        </w:rPr>
        <w:t>Gweru Investments</w:t>
      </w:r>
      <w:r w:rsidR="00061EDB" w:rsidRPr="002F5380">
        <w:rPr>
          <w:rFonts w:ascii="Times New Roman" w:hAnsi="Times New Roman" w:cs="Times New Roman"/>
          <w:sz w:val="24"/>
          <w:szCs w:val="24"/>
        </w:rPr>
        <w:t xml:space="preserve"> </w:t>
      </w:r>
      <w:r w:rsidR="00061EDB" w:rsidRPr="003D348F">
        <w:rPr>
          <w:rFonts w:ascii="Times New Roman" w:hAnsi="Times New Roman" w:cs="Times New Roman"/>
          <w:i/>
          <w:sz w:val="24"/>
          <w:szCs w:val="24"/>
        </w:rPr>
        <w:t>Limited &amp; Others</w:t>
      </w:r>
      <w:r w:rsidR="00061EDB" w:rsidRPr="002F5380">
        <w:rPr>
          <w:rFonts w:ascii="Times New Roman" w:hAnsi="Times New Roman" w:cs="Times New Roman"/>
          <w:sz w:val="24"/>
          <w:szCs w:val="24"/>
        </w:rPr>
        <w:t xml:space="preserve"> HH195-16,</w:t>
      </w:r>
      <w:r w:rsidR="00253CE4" w:rsidRPr="002F5380">
        <w:rPr>
          <w:rFonts w:ascii="Times New Roman" w:hAnsi="Times New Roman" w:cs="Times New Roman"/>
          <w:sz w:val="24"/>
          <w:szCs w:val="24"/>
        </w:rPr>
        <w:t xml:space="preserve"> that</w:t>
      </w:r>
      <w:r w:rsidR="00061EDB" w:rsidRPr="002F5380">
        <w:rPr>
          <w:rFonts w:ascii="Times New Roman" w:hAnsi="Times New Roman" w:cs="Times New Roman"/>
          <w:sz w:val="24"/>
          <w:szCs w:val="24"/>
        </w:rPr>
        <w:t xml:space="preserve"> the delivery of a legal notice to a responsible person at the chosen </w:t>
      </w:r>
      <w:r w:rsidR="00061EDB" w:rsidRPr="002F5380">
        <w:rPr>
          <w:rFonts w:ascii="Times New Roman" w:hAnsi="Times New Roman" w:cs="Times New Roman"/>
          <w:i/>
          <w:sz w:val="24"/>
          <w:szCs w:val="24"/>
        </w:rPr>
        <w:t>domicilium citandi et executandi</w:t>
      </w:r>
      <w:r w:rsidR="00061EDB" w:rsidRPr="002F5380">
        <w:rPr>
          <w:rFonts w:ascii="Times New Roman" w:hAnsi="Times New Roman" w:cs="Times New Roman"/>
          <w:sz w:val="24"/>
          <w:szCs w:val="24"/>
        </w:rPr>
        <w:t xml:space="preserve"> of a party to a contract will suffice as proper service for purposes of </w:t>
      </w:r>
      <w:r w:rsidR="003D348F">
        <w:rPr>
          <w:rFonts w:ascii="Times New Roman" w:hAnsi="Times New Roman" w:cs="Times New Roman"/>
          <w:sz w:val="24"/>
          <w:szCs w:val="24"/>
        </w:rPr>
        <w:t>r</w:t>
      </w:r>
      <w:r w:rsidR="00061EDB" w:rsidRPr="002F5380">
        <w:rPr>
          <w:rFonts w:ascii="Times New Roman" w:hAnsi="Times New Roman" w:cs="Times New Roman"/>
          <w:sz w:val="24"/>
          <w:szCs w:val="24"/>
        </w:rPr>
        <w:t xml:space="preserve"> 39 (2) (b). There is no legal requirement that, to be effective, the chosen address of service must be the defendant’s place of residence. In fact, to prescribe that would be to take away the element of choice that is inherently associated with the </w:t>
      </w:r>
      <w:r w:rsidR="00061EDB" w:rsidRPr="002F5380">
        <w:rPr>
          <w:rFonts w:ascii="Times New Roman" w:hAnsi="Times New Roman" w:cs="Times New Roman"/>
          <w:i/>
          <w:sz w:val="24"/>
          <w:szCs w:val="24"/>
        </w:rPr>
        <w:t>domicilium citandi et executandi</w:t>
      </w:r>
      <w:r w:rsidR="00061EDB" w:rsidRPr="002F5380">
        <w:rPr>
          <w:rFonts w:ascii="Times New Roman" w:hAnsi="Times New Roman" w:cs="Times New Roman"/>
          <w:sz w:val="24"/>
          <w:szCs w:val="24"/>
        </w:rPr>
        <w:t>. It is submitted, therefore, that whether or not the defendant resides at the address of service is immaterial when establishing if good and proper service was effected. Therefore, despite that the applicant in the present case was not served personally, there was proper service.</w:t>
      </w:r>
    </w:p>
    <w:p w:rsidR="006F7102" w:rsidRPr="002F5380" w:rsidRDefault="00B132F1" w:rsidP="002F5380">
      <w:pPr>
        <w:tabs>
          <w:tab w:val="left" w:pos="2430"/>
        </w:tabs>
        <w:spacing w:line="360" w:lineRule="auto"/>
        <w:jc w:val="both"/>
        <w:rPr>
          <w:rFonts w:ascii="Times New Roman" w:hAnsi="Times New Roman" w:cs="Times New Roman"/>
          <w:b/>
          <w:sz w:val="24"/>
          <w:szCs w:val="24"/>
          <w:u w:val="single"/>
        </w:rPr>
      </w:pPr>
      <w:r w:rsidRPr="002F5380">
        <w:rPr>
          <w:rFonts w:ascii="Times New Roman" w:hAnsi="Times New Roman" w:cs="Times New Roman"/>
          <w:b/>
          <w:sz w:val="24"/>
          <w:szCs w:val="24"/>
          <w:u w:val="single"/>
        </w:rPr>
        <w:t>HAS APPLICANT ESTABLISHED THAT SURETYSHIP DEED WAS FORGED?</w:t>
      </w:r>
    </w:p>
    <w:p w:rsidR="00B07EBE" w:rsidRPr="002F5380" w:rsidRDefault="002F5380" w:rsidP="002F5380">
      <w:pPr>
        <w:tabs>
          <w:tab w:val="left" w:pos="24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7102" w:rsidRPr="002F5380">
        <w:rPr>
          <w:rFonts w:ascii="Times New Roman" w:hAnsi="Times New Roman" w:cs="Times New Roman"/>
          <w:sz w:val="24"/>
          <w:szCs w:val="24"/>
        </w:rPr>
        <w:t>In her founding and supporting affidavits the applicant has tried to disown the Deed of Suretyship which stipulates the address of service. It is with respect, submitted that the applicant has failed to discharge the evidentiary burden on her to establish the forgery. She has not produced any evidence which establishes her bona fides in making the allegation. She has not reported the alleged forgery which threatens to dispossess her of her matrimonial property to the police as any reasonable victim would do. The alleged forgery has not been admitted by the husband. The applicant has also failed to produce an affidavit of her husband admitting to this said forgery. The applicant has also not produced any report from a document expect proving that the s</w:t>
      </w:r>
      <w:r w:rsidR="003D348F">
        <w:rPr>
          <w:rFonts w:ascii="Times New Roman" w:hAnsi="Times New Roman" w:cs="Times New Roman"/>
          <w:sz w:val="24"/>
          <w:szCs w:val="24"/>
        </w:rPr>
        <w:t>ignature appended on Annexure “</w:t>
      </w:r>
      <w:r w:rsidR="006F7102" w:rsidRPr="002F5380">
        <w:rPr>
          <w:rFonts w:ascii="Times New Roman" w:hAnsi="Times New Roman" w:cs="Times New Roman"/>
          <w:sz w:val="24"/>
          <w:szCs w:val="24"/>
        </w:rPr>
        <w:t>H” to the Court Application really is a forgery</w:t>
      </w:r>
      <w:r w:rsidR="00BB4D77" w:rsidRPr="002F5380">
        <w:rPr>
          <w:rFonts w:ascii="Times New Roman" w:hAnsi="Times New Roman" w:cs="Times New Roman"/>
          <w:sz w:val="24"/>
          <w:szCs w:val="24"/>
        </w:rPr>
        <w:t xml:space="preserve"> as she alleges. There is no evidence whatsoever pointing to the fact that the applicant‘s husband forged the documents in question save for her unsupported declarations. The mere production of copies of her passport and Bank card are not enough in the absence of a finger print expert.</w:t>
      </w:r>
      <w:r w:rsidR="00B07EBE" w:rsidRPr="002F5380">
        <w:rPr>
          <w:rFonts w:ascii="Times New Roman" w:hAnsi="Times New Roman" w:cs="Times New Roman"/>
          <w:sz w:val="24"/>
          <w:szCs w:val="24"/>
        </w:rPr>
        <w:t xml:space="preserve"> She is therefore bound by the Suretyship </w:t>
      </w:r>
      <w:r w:rsidR="005B1E08" w:rsidRPr="002F5380">
        <w:rPr>
          <w:rFonts w:ascii="Times New Roman" w:hAnsi="Times New Roman" w:cs="Times New Roman"/>
          <w:sz w:val="24"/>
          <w:szCs w:val="24"/>
        </w:rPr>
        <w:t xml:space="preserve">agreement </w:t>
      </w:r>
      <w:r w:rsidR="00B07EBE" w:rsidRPr="002F5380">
        <w:rPr>
          <w:rFonts w:ascii="Times New Roman" w:hAnsi="Times New Roman" w:cs="Times New Roman"/>
          <w:sz w:val="24"/>
          <w:szCs w:val="24"/>
        </w:rPr>
        <w:t>she signed.</w:t>
      </w:r>
    </w:p>
    <w:p w:rsidR="00396D71" w:rsidRPr="002F5380" w:rsidRDefault="00396D71" w:rsidP="002F5380">
      <w:pPr>
        <w:tabs>
          <w:tab w:val="left" w:pos="2430"/>
        </w:tabs>
        <w:spacing w:line="360" w:lineRule="auto"/>
        <w:jc w:val="both"/>
        <w:rPr>
          <w:rFonts w:ascii="Times New Roman" w:hAnsi="Times New Roman" w:cs="Times New Roman"/>
          <w:b/>
          <w:sz w:val="24"/>
          <w:szCs w:val="24"/>
          <w:u w:val="single"/>
        </w:rPr>
      </w:pPr>
      <w:r w:rsidRPr="002F5380">
        <w:rPr>
          <w:rFonts w:ascii="Times New Roman" w:hAnsi="Times New Roman" w:cs="Times New Roman"/>
          <w:b/>
          <w:sz w:val="24"/>
          <w:szCs w:val="24"/>
          <w:u w:val="single"/>
        </w:rPr>
        <w:t>IS APPLICANT BONA FIDE IN MAKING THIS APPLICATION?</w:t>
      </w:r>
    </w:p>
    <w:p w:rsidR="000D2319" w:rsidRPr="002F5380" w:rsidRDefault="002F5380" w:rsidP="002F5380">
      <w:pPr>
        <w:tabs>
          <w:tab w:val="left" w:pos="24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96D71" w:rsidRPr="002F5380">
        <w:rPr>
          <w:rFonts w:ascii="Times New Roman" w:hAnsi="Times New Roman" w:cs="Times New Roman"/>
          <w:sz w:val="24"/>
          <w:szCs w:val="24"/>
        </w:rPr>
        <w:t xml:space="preserve">When all the facts of this case have been considered the inescapable conclusion is that the applicant is not bona fide in making this application. In establishing its bona fide the </w:t>
      </w:r>
      <w:r w:rsidR="00396D71" w:rsidRPr="002F5380">
        <w:rPr>
          <w:rFonts w:ascii="Times New Roman" w:hAnsi="Times New Roman" w:cs="Times New Roman"/>
          <w:sz w:val="24"/>
          <w:szCs w:val="24"/>
        </w:rPr>
        <w:lastRenderedPageBreak/>
        <w:t>applicant must have set out material facts which if proved constitutes a valid and sufficient defence to the action</w:t>
      </w:r>
      <w:r w:rsidR="007809E8" w:rsidRPr="002F5380">
        <w:rPr>
          <w:rFonts w:ascii="Times New Roman" w:hAnsi="Times New Roman" w:cs="Times New Roman"/>
          <w:sz w:val="24"/>
          <w:szCs w:val="24"/>
        </w:rPr>
        <w:t>. I</w:t>
      </w:r>
      <w:r w:rsidR="00396D71" w:rsidRPr="002F5380">
        <w:rPr>
          <w:rFonts w:ascii="Times New Roman" w:hAnsi="Times New Roman" w:cs="Times New Roman"/>
          <w:sz w:val="24"/>
          <w:szCs w:val="24"/>
        </w:rPr>
        <w:t>n my view the applicant failed to establish the same.</w:t>
      </w:r>
      <w:r w:rsidR="000D2319" w:rsidRPr="002F5380">
        <w:rPr>
          <w:rFonts w:ascii="Times New Roman" w:hAnsi="Times New Roman" w:cs="Times New Roman"/>
          <w:sz w:val="24"/>
          <w:szCs w:val="24"/>
        </w:rPr>
        <w:t xml:space="preserve"> This defence has been only raised to delay the respondent from getting its relief.</w:t>
      </w:r>
    </w:p>
    <w:p w:rsidR="0000148A" w:rsidRPr="002F5380" w:rsidRDefault="000D2319" w:rsidP="002F5380">
      <w:pPr>
        <w:tabs>
          <w:tab w:val="left" w:pos="2430"/>
        </w:tabs>
        <w:spacing w:line="360" w:lineRule="auto"/>
        <w:jc w:val="both"/>
        <w:rPr>
          <w:rFonts w:ascii="Times New Roman" w:hAnsi="Times New Roman" w:cs="Times New Roman"/>
          <w:b/>
          <w:sz w:val="24"/>
          <w:szCs w:val="24"/>
          <w:u w:val="single"/>
        </w:rPr>
      </w:pPr>
      <w:r w:rsidRPr="002F5380">
        <w:rPr>
          <w:rFonts w:ascii="Times New Roman" w:hAnsi="Times New Roman" w:cs="Times New Roman"/>
          <w:b/>
          <w:sz w:val="24"/>
          <w:szCs w:val="24"/>
          <w:u w:val="single"/>
        </w:rPr>
        <w:t>HAS THERE BEEN A RECKLESS OR INTENTIONAL DISREGARD OF THE RULES OF COURT</w:t>
      </w:r>
      <w:r w:rsidR="0000148A" w:rsidRPr="002F5380">
        <w:rPr>
          <w:rFonts w:ascii="Times New Roman" w:hAnsi="Times New Roman" w:cs="Times New Roman"/>
          <w:b/>
          <w:sz w:val="24"/>
          <w:szCs w:val="24"/>
          <w:u w:val="single"/>
        </w:rPr>
        <w:t>?</w:t>
      </w:r>
    </w:p>
    <w:p w:rsidR="00F45E55" w:rsidRPr="002F5380" w:rsidRDefault="002F5380" w:rsidP="002F5380">
      <w:pPr>
        <w:tabs>
          <w:tab w:val="left" w:pos="24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148A" w:rsidRPr="002F5380">
        <w:rPr>
          <w:rFonts w:ascii="Times New Roman" w:hAnsi="Times New Roman" w:cs="Times New Roman"/>
          <w:sz w:val="24"/>
          <w:szCs w:val="24"/>
        </w:rPr>
        <w:t xml:space="preserve">The Rules of this honourable Court clearly prescribe the time frame within which a defendant should file its Appearance to Defend. Rule 17 of the High Court Rules provides that </w:t>
      </w:r>
      <w:r w:rsidR="0000148A" w:rsidRPr="002F5380">
        <w:rPr>
          <w:rFonts w:ascii="Times New Roman" w:hAnsi="Times New Roman" w:cs="Times New Roman"/>
          <w:i/>
          <w:sz w:val="24"/>
          <w:szCs w:val="24"/>
        </w:rPr>
        <w:t>“The time within which a defendant shall be required to enter appearance to defend shall be ten days, exclusive of the day of service</w:t>
      </w:r>
      <w:r w:rsidR="0000148A" w:rsidRPr="002F5380">
        <w:rPr>
          <w:rFonts w:ascii="Times New Roman" w:hAnsi="Times New Roman" w:cs="Times New Roman"/>
          <w:sz w:val="24"/>
          <w:szCs w:val="24"/>
        </w:rPr>
        <w:t>”. When she realised that she had been automatically barred by operation of the law the applicant should not have rushed to try and file an appearance to defend but at that very moment if she was genuine should have applied for upliftment of the bar. That she did not</w:t>
      </w:r>
      <w:r w:rsidR="009E4115" w:rsidRPr="002F5380">
        <w:rPr>
          <w:rFonts w:ascii="Times New Roman" w:hAnsi="Times New Roman" w:cs="Times New Roman"/>
          <w:sz w:val="24"/>
          <w:szCs w:val="24"/>
        </w:rPr>
        <w:t xml:space="preserve"> do</w:t>
      </w:r>
      <w:r w:rsidR="0000148A" w:rsidRPr="002F5380">
        <w:rPr>
          <w:rFonts w:ascii="Times New Roman" w:hAnsi="Times New Roman" w:cs="Times New Roman"/>
          <w:sz w:val="24"/>
          <w:szCs w:val="24"/>
        </w:rPr>
        <w:t xml:space="preserve"> shows that she disregarded the rules of court.</w:t>
      </w:r>
    </w:p>
    <w:p w:rsidR="004F4F2B" w:rsidRPr="002F5380" w:rsidRDefault="00F45E55" w:rsidP="002F5380">
      <w:pPr>
        <w:tabs>
          <w:tab w:val="left" w:pos="2430"/>
        </w:tabs>
        <w:spacing w:line="360" w:lineRule="auto"/>
        <w:jc w:val="both"/>
        <w:rPr>
          <w:rFonts w:ascii="Times New Roman" w:hAnsi="Times New Roman" w:cs="Times New Roman"/>
          <w:b/>
          <w:sz w:val="24"/>
          <w:szCs w:val="24"/>
          <w:u w:val="single"/>
        </w:rPr>
      </w:pPr>
      <w:r w:rsidRPr="002F5380">
        <w:rPr>
          <w:rFonts w:ascii="Times New Roman" w:hAnsi="Times New Roman" w:cs="Times New Roman"/>
          <w:b/>
          <w:sz w:val="24"/>
          <w:szCs w:val="24"/>
          <w:u w:val="single"/>
        </w:rPr>
        <w:t>WOULD THE RESPONDENT BE PREJUDICED TO AN EXTENT WHICH CANNOT BE RECTIFIED BY SUITABLE ORDER AS TO COSTS?</w:t>
      </w:r>
    </w:p>
    <w:p w:rsidR="004704B0" w:rsidRPr="002F5380" w:rsidRDefault="002F5380" w:rsidP="002F5380">
      <w:pPr>
        <w:tabs>
          <w:tab w:val="left" w:pos="24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4F2B" w:rsidRPr="002F5380">
        <w:rPr>
          <w:rFonts w:ascii="Times New Roman" w:hAnsi="Times New Roman" w:cs="Times New Roman"/>
          <w:sz w:val="24"/>
          <w:szCs w:val="24"/>
        </w:rPr>
        <w:t>We are at the end of the year 2018. The matter in case number HC 12138/15 has not been settled since 2015. As a bona fide creditor with a bona</w:t>
      </w:r>
      <w:r w:rsidR="00E91019" w:rsidRPr="002F5380">
        <w:rPr>
          <w:rFonts w:ascii="Times New Roman" w:hAnsi="Times New Roman" w:cs="Times New Roman"/>
          <w:sz w:val="24"/>
          <w:szCs w:val="24"/>
        </w:rPr>
        <w:t xml:space="preserve"> </w:t>
      </w:r>
      <w:r w:rsidR="004F4F2B" w:rsidRPr="002F5380">
        <w:rPr>
          <w:rFonts w:ascii="Times New Roman" w:hAnsi="Times New Roman" w:cs="Times New Roman"/>
          <w:sz w:val="24"/>
          <w:szCs w:val="24"/>
        </w:rPr>
        <w:t>fide claim it is my view that the respond</w:t>
      </w:r>
      <w:r w:rsidR="00E91019" w:rsidRPr="002F5380">
        <w:rPr>
          <w:rFonts w:ascii="Times New Roman" w:hAnsi="Times New Roman" w:cs="Times New Roman"/>
          <w:sz w:val="24"/>
          <w:szCs w:val="24"/>
        </w:rPr>
        <w:t>ent has already been prejudiced</w:t>
      </w:r>
      <w:r w:rsidR="004F4F2B" w:rsidRPr="002F5380">
        <w:rPr>
          <w:rFonts w:ascii="Times New Roman" w:hAnsi="Times New Roman" w:cs="Times New Roman"/>
          <w:sz w:val="24"/>
          <w:szCs w:val="24"/>
        </w:rPr>
        <w:t xml:space="preserve"> in a manner deserving of costs on a higher scale without having to deal with this frivolous application from the applicant. The applicant did not exercise the degre</w:t>
      </w:r>
      <w:r w:rsidR="00DF44C0" w:rsidRPr="002F5380">
        <w:rPr>
          <w:rFonts w:ascii="Times New Roman" w:hAnsi="Times New Roman" w:cs="Times New Roman"/>
          <w:sz w:val="24"/>
          <w:szCs w:val="24"/>
        </w:rPr>
        <w:t>e of care expected of a litigant</w:t>
      </w:r>
      <w:r w:rsidR="004F4F2B" w:rsidRPr="002F5380">
        <w:rPr>
          <w:rFonts w:ascii="Times New Roman" w:hAnsi="Times New Roman" w:cs="Times New Roman"/>
          <w:sz w:val="24"/>
          <w:szCs w:val="24"/>
        </w:rPr>
        <w:t xml:space="preserve"> who has been barred. She waited for over a year to apply for the uplif</w:t>
      </w:r>
      <w:r w:rsidR="00E15BCE" w:rsidRPr="002F5380">
        <w:rPr>
          <w:rFonts w:ascii="Times New Roman" w:hAnsi="Times New Roman" w:cs="Times New Roman"/>
          <w:sz w:val="24"/>
          <w:szCs w:val="24"/>
        </w:rPr>
        <w:t>tment of the Bar operating again</w:t>
      </w:r>
      <w:r w:rsidR="004F4F2B" w:rsidRPr="002F5380">
        <w:rPr>
          <w:rFonts w:ascii="Times New Roman" w:hAnsi="Times New Roman" w:cs="Times New Roman"/>
          <w:sz w:val="24"/>
          <w:szCs w:val="24"/>
        </w:rPr>
        <w:t>st her from the time t</w:t>
      </w:r>
      <w:r w:rsidR="006F0C8D">
        <w:rPr>
          <w:rFonts w:ascii="Times New Roman" w:hAnsi="Times New Roman" w:cs="Times New Roman"/>
          <w:sz w:val="24"/>
          <w:szCs w:val="24"/>
        </w:rPr>
        <w:t>hat she allegedly “</w:t>
      </w:r>
      <w:r w:rsidR="003D348F">
        <w:rPr>
          <w:rFonts w:ascii="Times New Roman" w:hAnsi="Times New Roman" w:cs="Times New Roman"/>
          <w:sz w:val="24"/>
          <w:szCs w:val="24"/>
        </w:rPr>
        <w:t>came across”</w:t>
      </w:r>
      <w:r w:rsidR="004F4F2B" w:rsidRPr="002F5380">
        <w:rPr>
          <w:rFonts w:ascii="Times New Roman" w:hAnsi="Times New Roman" w:cs="Times New Roman"/>
          <w:sz w:val="24"/>
          <w:szCs w:val="24"/>
        </w:rPr>
        <w:t xml:space="preserve"> the Summons. In doing so she failed to exercise the degree of care expected in the circumstances and was therefore negligent in the sense defined by MAFUSIRE J in the case of </w:t>
      </w:r>
      <w:r w:rsidR="004F4F2B" w:rsidRPr="003D348F">
        <w:rPr>
          <w:rFonts w:ascii="Times New Roman" w:hAnsi="Times New Roman" w:cs="Times New Roman"/>
          <w:i/>
          <w:sz w:val="24"/>
          <w:szCs w:val="24"/>
        </w:rPr>
        <w:t>Local Authorities P</w:t>
      </w:r>
      <w:r w:rsidRPr="003D348F">
        <w:rPr>
          <w:rFonts w:ascii="Times New Roman" w:hAnsi="Times New Roman" w:cs="Times New Roman"/>
          <w:i/>
          <w:sz w:val="24"/>
          <w:szCs w:val="24"/>
        </w:rPr>
        <w:t>ension Fund</w:t>
      </w:r>
      <w:r>
        <w:rPr>
          <w:rFonts w:ascii="Times New Roman" w:hAnsi="Times New Roman" w:cs="Times New Roman"/>
          <w:sz w:val="24"/>
          <w:szCs w:val="24"/>
        </w:rPr>
        <w:t xml:space="preserve"> v </w:t>
      </w:r>
      <w:r w:rsidRPr="003D348F">
        <w:rPr>
          <w:rFonts w:ascii="Times New Roman" w:hAnsi="Times New Roman" w:cs="Times New Roman"/>
          <w:i/>
          <w:sz w:val="24"/>
          <w:szCs w:val="24"/>
        </w:rPr>
        <w:t>Nyakwawa &amp; Ors</w:t>
      </w:r>
      <w:r>
        <w:rPr>
          <w:rFonts w:ascii="Times New Roman" w:hAnsi="Times New Roman" w:cs="Times New Roman"/>
          <w:sz w:val="24"/>
          <w:szCs w:val="24"/>
        </w:rPr>
        <w:t xml:space="preserve"> HH</w:t>
      </w:r>
      <w:r w:rsidR="004F4F2B" w:rsidRPr="002F5380">
        <w:rPr>
          <w:rFonts w:ascii="Times New Roman" w:hAnsi="Times New Roman" w:cs="Times New Roman"/>
          <w:sz w:val="24"/>
          <w:szCs w:val="24"/>
        </w:rPr>
        <w:t>-60-15</w:t>
      </w:r>
      <w:r w:rsidR="004704B0" w:rsidRPr="002F5380">
        <w:rPr>
          <w:rFonts w:ascii="Times New Roman" w:hAnsi="Times New Roman" w:cs="Times New Roman"/>
          <w:sz w:val="24"/>
          <w:szCs w:val="24"/>
        </w:rPr>
        <w:t xml:space="preserve">. See also the case of </w:t>
      </w:r>
      <w:r w:rsidR="004704B0" w:rsidRPr="003D348F">
        <w:rPr>
          <w:rFonts w:ascii="Times New Roman" w:hAnsi="Times New Roman" w:cs="Times New Roman"/>
          <w:i/>
          <w:sz w:val="24"/>
          <w:szCs w:val="24"/>
        </w:rPr>
        <w:t>Mears</w:t>
      </w:r>
      <w:r w:rsidR="004704B0" w:rsidRPr="002F5380">
        <w:rPr>
          <w:rFonts w:ascii="Times New Roman" w:hAnsi="Times New Roman" w:cs="Times New Roman"/>
          <w:sz w:val="24"/>
          <w:szCs w:val="24"/>
        </w:rPr>
        <w:t xml:space="preserve"> v </w:t>
      </w:r>
      <w:r w:rsidR="004704B0" w:rsidRPr="003D348F">
        <w:rPr>
          <w:rFonts w:ascii="Times New Roman" w:hAnsi="Times New Roman" w:cs="Times New Roman"/>
          <w:i/>
          <w:sz w:val="24"/>
          <w:szCs w:val="24"/>
        </w:rPr>
        <w:t>Brooks’  Executor &amp; Anor</w:t>
      </w:r>
      <w:r w:rsidR="004704B0" w:rsidRPr="002F5380">
        <w:rPr>
          <w:rFonts w:ascii="Times New Roman" w:hAnsi="Times New Roman" w:cs="Times New Roman"/>
          <w:sz w:val="24"/>
          <w:szCs w:val="24"/>
        </w:rPr>
        <w:t xml:space="preserve"> 1906 TS 546 where the court refused to remove the bar where the applicant in that case had delayed filing his pleadings for a year and had no reasonable explanation for such a lengthy delay.</w:t>
      </w:r>
    </w:p>
    <w:p w:rsidR="004704B0" w:rsidRPr="002F5380" w:rsidRDefault="003D348F" w:rsidP="003D348F">
      <w:pPr>
        <w:tabs>
          <w:tab w:val="left" w:pos="243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04B0" w:rsidRPr="002F5380">
        <w:rPr>
          <w:rFonts w:ascii="Times New Roman" w:hAnsi="Times New Roman" w:cs="Times New Roman"/>
          <w:sz w:val="24"/>
          <w:szCs w:val="24"/>
        </w:rPr>
        <w:t>In the circumstances I refuse to order the upliftment of the bar.</w:t>
      </w:r>
    </w:p>
    <w:p w:rsidR="004704B0" w:rsidRPr="002F5380" w:rsidRDefault="004704B0" w:rsidP="002F5380">
      <w:pPr>
        <w:tabs>
          <w:tab w:val="left" w:pos="2430"/>
        </w:tabs>
        <w:spacing w:line="360" w:lineRule="auto"/>
        <w:jc w:val="both"/>
        <w:rPr>
          <w:rFonts w:ascii="Times New Roman" w:hAnsi="Times New Roman" w:cs="Times New Roman"/>
          <w:sz w:val="24"/>
          <w:szCs w:val="24"/>
        </w:rPr>
      </w:pPr>
      <w:r w:rsidRPr="002F5380">
        <w:rPr>
          <w:rFonts w:ascii="Times New Roman" w:hAnsi="Times New Roman" w:cs="Times New Roman"/>
          <w:sz w:val="24"/>
          <w:szCs w:val="24"/>
        </w:rPr>
        <w:t xml:space="preserve">IT IS ORDERED THAT </w:t>
      </w:r>
    </w:p>
    <w:p w:rsidR="004704B0" w:rsidRPr="002F5380" w:rsidRDefault="004704B0" w:rsidP="002F5380">
      <w:pPr>
        <w:pStyle w:val="ListParagraph"/>
        <w:numPr>
          <w:ilvl w:val="0"/>
          <w:numId w:val="3"/>
        </w:numPr>
        <w:tabs>
          <w:tab w:val="left" w:pos="2430"/>
        </w:tabs>
        <w:spacing w:line="360" w:lineRule="auto"/>
        <w:jc w:val="both"/>
        <w:rPr>
          <w:rFonts w:ascii="Times New Roman" w:hAnsi="Times New Roman" w:cs="Times New Roman"/>
          <w:sz w:val="24"/>
          <w:szCs w:val="24"/>
        </w:rPr>
      </w:pPr>
      <w:r w:rsidRPr="002F5380">
        <w:rPr>
          <w:rFonts w:ascii="Times New Roman" w:hAnsi="Times New Roman" w:cs="Times New Roman"/>
          <w:sz w:val="24"/>
          <w:szCs w:val="24"/>
        </w:rPr>
        <w:t>The application is</w:t>
      </w:r>
      <w:r w:rsidR="00365769" w:rsidRPr="002F5380">
        <w:rPr>
          <w:rFonts w:ascii="Times New Roman" w:hAnsi="Times New Roman" w:cs="Times New Roman"/>
          <w:sz w:val="24"/>
          <w:szCs w:val="24"/>
        </w:rPr>
        <w:t xml:space="preserve"> hereby</w:t>
      </w:r>
      <w:r w:rsidRPr="002F5380">
        <w:rPr>
          <w:rFonts w:ascii="Times New Roman" w:hAnsi="Times New Roman" w:cs="Times New Roman"/>
          <w:sz w:val="24"/>
          <w:szCs w:val="24"/>
        </w:rPr>
        <w:t xml:space="preserve"> dismissed with costs on a legal practitioner and client scale.</w:t>
      </w:r>
    </w:p>
    <w:p w:rsidR="004704B0" w:rsidRPr="002F5380" w:rsidRDefault="004704B0" w:rsidP="002F5380">
      <w:pPr>
        <w:tabs>
          <w:tab w:val="left" w:pos="2430"/>
        </w:tabs>
        <w:spacing w:line="360" w:lineRule="auto"/>
        <w:jc w:val="both"/>
        <w:rPr>
          <w:rFonts w:ascii="Times New Roman" w:hAnsi="Times New Roman" w:cs="Times New Roman"/>
          <w:sz w:val="24"/>
          <w:szCs w:val="24"/>
        </w:rPr>
      </w:pPr>
    </w:p>
    <w:p w:rsidR="002F5380" w:rsidRDefault="002F5380" w:rsidP="002F5380">
      <w:pPr>
        <w:pStyle w:val="NoSpacing"/>
        <w:spacing w:line="360" w:lineRule="auto"/>
        <w:jc w:val="both"/>
        <w:rPr>
          <w:rFonts w:ascii="Times New Roman" w:hAnsi="Times New Roman" w:cs="Times New Roman"/>
          <w:sz w:val="24"/>
          <w:szCs w:val="24"/>
        </w:rPr>
      </w:pPr>
    </w:p>
    <w:p w:rsidR="002F5380" w:rsidRDefault="002F5380" w:rsidP="002F5380">
      <w:pPr>
        <w:pStyle w:val="NoSpacing"/>
        <w:spacing w:line="360" w:lineRule="auto"/>
        <w:jc w:val="both"/>
        <w:rPr>
          <w:rFonts w:ascii="Times New Roman" w:hAnsi="Times New Roman" w:cs="Times New Roman"/>
          <w:sz w:val="24"/>
          <w:szCs w:val="24"/>
        </w:rPr>
      </w:pPr>
    </w:p>
    <w:p w:rsidR="004704B0" w:rsidRPr="002F5380" w:rsidRDefault="004704B0" w:rsidP="002F5380">
      <w:pPr>
        <w:pStyle w:val="NoSpacing"/>
        <w:jc w:val="both"/>
        <w:rPr>
          <w:rFonts w:ascii="Times New Roman" w:hAnsi="Times New Roman" w:cs="Times New Roman"/>
          <w:sz w:val="24"/>
          <w:szCs w:val="24"/>
        </w:rPr>
      </w:pPr>
      <w:r w:rsidRPr="002F5380">
        <w:rPr>
          <w:rFonts w:ascii="Times New Roman" w:hAnsi="Times New Roman" w:cs="Times New Roman"/>
          <w:i/>
          <w:sz w:val="24"/>
          <w:szCs w:val="24"/>
        </w:rPr>
        <w:t>Muhonde Attorneys</w:t>
      </w:r>
      <w:r w:rsidRPr="002F5380">
        <w:rPr>
          <w:rFonts w:ascii="Times New Roman" w:hAnsi="Times New Roman" w:cs="Times New Roman"/>
          <w:sz w:val="24"/>
          <w:szCs w:val="24"/>
        </w:rPr>
        <w:t>, applicant’s legal practitioners</w:t>
      </w:r>
    </w:p>
    <w:p w:rsidR="00042869" w:rsidRPr="00186DE5" w:rsidRDefault="004704B0" w:rsidP="00081073">
      <w:pPr>
        <w:pStyle w:val="NoSpacing"/>
        <w:jc w:val="both"/>
        <w:rPr>
          <w:sz w:val="24"/>
          <w:szCs w:val="24"/>
        </w:rPr>
      </w:pPr>
      <w:r w:rsidRPr="002F5380">
        <w:rPr>
          <w:rFonts w:ascii="Times New Roman" w:hAnsi="Times New Roman" w:cs="Times New Roman"/>
          <w:i/>
          <w:sz w:val="24"/>
          <w:szCs w:val="24"/>
        </w:rPr>
        <w:t>Wintertons</w:t>
      </w:r>
      <w:r w:rsidRPr="002F5380">
        <w:rPr>
          <w:rFonts w:ascii="Times New Roman" w:hAnsi="Times New Roman" w:cs="Times New Roman"/>
          <w:sz w:val="24"/>
          <w:szCs w:val="24"/>
        </w:rPr>
        <w:t xml:space="preserve">, </w:t>
      </w:r>
      <w:r w:rsidR="002E6772">
        <w:rPr>
          <w:rFonts w:ascii="Times New Roman" w:hAnsi="Times New Roman" w:cs="Times New Roman"/>
          <w:sz w:val="24"/>
          <w:szCs w:val="24"/>
        </w:rPr>
        <w:t>respondent’s legal practitioners</w:t>
      </w:r>
      <w:r w:rsidR="00132D9C" w:rsidRPr="00186DE5">
        <w:rPr>
          <w:sz w:val="24"/>
          <w:szCs w:val="24"/>
        </w:rPr>
        <w:t xml:space="preserve">  </w:t>
      </w:r>
      <w:r w:rsidR="00D63B23" w:rsidRPr="00186DE5">
        <w:rPr>
          <w:sz w:val="24"/>
          <w:szCs w:val="24"/>
        </w:rPr>
        <w:t xml:space="preserve"> </w:t>
      </w:r>
      <w:r w:rsidR="00417E62" w:rsidRPr="00186DE5">
        <w:rPr>
          <w:sz w:val="24"/>
          <w:szCs w:val="24"/>
        </w:rPr>
        <w:t xml:space="preserve">   </w:t>
      </w:r>
      <w:r w:rsidR="002F1703" w:rsidRPr="00186DE5">
        <w:rPr>
          <w:sz w:val="24"/>
          <w:szCs w:val="24"/>
        </w:rPr>
        <w:t xml:space="preserve">  </w:t>
      </w:r>
      <w:r w:rsidR="005A58B8" w:rsidRPr="00186DE5">
        <w:rPr>
          <w:sz w:val="24"/>
          <w:szCs w:val="24"/>
        </w:rPr>
        <w:t xml:space="preserve"> </w:t>
      </w:r>
      <w:r w:rsidR="006F169D" w:rsidRPr="00186DE5">
        <w:rPr>
          <w:sz w:val="24"/>
          <w:szCs w:val="24"/>
        </w:rPr>
        <w:t xml:space="preserve"> </w:t>
      </w:r>
      <w:r w:rsidR="002E32DF" w:rsidRPr="00186DE5">
        <w:rPr>
          <w:sz w:val="24"/>
          <w:szCs w:val="24"/>
        </w:rPr>
        <w:t xml:space="preserve">   </w:t>
      </w:r>
    </w:p>
    <w:sectPr w:rsidR="00042869" w:rsidRPr="00186DE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E2F" w:rsidRDefault="00C11E2F" w:rsidP="003D348F">
      <w:pPr>
        <w:spacing w:after="0" w:line="240" w:lineRule="auto"/>
      </w:pPr>
      <w:r>
        <w:separator/>
      </w:r>
    </w:p>
  </w:endnote>
  <w:endnote w:type="continuationSeparator" w:id="0">
    <w:p w:rsidR="00C11E2F" w:rsidRDefault="00C11E2F" w:rsidP="003D3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E2F" w:rsidRDefault="00C11E2F" w:rsidP="003D348F">
      <w:pPr>
        <w:spacing w:after="0" w:line="240" w:lineRule="auto"/>
      </w:pPr>
      <w:r>
        <w:separator/>
      </w:r>
    </w:p>
  </w:footnote>
  <w:footnote w:type="continuationSeparator" w:id="0">
    <w:p w:rsidR="00C11E2F" w:rsidRDefault="00C11E2F" w:rsidP="003D3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8095891"/>
      <w:docPartObj>
        <w:docPartGallery w:val="Page Numbers (Top of Page)"/>
        <w:docPartUnique/>
      </w:docPartObj>
    </w:sdtPr>
    <w:sdtEndPr>
      <w:rPr>
        <w:noProof/>
      </w:rPr>
    </w:sdtEndPr>
    <w:sdtContent>
      <w:p w:rsidR="003D348F" w:rsidRDefault="003D348F">
        <w:pPr>
          <w:pStyle w:val="Header"/>
          <w:jc w:val="right"/>
          <w:rPr>
            <w:noProof/>
          </w:rPr>
        </w:pPr>
        <w:r>
          <w:fldChar w:fldCharType="begin"/>
        </w:r>
        <w:r>
          <w:instrText xml:space="preserve"> PAGE   \* MERGEFORMAT </w:instrText>
        </w:r>
        <w:r>
          <w:fldChar w:fldCharType="separate"/>
        </w:r>
        <w:r w:rsidR="00FA4A19">
          <w:rPr>
            <w:noProof/>
          </w:rPr>
          <w:t>1</w:t>
        </w:r>
        <w:r>
          <w:rPr>
            <w:noProof/>
          </w:rPr>
          <w:fldChar w:fldCharType="end"/>
        </w:r>
      </w:p>
      <w:p w:rsidR="003D348F" w:rsidRDefault="003D348F">
        <w:pPr>
          <w:pStyle w:val="Header"/>
          <w:jc w:val="right"/>
          <w:rPr>
            <w:noProof/>
          </w:rPr>
        </w:pPr>
        <w:r>
          <w:rPr>
            <w:noProof/>
          </w:rPr>
          <w:t>HH</w:t>
        </w:r>
        <w:r w:rsidR="00C24ABF">
          <w:rPr>
            <w:noProof/>
          </w:rPr>
          <w:t>-2-18</w:t>
        </w:r>
      </w:p>
      <w:p w:rsidR="003D348F" w:rsidRDefault="003D348F">
        <w:pPr>
          <w:pStyle w:val="Header"/>
          <w:jc w:val="right"/>
          <w:rPr>
            <w:noProof/>
          </w:rPr>
        </w:pPr>
        <w:r>
          <w:rPr>
            <w:noProof/>
          </w:rPr>
          <w:t>HC  3611/17</w:t>
        </w:r>
      </w:p>
      <w:p w:rsidR="003D348F" w:rsidRDefault="003D348F">
        <w:pPr>
          <w:pStyle w:val="Header"/>
          <w:jc w:val="right"/>
        </w:pPr>
        <w:r>
          <w:rPr>
            <w:noProof/>
          </w:rPr>
          <w:t>REF CASE NO. HC 12138/15</w:t>
        </w:r>
      </w:p>
    </w:sdtContent>
  </w:sdt>
  <w:p w:rsidR="003D348F" w:rsidRDefault="003D348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08474C"/>
    <w:multiLevelType w:val="hybridMultilevel"/>
    <w:tmpl w:val="06204A0E"/>
    <w:lvl w:ilvl="0" w:tplc="3FECB99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BEB71AF"/>
    <w:multiLevelType w:val="hybridMultilevel"/>
    <w:tmpl w:val="F30CBEB2"/>
    <w:lvl w:ilvl="0" w:tplc="0E60D312">
      <w:start w:val="1"/>
      <w:numFmt w:val="lowerLetter"/>
      <w:lvlText w:val="%1)"/>
      <w:lvlJc w:val="left"/>
      <w:pPr>
        <w:ind w:left="690" w:hanging="360"/>
      </w:pPr>
      <w:rPr>
        <w:rFonts w:hint="default"/>
      </w:rPr>
    </w:lvl>
    <w:lvl w:ilvl="1" w:tplc="30090019" w:tentative="1">
      <w:start w:val="1"/>
      <w:numFmt w:val="lowerLetter"/>
      <w:lvlText w:val="%2."/>
      <w:lvlJc w:val="left"/>
      <w:pPr>
        <w:ind w:left="1410" w:hanging="360"/>
      </w:pPr>
    </w:lvl>
    <w:lvl w:ilvl="2" w:tplc="3009001B" w:tentative="1">
      <w:start w:val="1"/>
      <w:numFmt w:val="lowerRoman"/>
      <w:lvlText w:val="%3."/>
      <w:lvlJc w:val="right"/>
      <w:pPr>
        <w:ind w:left="2130" w:hanging="180"/>
      </w:pPr>
    </w:lvl>
    <w:lvl w:ilvl="3" w:tplc="3009000F" w:tentative="1">
      <w:start w:val="1"/>
      <w:numFmt w:val="decimal"/>
      <w:lvlText w:val="%4."/>
      <w:lvlJc w:val="left"/>
      <w:pPr>
        <w:ind w:left="2850" w:hanging="360"/>
      </w:pPr>
    </w:lvl>
    <w:lvl w:ilvl="4" w:tplc="30090019" w:tentative="1">
      <w:start w:val="1"/>
      <w:numFmt w:val="lowerLetter"/>
      <w:lvlText w:val="%5."/>
      <w:lvlJc w:val="left"/>
      <w:pPr>
        <w:ind w:left="3570" w:hanging="360"/>
      </w:pPr>
    </w:lvl>
    <w:lvl w:ilvl="5" w:tplc="3009001B" w:tentative="1">
      <w:start w:val="1"/>
      <w:numFmt w:val="lowerRoman"/>
      <w:lvlText w:val="%6."/>
      <w:lvlJc w:val="right"/>
      <w:pPr>
        <w:ind w:left="4290" w:hanging="180"/>
      </w:pPr>
    </w:lvl>
    <w:lvl w:ilvl="6" w:tplc="3009000F" w:tentative="1">
      <w:start w:val="1"/>
      <w:numFmt w:val="decimal"/>
      <w:lvlText w:val="%7."/>
      <w:lvlJc w:val="left"/>
      <w:pPr>
        <w:ind w:left="5010" w:hanging="360"/>
      </w:pPr>
    </w:lvl>
    <w:lvl w:ilvl="7" w:tplc="30090019" w:tentative="1">
      <w:start w:val="1"/>
      <w:numFmt w:val="lowerLetter"/>
      <w:lvlText w:val="%8."/>
      <w:lvlJc w:val="left"/>
      <w:pPr>
        <w:ind w:left="5730" w:hanging="360"/>
      </w:pPr>
    </w:lvl>
    <w:lvl w:ilvl="8" w:tplc="3009001B" w:tentative="1">
      <w:start w:val="1"/>
      <w:numFmt w:val="lowerRoman"/>
      <w:lvlText w:val="%9."/>
      <w:lvlJc w:val="right"/>
      <w:pPr>
        <w:ind w:left="6450" w:hanging="180"/>
      </w:pPr>
    </w:lvl>
  </w:abstractNum>
  <w:abstractNum w:abstractNumId="2" w15:restartNumberingAfterBreak="0">
    <w:nsid w:val="78A358F2"/>
    <w:multiLevelType w:val="hybridMultilevel"/>
    <w:tmpl w:val="EF9244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869"/>
    <w:rsid w:val="0000148A"/>
    <w:rsid w:val="00042869"/>
    <w:rsid w:val="00061EDB"/>
    <w:rsid w:val="000741D1"/>
    <w:rsid w:val="00081073"/>
    <w:rsid w:val="000B3A48"/>
    <w:rsid w:val="000B5495"/>
    <w:rsid w:val="000D2319"/>
    <w:rsid w:val="00132D9C"/>
    <w:rsid w:val="00186AAA"/>
    <w:rsid w:val="00186DE5"/>
    <w:rsid w:val="0023712E"/>
    <w:rsid w:val="00253CE4"/>
    <w:rsid w:val="002A03E3"/>
    <w:rsid w:val="002E32DF"/>
    <w:rsid w:val="002E6772"/>
    <w:rsid w:val="002F1703"/>
    <w:rsid w:val="002F5380"/>
    <w:rsid w:val="00300304"/>
    <w:rsid w:val="00301332"/>
    <w:rsid w:val="00365769"/>
    <w:rsid w:val="00367C4E"/>
    <w:rsid w:val="00396D71"/>
    <w:rsid w:val="003B1861"/>
    <w:rsid w:val="003D348F"/>
    <w:rsid w:val="00417E62"/>
    <w:rsid w:val="00425EE9"/>
    <w:rsid w:val="004704B0"/>
    <w:rsid w:val="004F4F2B"/>
    <w:rsid w:val="0051595F"/>
    <w:rsid w:val="005A58B8"/>
    <w:rsid w:val="005B1E08"/>
    <w:rsid w:val="006062DD"/>
    <w:rsid w:val="006877E0"/>
    <w:rsid w:val="006C02E8"/>
    <w:rsid w:val="006F0C8D"/>
    <w:rsid w:val="006F169D"/>
    <w:rsid w:val="006F7102"/>
    <w:rsid w:val="0073445C"/>
    <w:rsid w:val="00750398"/>
    <w:rsid w:val="00777080"/>
    <w:rsid w:val="007809E8"/>
    <w:rsid w:val="007E6431"/>
    <w:rsid w:val="008A708B"/>
    <w:rsid w:val="008C1C52"/>
    <w:rsid w:val="008C1FB2"/>
    <w:rsid w:val="008F059C"/>
    <w:rsid w:val="008F6C62"/>
    <w:rsid w:val="00925551"/>
    <w:rsid w:val="00991033"/>
    <w:rsid w:val="009E4115"/>
    <w:rsid w:val="00A00222"/>
    <w:rsid w:val="00A113EF"/>
    <w:rsid w:val="00A12BBD"/>
    <w:rsid w:val="00AD1EF8"/>
    <w:rsid w:val="00AE3928"/>
    <w:rsid w:val="00B07EBE"/>
    <w:rsid w:val="00B132F1"/>
    <w:rsid w:val="00B62363"/>
    <w:rsid w:val="00BB4D77"/>
    <w:rsid w:val="00BE2C45"/>
    <w:rsid w:val="00C10696"/>
    <w:rsid w:val="00C11E2F"/>
    <w:rsid w:val="00C24ABF"/>
    <w:rsid w:val="00C258D1"/>
    <w:rsid w:val="00C35FF4"/>
    <w:rsid w:val="00C92AFD"/>
    <w:rsid w:val="00CD0C8F"/>
    <w:rsid w:val="00D00A9E"/>
    <w:rsid w:val="00D63B23"/>
    <w:rsid w:val="00DF22BB"/>
    <w:rsid w:val="00DF44C0"/>
    <w:rsid w:val="00E15BCE"/>
    <w:rsid w:val="00E45B97"/>
    <w:rsid w:val="00E76513"/>
    <w:rsid w:val="00E91019"/>
    <w:rsid w:val="00E92B93"/>
    <w:rsid w:val="00E968A7"/>
    <w:rsid w:val="00F22096"/>
    <w:rsid w:val="00F45E55"/>
    <w:rsid w:val="00F5684D"/>
    <w:rsid w:val="00FA4A19"/>
    <w:rsid w:val="00FC34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51B8CC-0EB7-4634-82F9-E3CBCCE1B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5B97"/>
    <w:pPr>
      <w:spacing w:after="0" w:line="240" w:lineRule="auto"/>
    </w:pPr>
  </w:style>
  <w:style w:type="paragraph" w:styleId="ListParagraph">
    <w:name w:val="List Paragraph"/>
    <w:basedOn w:val="Normal"/>
    <w:uiPriority w:val="34"/>
    <w:qFormat/>
    <w:rsid w:val="00C258D1"/>
    <w:pPr>
      <w:ind w:left="720"/>
      <w:contextualSpacing/>
    </w:pPr>
  </w:style>
  <w:style w:type="paragraph" w:styleId="Header">
    <w:name w:val="header"/>
    <w:basedOn w:val="Normal"/>
    <w:link w:val="HeaderChar"/>
    <w:uiPriority w:val="99"/>
    <w:unhideWhenUsed/>
    <w:rsid w:val="003D3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48F"/>
  </w:style>
  <w:style w:type="paragraph" w:styleId="Footer">
    <w:name w:val="footer"/>
    <w:basedOn w:val="Normal"/>
    <w:link w:val="FooterChar"/>
    <w:uiPriority w:val="99"/>
    <w:unhideWhenUsed/>
    <w:rsid w:val="003D3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48F"/>
  </w:style>
  <w:style w:type="paragraph" w:styleId="BalloonText">
    <w:name w:val="Balloon Text"/>
    <w:basedOn w:val="Normal"/>
    <w:link w:val="BalloonTextChar"/>
    <w:uiPriority w:val="99"/>
    <w:semiHidden/>
    <w:unhideWhenUsed/>
    <w:rsid w:val="00E96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8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JSC</cp:lastModifiedBy>
  <cp:revision>2</cp:revision>
  <cp:lastPrinted>2018-01-03T07:28:00Z</cp:lastPrinted>
  <dcterms:created xsi:type="dcterms:W3CDTF">2018-01-08T09:12:00Z</dcterms:created>
  <dcterms:modified xsi:type="dcterms:W3CDTF">2018-01-08T09:12:00Z</dcterms:modified>
</cp:coreProperties>
</file>