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6140AD">
      <w:pPr>
        <w:rPr>
          <w:rFonts w:ascii="Times New Roman" w:hAnsi="Times New Roman" w:cs="Times New Roman"/>
          <w:sz w:val="24"/>
          <w:szCs w:val="24"/>
        </w:rPr>
      </w:pPr>
      <w:bookmarkStart w:id="0" w:name="_GoBack"/>
      <w:bookmarkEnd w:id="0"/>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ABEDNICO TSAMWISE </w:t>
      </w:r>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LANDS, AGRICULTURE, </w:t>
      </w:r>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WATER</w:t>
      </w:r>
      <w:r w:rsidR="001E5CB3">
        <w:rPr>
          <w:rFonts w:ascii="Times New Roman" w:hAnsi="Times New Roman" w:cs="Times New Roman"/>
          <w:sz w:val="24"/>
          <w:szCs w:val="24"/>
        </w:rPr>
        <w:t>,</w:t>
      </w:r>
      <w:r>
        <w:rPr>
          <w:rFonts w:ascii="Times New Roman" w:hAnsi="Times New Roman" w:cs="Times New Roman"/>
          <w:sz w:val="24"/>
          <w:szCs w:val="24"/>
        </w:rPr>
        <w:t xml:space="preserve"> CLIMATE AND RURAL SETTLEMENT</w:t>
      </w:r>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WELLINGTON MARUMA</w:t>
      </w:r>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ZIMBABWE LAND COMMISSION</w:t>
      </w:r>
    </w:p>
    <w:p w:rsidR="00152BF1" w:rsidRDefault="00152BF1" w:rsidP="00152BF1">
      <w:pPr>
        <w:spacing w:after="0" w:line="240" w:lineRule="auto"/>
        <w:rPr>
          <w:rFonts w:ascii="Times New Roman" w:hAnsi="Times New Roman" w:cs="Times New Roman"/>
          <w:sz w:val="24"/>
          <w:szCs w:val="24"/>
        </w:rPr>
      </w:pPr>
    </w:p>
    <w:p w:rsidR="00152BF1" w:rsidRDefault="00152BF1" w:rsidP="00152BF1">
      <w:pPr>
        <w:spacing w:after="0" w:line="240" w:lineRule="auto"/>
        <w:rPr>
          <w:rFonts w:ascii="Times New Roman" w:hAnsi="Times New Roman" w:cs="Times New Roman"/>
          <w:sz w:val="24"/>
          <w:szCs w:val="24"/>
        </w:rPr>
      </w:pPr>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152BF1" w:rsidRDefault="00152BF1" w:rsidP="00152BF1">
      <w:pPr>
        <w:spacing w:after="0" w:line="240" w:lineRule="auto"/>
        <w:rPr>
          <w:rFonts w:ascii="Times New Roman" w:hAnsi="Times New Roman" w:cs="Times New Roman"/>
          <w:sz w:val="24"/>
          <w:szCs w:val="24"/>
        </w:rPr>
      </w:pPr>
      <w:r>
        <w:rPr>
          <w:rFonts w:ascii="Times New Roman" w:hAnsi="Times New Roman" w:cs="Times New Roman"/>
          <w:sz w:val="24"/>
          <w:szCs w:val="24"/>
        </w:rPr>
        <w:t>HARARE, 16 November, 2011 &amp;</w:t>
      </w:r>
      <w:r w:rsidR="005E0662">
        <w:rPr>
          <w:rFonts w:ascii="Times New Roman" w:hAnsi="Times New Roman" w:cs="Times New Roman"/>
          <w:sz w:val="24"/>
          <w:szCs w:val="24"/>
        </w:rPr>
        <w:t xml:space="preserve"> 12 </w:t>
      </w:r>
      <w:r>
        <w:rPr>
          <w:rFonts w:ascii="Times New Roman" w:hAnsi="Times New Roman" w:cs="Times New Roman"/>
          <w:sz w:val="24"/>
          <w:szCs w:val="24"/>
        </w:rPr>
        <w:t>October 2022</w:t>
      </w:r>
    </w:p>
    <w:p w:rsidR="00152BF1" w:rsidRDefault="00152BF1" w:rsidP="00152BF1">
      <w:pPr>
        <w:spacing w:after="0" w:line="240" w:lineRule="auto"/>
        <w:rPr>
          <w:rFonts w:ascii="Times New Roman" w:hAnsi="Times New Roman" w:cs="Times New Roman"/>
          <w:sz w:val="24"/>
          <w:szCs w:val="24"/>
        </w:rPr>
      </w:pPr>
    </w:p>
    <w:p w:rsidR="00152BF1" w:rsidRDefault="00152BF1" w:rsidP="00152BF1">
      <w:pPr>
        <w:spacing w:after="0" w:line="240" w:lineRule="auto"/>
        <w:rPr>
          <w:rFonts w:ascii="Times New Roman" w:hAnsi="Times New Roman" w:cs="Times New Roman"/>
          <w:sz w:val="24"/>
          <w:szCs w:val="24"/>
        </w:rPr>
      </w:pPr>
    </w:p>
    <w:p w:rsidR="00152BF1" w:rsidRPr="00152BF1" w:rsidRDefault="00152BF1" w:rsidP="00152BF1">
      <w:pPr>
        <w:spacing w:after="0" w:line="240" w:lineRule="auto"/>
        <w:rPr>
          <w:rFonts w:ascii="Times New Roman" w:hAnsi="Times New Roman" w:cs="Times New Roman"/>
          <w:b/>
          <w:sz w:val="24"/>
          <w:szCs w:val="24"/>
        </w:rPr>
      </w:pPr>
      <w:r w:rsidRPr="00152BF1">
        <w:rPr>
          <w:rFonts w:ascii="Times New Roman" w:hAnsi="Times New Roman" w:cs="Times New Roman"/>
          <w:b/>
          <w:sz w:val="24"/>
          <w:szCs w:val="24"/>
        </w:rPr>
        <w:t>Opposed Application for Review</w:t>
      </w:r>
    </w:p>
    <w:p w:rsidR="00152BF1" w:rsidRDefault="00152BF1" w:rsidP="00152BF1">
      <w:pPr>
        <w:spacing w:after="0" w:line="240" w:lineRule="auto"/>
        <w:rPr>
          <w:rFonts w:ascii="Times New Roman" w:hAnsi="Times New Roman" w:cs="Times New Roman"/>
          <w:sz w:val="24"/>
          <w:szCs w:val="24"/>
        </w:rPr>
      </w:pPr>
    </w:p>
    <w:p w:rsidR="00152BF1" w:rsidRDefault="00152BF1" w:rsidP="00152BF1">
      <w:pPr>
        <w:spacing w:after="0" w:line="240" w:lineRule="auto"/>
        <w:rPr>
          <w:rFonts w:ascii="Times New Roman" w:hAnsi="Times New Roman" w:cs="Times New Roman"/>
          <w:sz w:val="24"/>
          <w:szCs w:val="24"/>
        </w:rPr>
      </w:pPr>
    </w:p>
    <w:p w:rsidR="00152BF1" w:rsidRDefault="00152BF1" w:rsidP="00152BF1">
      <w:pPr>
        <w:spacing w:after="0" w:line="240" w:lineRule="auto"/>
        <w:rPr>
          <w:rFonts w:ascii="Times New Roman" w:hAnsi="Times New Roman" w:cs="Times New Roman"/>
          <w:sz w:val="24"/>
          <w:szCs w:val="24"/>
        </w:rPr>
      </w:pPr>
      <w:r w:rsidRPr="00152BF1">
        <w:rPr>
          <w:rFonts w:ascii="Times New Roman" w:hAnsi="Times New Roman" w:cs="Times New Roman"/>
          <w:i/>
          <w:sz w:val="24"/>
          <w:szCs w:val="24"/>
        </w:rPr>
        <w:t>S Chinawadzimba</w:t>
      </w:r>
      <w:r>
        <w:rPr>
          <w:rFonts w:ascii="Times New Roman" w:hAnsi="Times New Roman" w:cs="Times New Roman"/>
          <w:sz w:val="24"/>
          <w:szCs w:val="24"/>
        </w:rPr>
        <w:t>, for the applicant</w:t>
      </w:r>
    </w:p>
    <w:p w:rsidR="00152BF1" w:rsidRDefault="00152BF1" w:rsidP="00152BF1">
      <w:pPr>
        <w:spacing w:after="0" w:line="240" w:lineRule="auto"/>
        <w:rPr>
          <w:rFonts w:ascii="Times New Roman" w:hAnsi="Times New Roman" w:cs="Times New Roman"/>
          <w:sz w:val="24"/>
          <w:szCs w:val="24"/>
        </w:rPr>
      </w:pPr>
      <w:r w:rsidRPr="00152BF1">
        <w:rPr>
          <w:rFonts w:ascii="Times New Roman" w:hAnsi="Times New Roman" w:cs="Times New Roman"/>
          <w:i/>
          <w:sz w:val="24"/>
          <w:szCs w:val="24"/>
        </w:rPr>
        <w:t>N Mapora</w:t>
      </w:r>
      <w:r>
        <w:rPr>
          <w:rFonts w:ascii="Times New Roman" w:hAnsi="Times New Roman" w:cs="Times New Roman"/>
          <w:sz w:val="24"/>
          <w:szCs w:val="24"/>
        </w:rPr>
        <w:t>, for 2</w:t>
      </w:r>
      <w:r w:rsidRPr="00152BF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901239" w:rsidRDefault="00901239" w:rsidP="00152BF1">
      <w:pPr>
        <w:spacing w:after="0" w:line="240" w:lineRule="auto"/>
        <w:rPr>
          <w:rFonts w:ascii="Times New Roman" w:hAnsi="Times New Roman" w:cs="Times New Roman"/>
          <w:sz w:val="24"/>
          <w:szCs w:val="24"/>
        </w:rPr>
      </w:pPr>
    </w:p>
    <w:p w:rsidR="00901239" w:rsidRDefault="00901239" w:rsidP="00152BF1">
      <w:pPr>
        <w:spacing w:after="0" w:line="240" w:lineRule="auto"/>
        <w:rPr>
          <w:rFonts w:ascii="Times New Roman" w:hAnsi="Times New Roman" w:cs="Times New Roman"/>
          <w:sz w:val="24"/>
          <w:szCs w:val="24"/>
        </w:rPr>
      </w:pPr>
    </w:p>
    <w:p w:rsidR="00901239" w:rsidRDefault="00901239" w:rsidP="00DE3A8A">
      <w:pPr>
        <w:spacing w:after="0" w:line="360" w:lineRule="auto"/>
        <w:ind w:firstLine="720"/>
        <w:jc w:val="both"/>
        <w:rPr>
          <w:rFonts w:ascii="Times New Roman" w:hAnsi="Times New Roman" w:cs="Times New Roman"/>
          <w:sz w:val="24"/>
          <w:szCs w:val="24"/>
        </w:rPr>
      </w:pPr>
      <w:r w:rsidRPr="000966CE">
        <w:rPr>
          <w:rFonts w:ascii="Times New Roman" w:hAnsi="Times New Roman" w:cs="Times New Roman"/>
          <w:b/>
          <w:sz w:val="24"/>
          <w:szCs w:val="24"/>
        </w:rPr>
        <w:t>CHITAPI J:</w:t>
      </w:r>
      <w:r>
        <w:rPr>
          <w:rFonts w:ascii="Times New Roman" w:hAnsi="Times New Roman" w:cs="Times New Roman"/>
          <w:sz w:val="24"/>
          <w:szCs w:val="24"/>
        </w:rPr>
        <w:t xml:space="preserve">  The applicant has petitioned this court to review the decision of the second respondent to issue the first respondent with an offer letter for land called subdivision 33 of Triangle Ranch 3 (s 13) measuring 22.87 hectares situated in Chiredzi, Masvingo Province.  The offer of the landholding was made under the Land Reform and Resettlement Programme (Model AZ Phase 11).  The letter is dated 29 July, 2020.  The applicant moves the court to grant him the relief which he expressed in his draft order annexed to the founding affidavit in the following wording;</w:t>
      </w:r>
    </w:p>
    <w:p w:rsidR="00901239" w:rsidRPr="00C8646C" w:rsidRDefault="00901239" w:rsidP="000966CE">
      <w:pPr>
        <w:spacing w:after="0" w:line="240" w:lineRule="auto"/>
        <w:jc w:val="both"/>
        <w:rPr>
          <w:rFonts w:ascii="Times New Roman" w:hAnsi="Times New Roman" w:cs="Times New Roman"/>
        </w:rPr>
      </w:pPr>
      <w:r>
        <w:rPr>
          <w:rFonts w:ascii="Times New Roman" w:hAnsi="Times New Roman" w:cs="Times New Roman"/>
          <w:sz w:val="24"/>
          <w:szCs w:val="24"/>
        </w:rPr>
        <w:tab/>
      </w:r>
      <w:r w:rsidRPr="00256A70">
        <w:rPr>
          <w:rFonts w:ascii="Times New Roman" w:hAnsi="Times New Roman" w:cs="Times New Roman"/>
          <w:b/>
        </w:rPr>
        <w:t>“IT IS ORDERED THAT</w:t>
      </w:r>
      <w:r w:rsidRPr="00C8646C">
        <w:rPr>
          <w:rFonts w:ascii="Times New Roman" w:hAnsi="Times New Roman" w:cs="Times New Roman"/>
        </w:rPr>
        <w:t>:</w:t>
      </w:r>
    </w:p>
    <w:p w:rsidR="00901239" w:rsidRPr="00C8646C" w:rsidRDefault="00901239" w:rsidP="000966CE">
      <w:pPr>
        <w:pStyle w:val="ListParagraph"/>
        <w:numPr>
          <w:ilvl w:val="0"/>
          <w:numId w:val="1"/>
        </w:numPr>
        <w:spacing w:after="0" w:line="240" w:lineRule="auto"/>
        <w:jc w:val="both"/>
        <w:rPr>
          <w:rFonts w:ascii="Times New Roman" w:hAnsi="Times New Roman" w:cs="Times New Roman"/>
        </w:rPr>
      </w:pPr>
      <w:r w:rsidRPr="00C8646C">
        <w:rPr>
          <w:rFonts w:ascii="Times New Roman" w:hAnsi="Times New Roman" w:cs="Times New Roman"/>
        </w:rPr>
        <w:t>The decision of the first respondent to grant an offer letter to the second respondent be and is hereby set aside.</w:t>
      </w:r>
    </w:p>
    <w:p w:rsidR="00901239" w:rsidRPr="00C8646C" w:rsidRDefault="00901239" w:rsidP="000966CE">
      <w:pPr>
        <w:pStyle w:val="ListParagraph"/>
        <w:numPr>
          <w:ilvl w:val="0"/>
          <w:numId w:val="1"/>
        </w:numPr>
        <w:spacing w:after="0" w:line="240" w:lineRule="auto"/>
        <w:jc w:val="both"/>
        <w:rPr>
          <w:rFonts w:ascii="Times New Roman" w:hAnsi="Times New Roman" w:cs="Times New Roman"/>
        </w:rPr>
      </w:pPr>
      <w:r w:rsidRPr="00C8646C">
        <w:rPr>
          <w:rFonts w:ascii="Times New Roman" w:hAnsi="Times New Roman" w:cs="Times New Roman"/>
        </w:rPr>
        <w:t>The first respondent be and is hereby ordered to issue an offer letter in favour of the applicant in respect of Plot 33 Triangle Ranch 3 (s 13) in Chiredzi District of Mavingo Province measuring 22.87 hectares in extent</w:t>
      </w:r>
    </w:p>
    <w:p w:rsidR="00901239" w:rsidRPr="00C8646C" w:rsidRDefault="00901239" w:rsidP="000966CE">
      <w:pPr>
        <w:pStyle w:val="ListParagraph"/>
        <w:numPr>
          <w:ilvl w:val="0"/>
          <w:numId w:val="1"/>
        </w:numPr>
        <w:spacing w:after="0" w:line="240" w:lineRule="auto"/>
        <w:jc w:val="both"/>
        <w:rPr>
          <w:rFonts w:ascii="Times New Roman" w:hAnsi="Times New Roman" w:cs="Times New Roman"/>
        </w:rPr>
      </w:pPr>
      <w:r w:rsidRPr="00C8646C">
        <w:rPr>
          <w:rFonts w:ascii="Times New Roman" w:hAnsi="Times New Roman" w:cs="Times New Roman"/>
        </w:rPr>
        <w:t>The first respondent to bear costs of suit.</w:t>
      </w:r>
      <w:r w:rsidR="00C8646C">
        <w:rPr>
          <w:rFonts w:ascii="Times New Roman" w:hAnsi="Times New Roman" w:cs="Times New Roman"/>
        </w:rPr>
        <w:t>”</w:t>
      </w:r>
    </w:p>
    <w:p w:rsidR="00901239" w:rsidRPr="00C8646C" w:rsidRDefault="00901239" w:rsidP="000966CE">
      <w:pPr>
        <w:spacing w:after="0" w:line="240" w:lineRule="auto"/>
        <w:jc w:val="both"/>
        <w:rPr>
          <w:rFonts w:ascii="Times New Roman" w:hAnsi="Times New Roman" w:cs="Times New Roman"/>
        </w:rPr>
      </w:pPr>
    </w:p>
    <w:p w:rsidR="00901239" w:rsidRPr="00C8646C" w:rsidRDefault="00901239" w:rsidP="000966CE">
      <w:pPr>
        <w:spacing w:after="0" w:line="240" w:lineRule="auto"/>
        <w:jc w:val="both"/>
        <w:rPr>
          <w:rFonts w:ascii="Times New Roman" w:hAnsi="Times New Roman" w:cs="Times New Roman"/>
        </w:rPr>
      </w:pPr>
    </w:p>
    <w:p w:rsidR="00901239" w:rsidRDefault="00901239" w:rsidP="000966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reading the draft order, para 2 immediately raised m</w:t>
      </w:r>
      <w:r w:rsidR="00C8646C">
        <w:rPr>
          <w:rFonts w:ascii="Times New Roman" w:hAnsi="Times New Roman" w:cs="Times New Roman"/>
          <w:sz w:val="24"/>
          <w:szCs w:val="24"/>
        </w:rPr>
        <w:t>y</w:t>
      </w:r>
      <w:r>
        <w:rPr>
          <w:rFonts w:ascii="Times New Roman" w:hAnsi="Times New Roman" w:cs="Times New Roman"/>
          <w:sz w:val="24"/>
          <w:szCs w:val="24"/>
        </w:rPr>
        <w:t xml:space="preserve"> eye brows and the question that came to my mind was, by what power does the court order the first respondent</w:t>
      </w:r>
      <w:r w:rsidR="00C8646C">
        <w:rPr>
          <w:rFonts w:ascii="Times New Roman" w:hAnsi="Times New Roman" w:cs="Times New Roman"/>
          <w:sz w:val="24"/>
          <w:szCs w:val="24"/>
        </w:rPr>
        <w:t xml:space="preserve"> to offer land </w:t>
      </w:r>
      <w:r w:rsidR="00C8646C">
        <w:rPr>
          <w:rFonts w:ascii="Times New Roman" w:hAnsi="Times New Roman" w:cs="Times New Roman"/>
          <w:sz w:val="24"/>
          <w:szCs w:val="24"/>
        </w:rPr>
        <w:lastRenderedPageBreak/>
        <w:t>to the applicant</w:t>
      </w:r>
      <w:r w:rsidR="005E0662">
        <w:rPr>
          <w:rFonts w:ascii="Times New Roman" w:hAnsi="Times New Roman" w:cs="Times New Roman"/>
          <w:sz w:val="24"/>
          <w:szCs w:val="24"/>
        </w:rPr>
        <w:t>?</w:t>
      </w:r>
      <w:r w:rsidR="00C8646C">
        <w:rPr>
          <w:rFonts w:ascii="Times New Roman" w:hAnsi="Times New Roman" w:cs="Times New Roman"/>
          <w:sz w:val="24"/>
          <w:szCs w:val="24"/>
        </w:rPr>
        <w:t xml:space="preserve"> I then read </w:t>
      </w:r>
      <w:r w:rsidR="005E0662">
        <w:rPr>
          <w:rFonts w:ascii="Times New Roman" w:hAnsi="Times New Roman" w:cs="Times New Roman"/>
          <w:sz w:val="24"/>
          <w:szCs w:val="24"/>
        </w:rPr>
        <w:t xml:space="preserve">the application </w:t>
      </w:r>
      <w:r w:rsidR="00C8646C">
        <w:rPr>
          <w:rFonts w:ascii="Times New Roman" w:hAnsi="Times New Roman" w:cs="Times New Roman"/>
          <w:sz w:val="24"/>
          <w:szCs w:val="24"/>
        </w:rPr>
        <w:t xml:space="preserve">papers whilst on the lookout </w:t>
      </w:r>
      <w:r w:rsidR="005E0662">
        <w:rPr>
          <w:rFonts w:ascii="Times New Roman" w:hAnsi="Times New Roman" w:cs="Times New Roman"/>
          <w:sz w:val="24"/>
          <w:szCs w:val="24"/>
        </w:rPr>
        <w:t xml:space="preserve">of whether the basis of the </w:t>
      </w:r>
      <w:r w:rsidR="00C8646C">
        <w:rPr>
          <w:rFonts w:ascii="Times New Roman" w:hAnsi="Times New Roman" w:cs="Times New Roman"/>
          <w:sz w:val="24"/>
          <w:szCs w:val="24"/>
        </w:rPr>
        <w:t xml:space="preserve">power </w:t>
      </w:r>
      <w:r w:rsidR="005E0662">
        <w:rPr>
          <w:rFonts w:ascii="Times New Roman" w:hAnsi="Times New Roman" w:cs="Times New Roman"/>
          <w:sz w:val="24"/>
          <w:szCs w:val="24"/>
        </w:rPr>
        <w:t xml:space="preserve">of the court to </w:t>
      </w:r>
      <w:r w:rsidR="00C8646C">
        <w:rPr>
          <w:rFonts w:ascii="Times New Roman" w:hAnsi="Times New Roman" w:cs="Times New Roman"/>
          <w:sz w:val="24"/>
          <w:szCs w:val="24"/>
        </w:rPr>
        <w:t>make such an order had been pleaded</w:t>
      </w:r>
      <w:r w:rsidR="005E0662">
        <w:rPr>
          <w:rFonts w:ascii="Times New Roman" w:hAnsi="Times New Roman" w:cs="Times New Roman"/>
          <w:sz w:val="24"/>
          <w:szCs w:val="24"/>
        </w:rPr>
        <w:t xml:space="preserve"> by the applicant</w:t>
      </w:r>
      <w:r w:rsidR="00C8646C">
        <w:rPr>
          <w:rFonts w:ascii="Times New Roman" w:hAnsi="Times New Roman" w:cs="Times New Roman"/>
          <w:sz w:val="24"/>
          <w:szCs w:val="24"/>
        </w:rPr>
        <w:t xml:space="preserve">.  It was not pleaded.  At best, the applicant averred that s 4(2) of the Administrative Justice Act provided </w:t>
      </w:r>
      <w:r w:rsidR="00102A31">
        <w:rPr>
          <w:rFonts w:ascii="Times New Roman" w:hAnsi="Times New Roman" w:cs="Times New Roman"/>
          <w:sz w:val="24"/>
          <w:szCs w:val="24"/>
        </w:rPr>
        <w:t xml:space="preserve">for the relief sought.  The applicant stated as follows in para 3.13 of </w:t>
      </w:r>
      <w:r w:rsidR="0075775B">
        <w:rPr>
          <w:rFonts w:ascii="Times New Roman" w:hAnsi="Times New Roman" w:cs="Times New Roman"/>
          <w:sz w:val="24"/>
          <w:szCs w:val="24"/>
        </w:rPr>
        <w:t>his heads of argument.</w:t>
      </w:r>
    </w:p>
    <w:p w:rsidR="0096665B" w:rsidRDefault="0075775B" w:rsidP="000966CE">
      <w:pPr>
        <w:spacing w:after="0" w:line="240" w:lineRule="auto"/>
        <w:ind w:left="720"/>
        <w:jc w:val="both"/>
        <w:rPr>
          <w:rFonts w:ascii="Times New Roman" w:hAnsi="Times New Roman" w:cs="Times New Roman"/>
        </w:rPr>
      </w:pPr>
      <w:r w:rsidRPr="0096665B">
        <w:rPr>
          <w:rFonts w:ascii="Times New Roman" w:hAnsi="Times New Roman" w:cs="Times New Roman"/>
        </w:rPr>
        <w:t xml:space="preserve">“3.13. In terms of s 4 the Administrative Justice Act, this Honourable court is given a wide powers in providing relief to an aggrieved person.  Amongst such powers, is that of setting aside the decision that is concerned.  Section 4(2)(e), the court is empowered to give such directions as the High Court may consider necessary or desirable to achieve compliance by the administrative authority with s 3 of the Act.  Therefore it is submitted that this court does have the powers to grant the relief that is being sought by the applicant, that is, to set aside the decision of the first respondent in his issuance of an offer letter to the second respondent and further order that in respect of the farm, an offer letter be issued to the applicant instead.” </w:t>
      </w:r>
    </w:p>
    <w:p w:rsidR="0096665B" w:rsidRDefault="0096665B" w:rsidP="000966CE">
      <w:pPr>
        <w:spacing w:after="0" w:line="240" w:lineRule="auto"/>
        <w:jc w:val="both"/>
        <w:rPr>
          <w:rFonts w:ascii="Times New Roman" w:hAnsi="Times New Roman" w:cs="Times New Roman"/>
        </w:rPr>
      </w:pPr>
    </w:p>
    <w:p w:rsidR="0096665B" w:rsidRDefault="0096665B" w:rsidP="000966CE">
      <w:pPr>
        <w:spacing w:after="0" w:line="240" w:lineRule="auto"/>
        <w:jc w:val="both"/>
        <w:rPr>
          <w:rFonts w:ascii="Times New Roman" w:hAnsi="Times New Roman" w:cs="Times New Roman"/>
        </w:rPr>
      </w:pPr>
    </w:p>
    <w:p w:rsidR="0096665B" w:rsidRPr="000966CE" w:rsidRDefault="0096665B" w:rsidP="000966CE">
      <w:pPr>
        <w:spacing w:after="0" w:line="360" w:lineRule="auto"/>
        <w:ind w:firstLine="720"/>
        <w:jc w:val="both"/>
        <w:rPr>
          <w:rFonts w:ascii="Times New Roman" w:hAnsi="Times New Roman" w:cs="Times New Roman"/>
          <w:sz w:val="24"/>
          <w:szCs w:val="24"/>
        </w:rPr>
      </w:pPr>
      <w:r w:rsidRPr="000966CE">
        <w:rPr>
          <w:rFonts w:ascii="Times New Roman" w:hAnsi="Times New Roman" w:cs="Times New Roman"/>
          <w:sz w:val="24"/>
          <w:szCs w:val="24"/>
        </w:rPr>
        <w:t xml:space="preserve">The applicant is clearly misinformed in relation to the </w:t>
      </w:r>
      <w:r w:rsidR="005E0662">
        <w:rPr>
          <w:rFonts w:ascii="Times New Roman" w:hAnsi="Times New Roman" w:cs="Times New Roman"/>
          <w:sz w:val="24"/>
          <w:szCs w:val="24"/>
        </w:rPr>
        <w:t>pow</w:t>
      </w:r>
      <w:r w:rsidRPr="000966CE">
        <w:rPr>
          <w:rFonts w:ascii="Times New Roman" w:hAnsi="Times New Roman" w:cs="Times New Roman"/>
          <w:sz w:val="24"/>
          <w:szCs w:val="24"/>
        </w:rPr>
        <w:t>er of the court to issue an order that the first respondent should issue the applicant with an offer letter.  Section 4 of the Administrative Justice Act, provides as follows;</w:t>
      </w:r>
    </w:p>
    <w:p w:rsidR="0096665B" w:rsidRDefault="0096665B" w:rsidP="000966CE">
      <w:pPr>
        <w:spacing w:after="0" w:line="240" w:lineRule="auto"/>
        <w:jc w:val="both"/>
        <w:rPr>
          <w:rFonts w:ascii="Times New Roman" w:hAnsi="Times New Roman" w:cs="Times New Roman"/>
        </w:rPr>
      </w:pPr>
      <w:r>
        <w:rPr>
          <w:rFonts w:ascii="Times New Roman" w:hAnsi="Times New Roman" w:cs="Times New Roman"/>
        </w:rPr>
        <w:tab/>
        <w:t>“4</w:t>
      </w:r>
      <w:r w:rsidRPr="0096665B">
        <w:rPr>
          <w:rFonts w:ascii="Times New Roman" w:hAnsi="Times New Roman" w:cs="Times New Roman"/>
          <w:b/>
        </w:rPr>
        <w:t xml:space="preserve">.  Relief against </w:t>
      </w:r>
      <w:r>
        <w:rPr>
          <w:rFonts w:ascii="Times New Roman" w:hAnsi="Times New Roman" w:cs="Times New Roman"/>
          <w:b/>
        </w:rPr>
        <w:t>A</w:t>
      </w:r>
      <w:r w:rsidRPr="0096665B">
        <w:rPr>
          <w:rFonts w:ascii="Times New Roman" w:hAnsi="Times New Roman" w:cs="Times New Roman"/>
          <w:b/>
        </w:rPr>
        <w:t xml:space="preserve">dministrative </w:t>
      </w:r>
      <w:r>
        <w:rPr>
          <w:rFonts w:ascii="Times New Roman" w:hAnsi="Times New Roman" w:cs="Times New Roman"/>
          <w:b/>
        </w:rPr>
        <w:t>A</w:t>
      </w:r>
      <w:r w:rsidRPr="0096665B">
        <w:rPr>
          <w:rFonts w:ascii="Times New Roman" w:hAnsi="Times New Roman" w:cs="Times New Roman"/>
          <w:b/>
        </w:rPr>
        <w:t>uthorities</w:t>
      </w:r>
      <w:r>
        <w:rPr>
          <w:rFonts w:ascii="Times New Roman" w:hAnsi="Times New Roman" w:cs="Times New Roman"/>
        </w:rPr>
        <w:t xml:space="preserve"> </w:t>
      </w:r>
    </w:p>
    <w:p w:rsidR="0096665B" w:rsidRDefault="0096665B" w:rsidP="000966CE">
      <w:pPr>
        <w:pStyle w:val="ListParagraph"/>
        <w:numPr>
          <w:ilvl w:val="0"/>
          <w:numId w:val="4"/>
        </w:numPr>
        <w:spacing w:after="0" w:line="240" w:lineRule="auto"/>
        <w:jc w:val="both"/>
        <w:rPr>
          <w:rFonts w:ascii="Times New Roman" w:hAnsi="Times New Roman" w:cs="Times New Roman"/>
        </w:rPr>
      </w:pPr>
      <w:r w:rsidRPr="0096665B">
        <w:rPr>
          <w:rFonts w:ascii="Times New Roman" w:hAnsi="Times New Roman" w:cs="Times New Roman"/>
        </w:rPr>
        <w:t>Subject to this Act and any other law, any person who is aggrieved by the failure of an administrative authority to comply with s 3 may apply to the High Court for relief.</w:t>
      </w:r>
    </w:p>
    <w:p w:rsidR="0096665B" w:rsidRDefault="0096665B" w:rsidP="000966CE">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Upon an application being made to it in terms of subsection</w:t>
      </w:r>
      <w:r w:rsidR="002F5DB5">
        <w:rPr>
          <w:rFonts w:ascii="Times New Roman" w:hAnsi="Times New Roman" w:cs="Times New Roman"/>
        </w:rPr>
        <w:t xml:space="preserve"> </w:t>
      </w:r>
      <w:r>
        <w:rPr>
          <w:rFonts w:ascii="Times New Roman" w:hAnsi="Times New Roman" w:cs="Times New Roman"/>
        </w:rPr>
        <w:t>(1), the High C</w:t>
      </w:r>
      <w:r w:rsidR="002F5DB5">
        <w:rPr>
          <w:rFonts w:ascii="Times New Roman" w:hAnsi="Times New Roman" w:cs="Times New Roman"/>
        </w:rPr>
        <w:t>ourt may,</w:t>
      </w:r>
      <w:r>
        <w:rPr>
          <w:rFonts w:ascii="Times New Roman" w:hAnsi="Times New Roman" w:cs="Times New Roman"/>
        </w:rPr>
        <w:t xml:space="preserve"> as  may be appropriate-</w:t>
      </w:r>
    </w:p>
    <w:p w:rsidR="0096665B" w:rsidRDefault="0096665B" w:rsidP="000966CE">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Confirm or set aside the decision concerned,</w:t>
      </w:r>
    </w:p>
    <w:p w:rsidR="0096665B" w:rsidRDefault="0096665B" w:rsidP="000966CE">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Refer the matter back to the administrative authority concerned for consideration or reconsideration,</w:t>
      </w:r>
    </w:p>
    <w:p w:rsidR="0096665B" w:rsidRDefault="0096665B" w:rsidP="000966CE">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Direct the administrative authority to take </w:t>
      </w:r>
      <w:r w:rsidR="002F5DB5">
        <w:rPr>
          <w:rFonts w:ascii="Times New Roman" w:hAnsi="Times New Roman" w:cs="Times New Roman"/>
        </w:rPr>
        <w:t>action within the relevant period specified by or, if no such period is specified, within a period fixed by the High Court,</w:t>
      </w:r>
    </w:p>
    <w:p w:rsidR="002F5DB5" w:rsidRDefault="002F5DB5" w:rsidP="000966CE">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Direct the administrative authority to supply reasons  for its administrative  action within the relevant  period specified by law, if no such period is specified, within a period fixed by the High court,</w:t>
      </w:r>
    </w:p>
    <w:p w:rsidR="002F5DB5" w:rsidRDefault="002F5DB5" w:rsidP="000966CE">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Give such directions as the High Court may consider necessary or desirable to achieve compliance by the administrative authority with s 3.</w:t>
      </w:r>
    </w:p>
    <w:p w:rsidR="002F5DB5" w:rsidRDefault="002F5DB5" w:rsidP="000966CE">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Directions given in terms of subsection (2) may include directions as to the manner or procedure which the administrative authority should adopt in arriving at its decision an</w:t>
      </w:r>
      <w:r w:rsidR="00D3324B">
        <w:rPr>
          <w:rFonts w:ascii="Times New Roman" w:hAnsi="Times New Roman" w:cs="Times New Roman"/>
        </w:rPr>
        <w:t>y</w:t>
      </w:r>
      <w:r>
        <w:rPr>
          <w:rFonts w:ascii="Times New Roman" w:hAnsi="Times New Roman" w:cs="Times New Roman"/>
        </w:rPr>
        <w:t xml:space="preserve"> directions to ensure compliance by the administrative authority with the relevant law or empowering provision.</w:t>
      </w:r>
    </w:p>
    <w:p w:rsidR="002F5DB5" w:rsidRDefault="002F5DB5" w:rsidP="000966CE">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The High Court may at any time vary or revoke any order or direction given in terms of subsection (2)</w:t>
      </w:r>
      <w:r w:rsidR="00D3324B">
        <w:rPr>
          <w:rFonts w:ascii="Times New Roman" w:hAnsi="Times New Roman" w:cs="Times New Roman"/>
        </w:rPr>
        <w:t>.</w:t>
      </w:r>
    </w:p>
    <w:p w:rsidR="00D3324B" w:rsidRDefault="00D3324B" w:rsidP="000966CE">
      <w:pPr>
        <w:spacing w:after="0" w:line="240" w:lineRule="auto"/>
        <w:jc w:val="both"/>
        <w:rPr>
          <w:rFonts w:ascii="Times New Roman" w:hAnsi="Times New Roman" w:cs="Times New Roman"/>
        </w:rPr>
      </w:pPr>
    </w:p>
    <w:p w:rsidR="00D3324B" w:rsidRDefault="00D3324B" w:rsidP="000966CE">
      <w:pPr>
        <w:spacing w:after="0" w:line="240" w:lineRule="auto"/>
        <w:jc w:val="both"/>
        <w:rPr>
          <w:rFonts w:ascii="Times New Roman" w:hAnsi="Times New Roman" w:cs="Times New Roman"/>
        </w:rPr>
      </w:pPr>
    </w:p>
    <w:p w:rsidR="00D3324B" w:rsidRDefault="00D3324B" w:rsidP="000966CE">
      <w:pPr>
        <w:spacing w:after="0" w:line="360" w:lineRule="auto"/>
        <w:ind w:firstLine="720"/>
        <w:jc w:val="both"/>
        <w:rPr>
          <w:rFonts w:ascii="Times New Roman" w:hAnsi="Times New Roman" w:cs="Times New Roman"/>
          <w:sz w:val="24"/>
          <w:szCs w:val="24"/>
        </w:rPr>
      </w:pPr>
      <w:r w:rsidRPr="00D3324B">
        <w:rPr>
          <w:rFonts w:ascii="Times New Roman" w:hAnsi="Times New Roman" w:cs="Times New Roman"/>
          <w:sz w:val="24"/>
          <w:szCs w:val="24"/>
        </w:rPr>
        <w:t>The applicant places reliance on para</w:t>
      </w:r>
      <w:r w:rsidR="00085210">
        <w:rPr>
          <w:rFonts w:ascii="Times New Roman" w:hAnsi="Times New Roman" w:cs="Times New Roman"/>
          <w:sz w:val="24"/>
          <w:szCs w:val="24"/>
        </w:rPr>
        <w:t xml:space="preserve"> e</w:t>
      </w:r>
      <w:r w:rsidRPr="00D3324B">
        <w:rPr>
          <w:rFonts w:ascii="Times New Roman" w:hAnsi="Times New Roman" w:cs="Times New Roman"/>
          <w:sz w:val="24"/>
          <w:szCs w:val="24"/>
        </w:rPr>
        <w:t xml:space="preserve"> of subsection 2 of s 4 of the Administrative Justice Act </w:t>
      </w:r>
      <w:r w:rsidR="00085210">
        <w:rPr>
          <w:rFonts w:ascii="Times New Roman" w:hAnsi="Times New Roman" w:cs="Times New Roman"/>
          <w:sz w:val="24"/>
          <w:szCs w:val="24"/>
        </w:rPr>
        <w:t xml:space="preserve">which </w:t>
      </w:r>
      <w:r w:rsidRPr="00D3324B">
        <w:rPr>
          <w:rFonts w:ascii="Times New Roman" w:hAnsi="Times New Roman" w:cs="Times New Roman"/>
          <w:sz w:val="24"/>
          <w:szCs w:val="24"/>
        </w:rPr>
        <w:t xml:space="preserve">provides that the High Court may give directions as it considers necessary or desirable </w:t>
      </w:r>
      <w:r w:rsidRPr="00D3324B">
        <w:rPr>
          <w:rFonts w:ascii="Times New Roman" w:hAnsi="Times New Roman" w:cs="Times New Roman"/>
          <w:sz w:val="24"/>
          <w:szCs w:val="24"/>
        </w:rPr>
        <w:lastRenderedPageBreak/>
        <w:t xml:space="preserve">to </w:t>
      </w:r>
      <w:r w:rsidRPr="00D3324B">
        <w:rPr>
          <w:rFonts w:ascii="Times New Roman" w:hAnsi="Times New Roman" w:cs="Times New Roman"/>
          <w:sz w:val="24"/>
          <w:szCs w:val="24"/>
          <w:u w:val="single"/>
        </w:rPr>
        <w:t>achieve compliance by</w:t>
      </w:r>
      <w:r w:rsidRPr="00D3324B">
        <w:rPr>
          <w:rFonts w:ascii="Times New Roman" w:hAnsi="Times New Roman" w:cs="Times New Roman"/>
          <w:sz w:val="24"/>
          <w:szCs w:val="24"/>
        </w:rPr>
        <w:t xml:space="preserve"> </w:t>
      </w:r>
      <w:r w:rsidRPr="00D3324B">
        <w:rPr>
          <w:rFonts w:ascii="Times New Roman" w:hAnsi="Times New Roman" w:cs="Times New Roman"/>
          <w:sz w:val="24"/>
          <w:szCs w:val="24"/>
          <w:u w:val="single"/>
        </w:rPr>
        <w:t>the administrative authority with s (3)</w:t>
      </w:r>
      <w:r>
        <w:rPr>
          <w:rFonts w:ascii="Times New Roman" w:hAnsi="Times New Roman" w:cs="Times New Roman"/>
          <w:sz w:val="24"/>
          <w:szCs w:val="24"/>
          <w:u w:val="single"/>
        </w:rPr>
        <w:t xml:space="preserve">.  </w:t>
      </w:r>
      <w:r w:rsidRPr="00D3324B">
        <w:rPr>
          <w:rFonts w:ascii="Times New Roman" w:hAnsi="Times New Roman" w:cs="Times New Roman"/>
          <w:sz w:val="24"/>
          <w:szCs w:val="24"/>
        </w:rPr>
        <w:t>At the expense of lengthening this judgment, I reproduce section 3 of the Act</w:t>
      </w:r>
      <w:r>
        <w:rPr>
          <w:rFonts w:ascii="Times New Roman" w:hAnsi="Times New Roman" w:cs="Times New Roman"/>
          <w:sz w:val="24"/>
          <w:szCs w:val="24"/>
        </w:rPr>
        <w:t>.</w:t>
      </w:r>
    </w:p>
    <w:p w:rsidR="005707D3" w:rsidRPr="005707D3" w:rsidRDefault="005707D3" w:rsidP="005707D3">
      <w:pPr>
        <w:pStyle w:val="NormalWeb"/>
        <w:shd w:val="clear" w:color="auto" w:fill="FFFFFF"/>
        <w:spacing w:before="0" w:beforeAutospacing="0" w:after="0" w:afterAutospacing="0"/>
        <w:ind w:firstLine="720"/>
        <w:rPr>
          <w:color w:val="202020"/>
          <w:sz w:val="22"/>
          <w:szCs w:val="22"/>
        </w:rPr>
      </w:pPr>
      <w:r w:rsidRPr="005707D3">
        <w:rPr>
          <w:rStyle w:val="Strong"/>
          <w:color w:val="202020"/>
          <w:sz w:val="22"/>
          <w:szCs w:val="22"/>
        </w:rPr>
        <w:t>3    Duty of administrative authority</w:t>
      </w:r>
    </w:p>
    <w:p w:rsidR="005707D3" w:rsidRPr="005707D3" w:rsidRDefault="005707D3" w:rsidP="005707D3">
      <w:pPr>
        <w:pStyle w:val="NormalWeb"/>
        <w:shd w:val="clear" w:color="auto" w:fill="FFFFFF"/>
        <w:spacing w:before="0" w:beforeAutospacing="0" w:after="0" w:afterAutospacing="0"/>
        <w:ind w:left="720"/>
        <w:rPr>
          <w:color w:val="202020"/>
          <w:sz w:val="22"/>
          <w:szCs w:val="22"/>
        </w:rPr>
      </w:pPr>
      <w:r w:rsidRPr="005707D3">
        <w:rPr>
          <w:color w:val="202020"/>
          <w:sz w:val="22"/>
          <w:szCs w:val="22"/>
        </w:rPr>
        <w:t>(1)  An administrative authority which has the responsibility or power to take any administrative action which may affect the rights, interests or legitimate expectations of any person shall—</w:t>
      </w:r>
    </w:p>
    <w:p w:rsidR="005707D3" w:rsidRPr="005707D3" w:rsidRDefault="005707D3" w:rsidP="005707D3">
      <w:pPr>
        <w:pStyle w:val="NormalWeb"/>
        <w:shd w:val="clear" w:color="auto" w:fill="FFFFFF"/>
        <w:spacing w:before="0" w:beforeAutospacing="0" w:after="0" w:afterAutospacing="0"/>
        <w:rPr>
          <w:color w:val="202020"/>
          <w:sz w:val="22"/>
          <w:szCs w:val="22"/>
        </w:rPr>
      </w:pPr>
    </w:p>
    <w:p w:rsidR="005707D3" w:rsidRPr="005707D3" w:rsidRDefault="005707D3" w:rsidP="005707D3">
      <w:pPr>
        <w:pStyle w:val="NormalWeb"/>
        <w:shd w:val="clear" w:color="auto" w:fill="FFFFFF"/>
        <w:spacing w:before="0" w:beforeAutospacing="0" w:after="0" w:afterAutospacing="0"/>
        <w:ind w:left="720" w:firstLine="720"/>
        <w:rPr>
          <w:color w:val="202020"/>
          <w:sz w:val="22"/>
          <w:szCs w:val="22"/>
        </w:rPr>
      </w:pPr>
      <w:r w:rsidRPr="005707D3">
        <w:rPr>
          <w:color w:val="202020"/>
          <w:sz w:val="22"/>
          <w:szCs w:val="22"/>
        </w:rPr>
        <w:t>(</w:t>
      </w:r>
      <w:r w:rsidRPr="005707D3">
        <w:rPr>
          <w:rStyle w:val="Emphasis"/>
          <w:color w:val="202020"/>
          <w:sz w:val="22"/>
          <w:szCs w:val="22"/>
        </w:rPr>
        <w:t>a</w:t>
      </w:r>
      <w:r w:rsidRPr="005707D3">
        <w:rPr>
          <w:color w:val="202020"/>
          <w:sz w:val="22"/>
          <w:szCs w:val="22"/>
        </w:rPr>
        <w:t>)  act lawfully, reasonably and in a fair manner; and</w:t>
      </w:r>
    </w:p>
    <w:p w:rsidR="005707D3" w:rsidRPr="005707D3" w:rsidRDefault="005707D3" w:rsidP="005707D3">
      <w:pPr>
        <w:pStyle w:val="NormalWeb"/>
        <w:shd w:val="clear" w:color="auto" w:fill="FFFFFF"/>
        <w:spacing w:before="0" w:beforeAutospacing="0" w:after="0" w:afterAutospacing="0"/>
        <w:ind w:left="1440"/>
        <w:rPr>
          <w:color w:val="202020"/>
          <w:sz w:val="22"/>
          <w:szCs w:val="22"/>
        </w:rPr>
      </w:pPr>
      <w:r w:rsidRPr="005707D3">
        <w:rPr>
          <w:color w:val="202020"/>
          <w:sz w:val="22"/>
          <w:szCs w:val="22"/>
        </w:rPr>
        <w:t>(</w:t>
      </w:r>
      <w:r w:rsidRPr="005707D3">
        <w:rPr>
          <w:rStyle w:val="Emphasis"/>
          <w:color w:val="202020"/>
          <w:sz w:val="22"/>
          <w:szCs w:val="22"/>
        </w:rPr>
        <w:t>b</w:t>
      </w:r>
      <w:r w:rsidRPr="005707D3">
        <w:rPr>
          <w:color w:val="202020"/>
          <w:sz w:val="22"/>
          <w:szCs w:val="22"/>
        </w:rPr>
        <w:t>)  act  within  the  relevant  period  specified  by law or,  if  there  is  no  such  specified  period,  within  a reasonable period after being requested to take the action by the person concerned; and</w:t>
      </w:r>
    </w:p>
    <w:p w:rsidR="005707D3" w:rsidRDefault="005707D3" w:rsidP="005707D3">
      <w:pPr>
        <w:pStyle w:val="NormalWeb"/>
        <w:shd w:val="clear" w:color="auto" w:fill="FFFFFF"/>
        <w:spacing w:before="0" w:beforeAutospacing="0" w:after="0" w:afterAutospacing="0"/>
        <w:ind w:left="1440"/>
        <w:rPr>
          <w:color w:val="202020"/>
          <w:sz w:val="22"/>
          <w:szCs w:val="22"/>
        </w:rPr>
      </w:pPr>
      <w:r w:rsidRPr="005707D3">
        <w:rPr>
          <w:color w:val="202020"/>
          <w:sz w:val="22"/>
          <w:szCs w:val="22"/>
        </w:rPr>
        <w:t>(</w:t>
      </w:r>
      <w:r w:rsidRPr="005707D3">
        <w:rPr>
          <w:rStyle w:val="Emphasis"/>
          <w:color w:val="202020"/>
          <w:sz w:val="22"/>
          <w:szCs w:val="22"/>
        </w:rPr>
        <w:t>c</w:t>
      </w:r>
      <w:r w:rsidRPr="005707D3">
        <w:rPr>
          <w:color w:val="202020"/>
          <w:sz w:val="22"/>
          <w:szCs w:val="22"/>
        </w:rPr>
        <w:t>)  where it has taken the action, supply written reasons therefor within the relevant period specified by law or, if there is no such specified period, within a reasonable period after being requested to supply reasons by the person concerned.</w:t>
      </w:r>
    </w:p>
    <w:p w:rsidR="00256A70" w:rsidRPr="005707D3" w:rsidRDefault="00256A70" w:rsidP="005707D3">
      <w:pPr>
        <w:pStyle w:val="NormalWeb"/>
        <w:shd w:val="clear" w:color="auto" w:fill="FFFFFF"/>
        <w:spacing w:before="0" w:beforeAutospacing="0" w:after="0" w:afterAutospacing="0"/>
        <w:ind w:left="1440"/>
        <w:rPr>
          <w:color w:val="202020"/>
          <w:sz w:val="22"/>
          <w:szCs w:val="22"/>
        </w:rPr>
      </w:pPr>
    </w:p>
    <w:p w:rsidR="005707D3" w:rsidRPr="005707D3" w:rsidRDefault="005707D3" w:rsidP="005707D3">
      <w:pPr>
        <w:pStyle w:val="NormalWeb"/>
        <w:shd w:val="clear" w:color="auto" w:fill="FFFFFF"/>
        <w:spacing w:before="0" w:beforeAutospacing="0" w:after="0" w:afterAutospacing="0"/>
        <w:ind w:left="720"/>
        <w:rPr>
          <w:color w:val="202020"/>
          <w:sz w:val="22"/>
          <w:szCs w:val="22"/>
        </w:rPr>
      </w:pPr>
      <w:r w:rsidRPr="005707D3">
        <w:rPr>
          <w:color w:val="202020"/>
          <w:sz w:val="22"/>
          <w:szCs w:val="22"/>
        </w:rPr>
        <w:t>(2)  In order for an administrative action to be taken in a fair manner as required by para (</w:t>
      </w:r>
      <w:r w:rsidRPr="005707D3">
        <w:rPr>
          <w:rStyle w:val="Emphasis"/>
          <w:color w:val="202020"/>
          <w:sz w:val="22"/>
          <w:szCs w:val="22"/>
        </w:rPr>
        <w:t>a</w:t>
      </w:r>
      <w:r w:rsidRPr="005707D3">
        <w:rPr>
          <w:color w:val="202020"/>
          <w:sz w:val="22"/>
          <w:szCs w:val="22"/>
        </w:rPr>
        <w:t>) of subsection (1), an administrative authority shall give a person referred to in subsection (1)—</w:t>
      </w:r>
    </w:p>
    <w:p w:rsidR="005707D3" w:rsidRPr="005707D3" w:rsidRDefault="005707D3" w:rsidP="005707D3">
      <w:pPr>
        <w:pStyle w:val="NormalWeb"/>
        <w:shd w:val="clear" w:color="auto" w:fill="FFFFFF"/>
        <w:spacing w:before="0" w:beforeAutospacing="0" w:after="0" w:afterAutospacing="0"/>
        <w:ind w:left="720" w:firstLine="720"/>
        <w:rPr>
          <w:color w:val="202020"/>
          <w:sz w:val="22"/>
          <w:szCs w:val="22"/>
        </w:rPr>
      </w:pPr>
      <w:r w:rsidRPr="005707D3">
        <w:rPr>
          <w:color w:val="202020"/>
          <w:sz w:val="22"/>
          <w:szCs w:val="22"/>
        </w:rPr>
        <w:t>(</w:t>
      </w:r>
      <w:r w:rsidRPr="005707D3">
        <w:rPr>
          <w:rStyle w:val="Emphasis"/>
          <w:color w:val="202020"/>
          <w:sz w:val="22"/>
          <w:szCs w:val="22"/>
        </w:rPr>
        <w:t>a</w:t>
      </w:r>
      <w:r w:rsidRPr="005707D3">
        <w:rPr>
          <w:color w:val="202020"/>
          <w:sz w:val="22"/>
          <w:szCs w:val="22"/>
        </w:rPr>
        <w:t>)  adequate notice of the nature and purpose of the proposed action; and</w:t>
      </w:r>
    </w:p>
    <w:p w:rsidR="005707D3" w:rsidRPr="005707D3" w:rsidRDefault="005707D3" w:rsidP="005707D3">
      <w:pPr>
        <w:pStyle w:val="NormalWeb"/>
        <w:shd w:val="clear" w:color="auto" w:fill="FFFFFF"/>
        <w:spacing w:before="0" w:beforeAutospacing="0" w:after="0" w:afterAutospacing="0"/>
        <w:ind w:left="720" w:firstLine="720"/>
        <w:rPr>
          <w:color w:val="202020"/>
          <w:sz w:val="22"/>
          <w:szCs w:val="22"/>
        </w:rPr>
      </w:pPr>
      <w:r w:rsidRPr="005707D3">
        <w:rPr>
          <w:color w:val="202020"/>
          <w:sz w:val="22"/>
          <w:szCs w:val="22"/>
        </w:rPr>
        <w:t>(</w:t>
      </w:r>
      <w:r w:rsidRPr="005707D3">
        <w:rPr>
          <w:rStyle w:val="Emphasis"/>
          <w:color w:val="202020"/>
          <w:sz w:val="22"/>
          <w:szCs w:val="22"/>
        </w:rPr>
        <w:t>b</w:t>
      </w:r>
      <w:r w:rsidRPr="005707D3">
        <w:rPr>
          <w:color w:val="202020"/>
          <w:sz w:val="22"/>
          <w:szCs w:val="22"/>
        </w:rPr>
        <w:t>)  a reasonable opportunity to make adequate representations; and</w:t>
      </w:r>
    </w:p>
    <w:p w:rsidR="005707D3" w:rsidRPr="005707D3" w:rsidRDefault="005707D3" w:rsidP="005707D3">
      <w:pPr>
        <w:pStyle w:val="NormalWeb"/>
        <w:shd w:val="clear" w:color="auto" w:fill="FFFFFF"/>
        <w:spacing w:before="0" w:beforeAutospacing="0" w:after="0" w:afterAutospacing="0"/>
        <w:ind w:left="720" w:firstLine="720"/>
        <w:rPr>
          <w:color w:val="202020"/>
          <w:sz w:val="22"/>
          <w:szCs w:val="22"/>
        </w:rPr>
      </w:pPr>
      <w:r w:rsidRPr="005707D3">
        <w:rPr>
          <w:color w:val="202020"/>
          <w:sz w:val="22"/>
          <w:szCs w:val="22"/>
        </w:rPr>
        <w:t>(</w:t>
      </w:r>
      <w:r w:rsidRPr="005707D3">
        <w:rPr>
          <w:rStyle w:val="Emphasis"/>
          <w:color w:val="202020"/>
          <w:sz w:val="22"/>
          <w:szCs w:val="22"/>
        </w:rPr>
        <w:t>c</w:t>
      </w:r>
      <w:r w:rsidRPr="005707D3">
        <w:rPr>
          <w:color w:val="202020"/>
          <w:sz w:val="22"/>
          <w:szCs w:val="22"/>
        </w:rPr>
        <w:t>)  adequate notice of any right of review or appeal where applicable.</w:t>
      </w:r>
    </w:p>
    <w:p w:rsidR="005707D3" w:rsidRPr="005707D3" w:rsidRDefault="005707D3" w:rsidP="005707D3">
      <w:pPr>
        <w:pStyle w:val="NormalWeb"/>
        <w:shd w:val="clear" w:color="auto" w:fill="FFFFFF"/>
        <w:spacing w:before="0" w:beforeAutospacing="0" w:after="0" w:afterAutospacing="0"/>
        <w:ind w:left="720"/>
        <w:rPr>
          <w:color w:val="202020"/>
          <w:sz w:val="22"/>
          <w:szCs w:val="22"/>
        </w:rPr>
      </w:pPr>
      <w:r w:rsidRPr="005707D3">
        <w:rPr>
          <w:color w:val="202020"/>
          <w:sz w:val="22"/>
          <w:szCs w:val="22"/>
        </w:rPr>
        <w:t>(3)  An administrative authority may depart from any of the requirements referred to in subsection (1) or (2)</w:t>
      </w:r>
    </w:p>
    <w:p w:rsidR="005707D3" w:rsidRPr="005707D3" w:rsidRDefault="005707D3" w:rsidP="005707D3">
      <w:pPr>
        <w:pStyle w:val="NormalWeb"/>
        <w:shd w:val="clear" w:color="auto" w:fill="FFFFFF"/>
        <w:spacing w:before="0" w:beforeAutospacing="0" w:after="0" w:afterAutospacing="0"/>
        <w:rPr>
          <w:color w:val="202020"/>
          <w:sz w:val="22"/>
          <w:szCs w:val="22"/>
        </w:rPr>
      </w:pPr>
      <w:r w:rsidRPr="005707D3">
        <w:rPr>
          <w:color w:val="202020"/>
          <w:sz w:val="22"/>
          <w:szCs w:val="22"/>
        </w:rPr>
        <w:t> </w:t>
      </w:r>
    </w:p>
    <w:p w:rsidR="005707D3" w:rsidRPr="005707D3" w:rsidRDefault="005707D3" w:rsidP="00A75AEE">
      <w:pPr>
        <w:pStyle w:val="NormalWeb"/>
        <w:shd w:val="clear" w:color="auto" w:fill="FFFFFF"/>
        <w:spacing w:before="0" w:beforeAutospacing="0" w:after="0" w:afterAutospacing="0"/>
        <w:ind w:firstLine="720"/>
        <w:rPr>
          <w:color w:val="202020"/>
          <w:sz w:val="22"/>
          <w:szCs w:val="22"/>
        </w:rPr>
      </w:pPr>
      <w:r w:rsidRPr="005707D3">
        <w:rPr>
          <w:color w:val="202020"/>
          <w:sz w:val="22"/>
          <w:szCs w:val="22"/>
        </w:rPr>
        <w:t>if— </w:t>
      </w:r>
    </w:p>
    <w:p w:rsidR="005707D3" w:rsidRPr="005707D3" w:rsidRDefault="005707D3" w:rsidP="00A75AEE">
      <w:pPr>
        <w:pStyle w:val="NormalWeb"/>
        <w:shd w:val="clear" w:color="auto" w:fill="FFFFFF"/>
        <w:spacing w:before="0" w:beforeAutospacing="0" w:after="0" w:afterAutospacing="0"/>
        <w:ind w:left="1440"/>
        <w:jc w:val="both"/>
        <w:rPr>
          <w:color w:val="202020"/>
          <w:sz w:val="22"/>
          <w:szCs w:val="22"/>
        </w:rPr>
      </w:pPr>
      <w:r w:rsidRPr="005707D3">
        <w:rPr>
          <w:color w:val="202020"/>
          <w:sz w:val="22"/>
          <w:szCs w:val="22"/>
        </w:rPr>
        <w:t>(</w:t>
      </w:r>
      <w:r w:rsidRPr="005707D3">
        <w:rPr>
          <w:rStyle w:val="Emphasis"/>
          <w:color w:val="202020"/>
          <w:sz w:val="22"/>
          <w:szCs w:val="22"/>
        </w:rPr>
        <w:t>a</w:t>
      </w:r>
      <w:r w:rsidRPr="005707D3">
        <w:rPr>
          <w:color w:val="202020"/>
          <w:sz w:val="22"/>
          <w:szCs w:val="22"/>
        </w:rPr>
        <w:t>)  the enactment under which the decision is made expressly provides for any of the matters referred to in those subsections so as to vary or exclude any of their requirements; or</w:t>
      </w:r>
    </w:p>
    <w:p w:rsidR="005707D3" w:rsidRPr="005707D3" w:rsidRDefault="005707D3" w:rsidP="00A75AEE">
      <w:pPr>
        <w:pStyle w:val="NormalWeb"/>
        <w:shd w:val="clear" w:color="auto" w:fill="FFFFFF"/>
        <w:spacing w:before="0" w:beforeAutospacing="0" w:after="0" w:afterAutospacing="0"/>
        <w:ind w:left="1440"/>
        <w:jc w:val="both"/>
        <w:rPr>
          <w:color w:val="202020"/>
          <w:sz w:val="22"/>
          <w:szCs w:val="22"/>
        </w:rPr>
      </w:pPr>
      <w:r w:rsidRPr="005707D3">
        <w:rPr>
          <w:color w:val="202020"/>
          <w:sz w:val="22"/>
          <w:szCs w:val="22"/>
        </w:rPr>
        <w:t>(</w:t>
      </w:r>
      <w:r w:rsidRPr="005707D3">
        <w:rPr>
          <w:rStyle w:val="Emphasis"/>
          <w:color w:val="202020"/>
          <w:sz w:val="22"/>
          <w:szCs w:val="22"/>
        </w:rPr>
        <w:t>b</w:t>
      </w:r>
      <w:r w:rsidRPr="005707D3">
        <w:rPr>
          <w:color w:val="202020"/>
          <w:sz w:val="22"/>
          <w:szCs w:val="22"/>
        </w:rPr>
        <w:t>)  the departure is, under the circumstances, reasonable and justifiable, in which case the administrative authority shall take into account all relevant matters, including</w:t>
      </w:r>
      <w:r w:rsidRPr="005707D3">
        <w:rPr>
          <w:color w:val="202020"/>
          <w:sz w:val="22"/>
          <w:szCs w:val="22"/>
        </w:rPr>
        <w:sym w:font="Symbol" w:char="F0BE"/>
      </w:r>
    </w:p>
    <w:p w:rsidR="005707D3" w:rsidRPr="005707D3" w:rsidRDefault="005707D3" w:rsidP="00A75AEE">
      <w:pPr>
        <w:pStyle w:val="NormalWeb"/>
        <w:shd w:val="clear" w:color="auto" w:fill="FFFFFF"/>
        <w:spacing w:before="0" w:beforeAutospacing="0" w:after="0" w:afterAutospacing="0"/>
        <w:ind w:left="1440" w:firstLine="720"/>
        <w:jc w:val="both"/>
        <w:rPr>
          <w:color w:val="202020"/>
          <w:sz w:val="22"/>
          <w:szCs w:val="22"/>
        </w:rPr>
      </w:pPr>
      <w:r w:rsidRPr="005707D3">
        <w:rPr>
          <w:color w:val="202020"/>
          <w:sz w:val="22"/>
          <w:szCs w:val="22"/>
        </w:rPr>
        <w:t>(i)   the objects of the applicable enactment or rule of common law;</w:t>
      </w:r>
    </w:p>
    <w:p w:rsidR="005707D3" w:rsidRPr="005707D3" w:rsidRDefault="00F259D3" w:rsidP="00A75AEE">
      <w:pPr>
        <w:pStyle w:val="NormalWeb"/>
        <w:shd w:val="clear" w:color="auto" w:fill="FFFFFF"/>
        <w:spacing w:before="0" w:beforeAutospacing="0" w:after="0" w:afterAutospacing="0"/>
        <w:ind w:left="1440" w:firstLine="720"/>
        <w:jc w:val="both"/>
        <w:rPr>
          <w:color w:val="202020"/>
          <w:sz w:val="22"/>
          <w:szCs w:val="22"/>
        </w:rPr>
      </w:pPr>
      <w:r>
        <w:rPr>
          <w:color w:val="202020"/>
          <w:sz w:val="22"/>
          <w:szCs w:val="22"/>
        </w:rPr>
        <w:t xml:space="preserve">(ii)  </w:t>
      </w:r>
      <w:r w:rsidR="005707D3" w:rsidRPr="005707D3">
        <w:rPr>
          <w:color w:val="202020"/>
          <w:sz w:val="22"/>
          <w:szCs w:val="22"/>
        </w:rPr>
        <w:t>the likely effect of its action;</w:t>
      </w:r>
    </w:p>
    <w:p w:rsidR="005707D3" w:rsidRPr="005707D3" w:rsidRDefault="00F259D3" w:rsidP="00A75AEE">
      <w:pPr>
        <w:pStyle w:val="NormalWeb"/>
        <w:shd w:val="clear" w:color="auto" w:fill="FFFFFF"/>
        <w:spacing w:before="0" w:beforeAutospacing="0" w:after="0" w:afterAutospacing="0"/>
        <w:ind w:left="1440" w:firstLine="720"/>
        <w:jc w:val="both"/>
        <w:rPr>
          <w:color w:val="202020"/>
          <w:sz w:val="22"/>
          <w:szCs w:val="22"/>
        </w:rPr>
      </w:pPr>
      <w:r>
        <w:rPr>
          <w:color w:val="202020"/>
          <w:sz w:val="22"/>
          <w:szCs w:val="22"/>
        </w:rPr>
        <w:t>(iii) </w:t>
      </w:r>
      <w:r w:rsidR="005707D3" w:rsidRPr="005707D3">
        <w:rPr>
          <w:color w:val="202020"/>
          <w:sz w:val="22"/>
          <w:szCs w:val="22"/>
        </w:rPr>
        <w:t>the urgency of the matter or the urgency of acting thereon;</w:t>
      </w:r>
    </w:p>
    <w:p w:rsidR="005707D3" w:rsidRDefault="00F259D3" w:rsidP="00A75AEE">
      <w:pPr>
        <w:pStyle w:val="NormalWeb"/>
        <w:shd w:val="clear" w:color="auto" w:fill="FFFFFF"/>
        <w:spacing w:before="0" w:beforeAutospacing="0" w:after="0" w:afterAutospacing="0"/>
        <w:ind w:left="2160"/>
        <w:jc w:val="both"/>
        <w:rPr>
          <w:color w:val="202020"/>
          <w:sz w:val="22"/>
          <w:szCs w:val="22"/>
        </w:rPr>
      </w:pPr>
      <w:r>
        <w:rPr>
          <w:color w:val="202020"/>
          <w:sz w:val="22"/>
          <w:szCs w:val="22"/>
        </w:rPr>
        <w:t xml:space="preserve">(iv)  </w:t>
      </w:r>
      <w:r w:rsidR="005707D3" w:rsidRPr="005707D3">
        <w:rPr>
          <w:color w:val="202020"/>
          <w:sz w:val="22"/>
          <w:szCs w:val="22"/>
        </w:rPr>
        <w:t>the need to promote efficient administration and good governance; (v)   the need to promote the public interest.</w:t>
      </w:r>
    </w:p>
    <w:p w:rsidR="004B0170" w:rsidRDefault="00F259D3" w:rsidP="00A75AEE">
      <w:pPr>
        <w:pStyle w:val="NormalWeb"/>
        <w:shd w:val="clear" w:color="auto" w:fill="FFFFFF"/>
        <w:spacing w:before="0" w:beforeAutospacing="0" w:after="0" w:afterAutospacing="0"/>
        <w:ind w:left="2160"/>
        <w:jc w:val="both"/>
        <w:rPr>
          <w:color w:val="202020"/>
          <w:sz w:val="22"/>
          <w:szCs w:val="22"/>
        </w:rPr>
      </w:pPr>
      <w:r>
        <w:rPr>
          <w:color w:val="202020"/>
          <w:sz w:val="22"/>
          <w:szCs w:val="22"/>
        </w:rPr>
        <w:t>(v)  the need to promote the public interest.</w:t>
      </w:r>
    </w:p>
    <w:p w:rsidR="004B0170" w:rsidRDefault="004B0170" w:rsidP="00A75AEE">
      <w:pPr>
        <w:pStyle w:val="NormalWeb"/>
        <w:shd w:val="clear" w:color="auto" w:fill="FFFFFF"/>
        <w:spacing w:before="0" w:beforeAutospacing="0" w:after="0" w:afterAutospacing="0"/>
        <w:jc w:val="both"/>
        <w:rPr>
          <w:color w:val="202020"/>
          <w:sz w:val="22"/>
          <w:szCs w:val="22"/>
        </w:rPr>
      </w:pPr>
    </w:p>
    <w:p w:rsidR="00A65F2E" w:rsidRPr="00A65F2E" w:rsidRDefault="004B0170" w:rsidP="009362F6">
      <w:pPr>
        <w:pStyle w:val="NormalWeb"/>
        <w:shd w:val="clear" w:color="auto" w:fill="FFFFFF"/>
        <w:spacing w:before="0" w:beforeAutospacing="0" w:after="0" w:afterAutospacing="0" w:line="360" w:lineRule="auto"/>
        <w:ind w:firstLine="720"/>
        <w:jc w:val="both"/>
        <w:rPr>
          <w:color w:val="202020"/>
        </w:rPr>
      </w:pPr>
      <w:r w:rsidRPr="00A75AEE">
        <w:rPr>
          <w:color w:val="202020"/>
        </w:rPr>
        <w:t>It will be apparent from the provisions of subsection (2)</w:t>
      </w:r>
      <w:r w:rsidR="00A75AEE" w:rsidRPr="00A75AEE">
        <w:rPr>
          <w:color w:val="202020"/>
        </w:rPr>
        <w:t>(e)</w:t>
      </w:r>
      <w:r w:rsidRPr="00A75AEE">
        <w:rPr>
          <w:color w:val="202020"/>
        </w:rPr>
        <w:t xml:space="preserve"> of s 4 that the powers of the court relate to the giving of directions to the administrative authority aimed at ensuring compliance with  s (3).  In short the court at best can make an order that the administrative authority complies with or acts in terms of the </w:t>
      </w:r>
      <w:r w:rsidR="000966CE" w:rsidRPr="00A75AEE">
        <w:rPr>
          <w:color w:val="202020"/>
        </w:rPr>
        <w:t xml:space="preserve">law </w:t>
      </w:r>
      <w:r w:rsidR="00085210">
        <w:rPr>
          <w:color w:val="202020"/>
        </w:rPr>
        <w:t xml:space="preserve">in substance and procedurally in order </w:t>
      </w:r>
      <w:r w:rsidR="000966CE" w:rsidRPr="00A75AEE">
        <w:rPr>
          <w:color w:val="202020"/>
        </w:rPr>
        <w:t>that</w:t>
      </w:r>
      <w:r w:rsidRPr="00A75AEE">
        <w:rPr>
          <w:color w:val="202020"/>
        </w:rPr>
        <w:t xml:space="preserve"> the authority acts in compliance with s 3.  The question then becomes, “does the order of a directive that orders the first respondent, to issue the applicant with an offer letter fall within the purview</w:t>
      </w:r>
      <w:r w:rsidR="000966CE" w:rsidRPr="00A75AEE">
        <w:rPr>
          <w:color w:val="202020"/>
        </w:rPr>
        <w:t xml:space="preserve"> of the matters listed in s 3 of the Administrative Justice Act</w:t>
      </w:r>
      <w:r w:rsidR="00085210">
        <w:rPr>
          <w:color w:val="202020"/>
        </w:rPr>
        <w:t xml:space="preserve">?” </w:t>
      </w:r>
      <w:r w:rsidR="000966CE" w:rsidRPr="00A75AEE">
        <w:rPr>
          <w:color w:val="202020"/>
        </w:rPr>
        <w:t xml:space="preserve"> If the order sought does not fall within the purview of s 3, then the order cannot be made.  The order sought in para 2 of the draft order </w:t>
      </w:r>
      <w:r w:rsidR="000966CE" w:rsidRPr="00A75AEE">
        <w:rPr>
          <w:i/>
          <w:color w:val="202020"/>
        </w:rPr>
        <w:t>in casu</w:t>
      </w:r>
      <w:r w:rsidR="000966CE" w:rsidRPr="00A75AEE">
        <w:rPr>
          <w:color w:val="202020"/>
        </w:rPr>
        <w:t xml:space="preserve"> clearly </w:t>
      </w:r>
      <w:r w:rsidR="000966CE" w:rsidRPr="00A75AEE">
        <w:rPr>
          <w:color w:val="202020"/>
        </w:rPr>
        <w:lastRenderedPageBreak/>
        <w:t xml:space="preserve">does not fall within the purview of the matters raised in s 3.  </w:t>
      </w:r>
      <w:r w:rsidR="001A5ED9" w:rsidRPr="00A75AEE">
        <w:rPr>
          <w:color w:val="202020"/>
        </w:rPr>
        <w:t xml:space="preserve">It </w:t>
      </w:r>
      <w:r w:rsidR="001A5ED9">
        <w:rPr>
          <w:color w:val="202020"/>
        </w:rPr>
        <w:t>follows</w:t>
      </w:r>
      <w:r w:rsidR="00A75AEE">
        <w:rPr>
          <w:color w:val="202020"/>
        </w:rPr>
        <w:t xml:space="preserve"> that para 2 of</w:t>
      </w:r>
      <w:r w:rsidR="001A5ED9">
        <w:rPr>
          <w:color w:val="202020"/>
        </w:rPr>
        <w:t xml:space="preserve"> </w:t>
      </w:r>
      <w:r w:rsidR="00A75AEE">
        <w:rPr>
          <w:color w:val="202020"/>
        </w:rPr>
        <w:t xml:space="preserve">the draft order is </w:t>
      </w:r>
      <w:r w:rsidR="00256A70">
        <w:rPr>
          <w:color w:val="202020"/>
        </w:rPr>
        <w:t>beyond the</w:t>
      </w:r>
      <w:r w:rsidR="00A65F2E">
        <w:rPr>
          <w:color w:val="202020"/>
        </w:rPr>
        <w:t xml:space="preserve"> </w:t>
      </w:r>
      <w:r w:rsidR="00A65F2E">
        <w:t>scope of s 3 of the Administrati</w:t>
      </w:r>
      <w:r w:rsidR="00085210">
        <w:t>ve</w:t>
      </w:r>
      <w:r w:rsidR="00A65F2E">
        <w:t xml:space="preserve"> Justice Act.</w:t>
      </w:r>
    </w:p>
    <w:p w:rsidR="00A65F2E" w:rsidRDefault="00A65F2E" w:rsidP="009362F6">
      <w:pPr>
        <w:spacing w:line="360" w:lineRule="auto"/>
        <w:jc w:val="both"/>
        <w:rPr>
          <w:rFonts w:ascii="Times New Roman" w:hAnsi="Times New Roman" w:cs="Times New Roman"/>
          <w:sz w:val="24"/>
          <w:szCs w:val="24"/>
        </w:rPr>
      </w:pPr>
      <w:r>
        <w:rPr>
          <w:rFonts w:ascii="Times New Roman" w:hAnsi="Times New Roman" w:cs="Times New Roman"/>
          <w:sz w:val="24"/>
          <w:szCs w:val="24"/>
        </w:rPr>
        <w:tab/>
        <w:t>I proceed to deal with the matter on the issue of whether or not the decision of the first respondent must be set aside.  The applicant listed the grounds of review as follows:</w:t>
      </w:r>
    </w:p>
    <w:p w:rsidR="00A65F2E" w:rsidRPr="00A103A2" w:rsidRDefault="00A65F2E" w:rsidP="009362F6">
      <w:pPr>
        <w:spacing w:line="240" w:lineRule="auto"/>
        <w:ind w:firstLine="360"/>
        <w:jc w:val="both"/>
        <w:rPr>
          <w:rFonts w:ascii="Times New Roman" w:hAnsi="Times New Roman" w:cs="Times New Roman"/>
        </w:rPr>
      </w:pPr>
      <w:r w:rsidRPr="00A103A2">
        <w:rPr>
          <w:rFonts w:ascii="Times New Roman" w:hAnsi="Times New Roman" w:cs="Times New Roman"/>
        </w:rPr>
        <w:t>“</w:t>
      </w:r>
      <w:r w:rsidRPr="00A103A2">
        <w:rPr>
          <w:rFonts w:ascii="Times New Roman" w:hAnsi="Times New Roman" w:cs="Times New Roman"/>
          <w:b/>
        </w:rPr>
        <w:t>FURTHER TAKE NOTICE THAT</w:t>
      </w:r>
      <w:r w:rsidRPr="00A103A2">
        <w:rPr>
          <w:rFonts w:ascii="Times New Roman" w:hAnsi="Times New Roman" w:cs="Times New Roman"/>
        </w:rPr>
        <w:t xml:space="preserve"> the grounds for review are as follows:</w:t>
      </w:r>
    </w:p>
    <w:p w:rsidR="00A65F2E" w:rsidRPr="00A103A2" w:rsidRDefault="00A65F2E" w:rsidP="009362F6">
      <w:pPr>
        <w:pStyle w:val="ListParagraph"/>
        <w:numPr>
          <w:ilvl w:val="0"/>
          <w:numId w:val="7"/>
        </w:numPr>
        <w:spacing w:line="240" w:lineRule="auto"/>
        <w:jc w:val="both"/>
        <w:rPr>
          <w:rFonts w:ascii="Times New Roman" w:hAnsi="Times New Roman" w:cs="Times New Roman"/>
        </w:rPr>
      </w:pPr>
      <w:r w:rsidRPr="00A103A2">
        <w:rPr>
          <w:rFonts w:ascii="Times New Roman" w:hAnsi="Times New Roman" w:cs="Times New Roman"/>
        </w:rPr>
        <w:t xml:space="preserve">The </w:t>
      </w:r>
      <w:r w:rsidR="00085210">
        <w:rPr>
          <w:rFonts w:ascii="Times New Roman" w:hAnsi="Times New Roman" w:cs="Times New Roman"/>
        </w:rPr>
        <w:t>f</w:t>
      </w:r>
      <w:r w:rsidRPr="00A103A2">
        <w:rPr>
          <w:rFonts w:ascii="Times New Roman" w:hAnsi="Times New Roman" w:cs="Times New Roman"/>
        </w:rPr>
        <w:t xml:space="preserve">irst </w:t>
      </w:r>
      <w:r w:rsidR="00085210">
        <w:rPr>
          <w:rFonts w:ascii="Times New Roman" w:hAnsi="Times New Roman" w:cs="Times New Roman"/>
        </w:rPr>
        <w:t>r</w:t>
      </w:r>
      <w:r w:rsidRPr="00A103A2">
        <w:rPr>
          <w:rFonts w:ascii="Times New Roman" w:hAnsi="Times New Roman" w:cs="Times New Roman"/>
        </w:rPr>
        <w:t>espondent did not act in a manner that was lawful; reasonable nor fair in that:</w:t>
      </w:r>
    </w:p>
    <w:p w:rsidR="00A65F2E" w:rsidRPr="00A103A2" w:rsidRDefault="00A65F2E" w:rsidP="009362F6">
      <w:pPr>
        <w:pStyle w:val="ListParagraph"/>
        <w:numPr>
          <w:ilvl w:val="1"/>
          <w:numId w:val="7"/>
        </w:numPr>
        <w:spacing w:line="240" w:lineRule="auto"/>
        <w:jc w:val="both"/>
        <w:rPr>
          <w:rFonts w:ascii="Times New Roman" w:hAnsi="Times New Roman" w:cs="Times New Roman"/>
        </w:rPr>
      </w:pPr>
      <w:r w:rsidRPr="00A103A2">
        <w:rPr>
          <w:rFonts w:ascii="Times New Roman" w:hAnsi="Times New Roman" w:cs="Times New Roman"/>
        </w:rPr>
        <w:t xml:space="preserve">By granting an offer letter to the </w:t>
      </w:r>
      <w:r w:rsidR="00085210">
        <w:rPr>
          <w:rFonts w:ascii="Times New Roman" w:hAnsi="Times New Roman" w:cs="Times New Roman"/>
        </w:rPr>
        <w:t>s</w:t>
      </w:r>
      <w:r w:rsidRPr="00A103A2">
        <w:rPr>
          <w:rFonts w:ascii="Times New Roman" w:hAnsi="Times New Roman" w:cs="Times New Roman"/>
        </w:rPr>
        <w:t xml:space="preserve">econd </w:t>
      </w:r>
      <w:r w:rsidR="00085210">
        <w:rPr>
          <w:rFonts w:ascii="Times New Roman" w:hAnsi="Times New Roman" w:cs="Times New Roman"/>
        </w:rPr>
        <w:t>r</w:t>
      </w:r>
      <w:r w:rsidRPr="00A103A2">
        <w:rPr>
          <w:rFonts w:ascii="Times New Roman" w:hAnsi="Times New Roman" w:cs="Times New Roman"/>
        </w:rPr>
        <w:t xml:space="preserve">espondent for a farm that had already been recommended for allocation to the Plaintiff, </w:t>
      </w:r>
      <w:r w:rsidR="00085210">
        <w:rPr>
          <w:rFonts w:ascii="Times New Roman" w:hAnsi="Times New Roman" w:cs="Times New Roman"/>
        </w:rPr>
        <w:t>f</w:t>
      </w:r>
      <w:r w:rsidRPr="00A103A2">
        <w:rPr>
          <w:rFonts w:ascii="Times New Roman" w:hAnsi="Times New Roman" w:cs="Times New Roman"/>
        </w:rPr>
        <w:t xml:space="preserve">irst </w:t>
      </w:r>
      <w:r w:rsidR="00085210">
        <w:rPr>
          <w:rFonts w:ascii="Times New Roman" w:hAnsi="Times New Roman" w:cs="Times New Roman"/>
        </w:rPr>
        <w:t>r</w:t>
      </w:r>
      <w:r w:rsidRPr="00A103A2">
        <w:rPr>
          <w:rFonts w:ascii="Times New Roman" w:hAnsi="Times New Roman" w:cs="Times New Roman"/>
        </w:rPr>
        <w:t>espondent showed a disfavor to the Applicant on irrational grounds.</w:t>
      </w:r>
    </w:p>
    <w:p w:rsidR="00A65F2E" w:rsidRPr="00A103A2" w:rsidRDefault="00A65F2E" w:rsidP="009362F6">
      <w:pPr>
        <w:pStyle w:val="ListParagraph"/>
        <w:numPr>
          <w:ilvl w:val="1"/>
          <w:numId w:val="7"/>
        </w:numPr>
        <w:spacing w:line="240" w:lineRule="auto"/>
        <w:jc w:val="both"/>
        <w:rPr>
          <w:rFonts w:ascii="Times New Roman" w:hAnsi="Times New Roman" w:cs="Times New Roman"/>
        </w:rPr>
      </w:pPr>
      <w:r w:rsidRPr="00A103A2">
        <w:rPr>
          <w:rFonts w:ascii="Times New Roman" w:hAnsi="Times New Roman" w:cs="Times New Roman"/>
        </w:rPr>
        <w:t xml:space="preserve">The </w:t>
      </w:r>
      <w:r w:rsidR="00085210">
        <w:rPr>
          <w:rFonts w:ascii="Times New Roman" w:hAnsi="Times New Roman" w:cs="Times New Roman"/>
        </w:rPr>
        <w:t>f</w:t>
      </w:r>
      <w:r w:rsidRPr="00A103A2">
        <w:rPr>
          <w:rFonts w:ascii="Times New Roman" w:hAnsi="Times New Roman" w:cs="Times New Roman"/>
        </w:rPr>
        <w:t xml:space="preserve">irst </w:t>
      </w:r>
      <w:r w:rsidR="00085210">
        <w:rPr>
          <w:rFonts w:ascii="Times New Roman" w:hAnsi="Times New Roman" w:cs="Times New Roman"/>
        </w:rPr>
        <w:t>r</w:t>
      </w:r>
      <w:r w:rsidRPr="00A103A2">
        <w:rPr>
          <w:rFonts w:ascii="Times New Roman" w:hAnsi="Times New Roman" w:cs="Times New Roman"/>
        </w:rPr>
        <w:t xml:space="preserve">espondent did not supply reasons, whether written or otherwise, for the decision he took in granting an offer letter to the </w:t>
      </w:r>
      <w:r w:rsidR="00085210">
        <w:rPr>
          <w:rFonts w:ascii="Times New Roman" w:hAnsi="Times New Roman" w:cs="Times New Roman"/>
        </w:rPr>
        <w:t>s</w:t>
      </w:r>
      <w:r w:rsidRPr="00A103A2">
        <w:rPr>
          <w:rFonts w:ascii="Times New Roman" w:hAnsi="Times New Roman" w:cs="Times New Roman"/>
        </w:rPr>
        <w:t xml:space="preserve">econd </w:t>
      </w:r>
      <w:r w:rsidR="00085210">
        <w:rPr>
          <w:rFonts w:ascii="Times New Roman" w:hAnsi="Times New Roman" w:cs="Times New Roman"/>
        </w:rPr>
        <w:t>r</w:t>
      </w:r>
      <w:r w:rsidRPr="00A103A2">
        <w:rPr>
          <w:rFonts w:ascii="Times New Roman" w:hAnsi="Times New Roman" w:cs="Times New Roman"/>
        </w:rPr>
        <w:t xml:space="preserve">espondent ahead of the </w:t>
      </w:r>
      <w:r w:rsidR="00085210">
        <w:rPr>
          <w:rFonts w:ascii="Times New Roman" w:hAnsi="Times New Roman" w:cs="Times New Roman"/>
        </w:rPr>
        <w:t>a</w:t>
      </w:r>
      <w:r w:rsidRPr="00A103A2">
        <w:rPr>
          <w:rFonts w:ascii="Times New Roman" w:hAnsi="Times New Roman" w:cs="Times New Roman"/>
        </w:rPr>
        <w:t>pplicant.</w:t>
      </w:r>
    </w:p>
    <w:p w:rsidR="00A65F2E" w:rsidRPr="00A103A2" w:rsidRDefault="00A65F2E" w:rsidP="009362F6">
      <w:pPr>
        <w:pStyle w:val="ListParagraph"/>
        <w:numPr>
          <w:ilvl w:val="1"/>
          <w:numId w:val="7"/>
        </w:numPr>
        <w:spacing w:line="240" w:lineRule="auto"/>
        <w:jc w:val="both"/>
        <w:rPr>
          <w:rFonts w:ascii="Times New Roman" w:hAnsi="Times New Roman" w:cs="Times New Roman"/>
        </w:rPr>
      </w:pPr>
      <w:r w:rsidRPr="00A103A2">
        <w:rPr>
          <w:rFonts w:ascii="Times New Roman" w:hAnsi="Times New Roman" w:cs="Times New Roman"/>
        </w:rPr>
        <w:t xml:space="preserve">The </w:t>
      </w:r>
      <w:r w:rsidR="00085210">
        <w:rPr>
          <w:rFonts w:ascii="Times New Roman" w:hAnsi="Times New Roman" w:cs="Times New Roman"/>
        </w:rPr>
        <w:t>f</w:t>
      </w:r>
      <w:r w:rsidRPr="00A103A2">
        <w:rPr>
          <w:rFonts w:ascii="Times New Roman" w:hAnsi="Times New Roman" w:cs="Times New Roman"/>
        </w:rPr>
        <w:t xml:space="preserve">irst </w:t>
      </w:r>
      <w:r w:rsidR="00085210">
        <w:rPr>
          <w:rFonts w:ascii="Times New Roman" w:hAnsi="Times New Roman" w:cs="Times New Roman"/>
        </w:rPr>
        <w:t>r</w:t>
      </w:r>
      <w:r w:rsidRPr="00A103A2">
        <w:rPr>
          <w:rFonts w:ascii="Times New Roman" w:hAnsi="Times New Roman" w:cs="Times New Roman"/>
        </w:rPr>
        <w:t xml:space="preserve">espondent did not give a reasonable opportunity to the </w:t>
      </w:r>
      <w:r w:rsidR="00085210">
        <w:rPr>
          <w:rFonts w:ascii="Times New Roman" w:hAnsi="Times New Roman" w:cs="Times New Roman"/>
        </w:rPr>
        <w:t>a</w:t>
      </w:r>
      <w:r w:rsidRPr="00A103A2">
        <w:rPr>
          <w:rFonts w:ascii="Times New Roman" w:hAnsi="Times New Roman" w:cs="Times New Roman"/>
        </w:rPr>
        <w:t>pplicant to make adequate representations.</w:t>
      </w:r>
    </w:p>
    <w:p w:rsidR="00A65F2E" w:rsidRPr="00F11609" w:rsidRDefault="00A65F2E" w:rsidP="009362F6">
      <w:pPr>
        <w:pStyle w:val="ListParagraph"/>
        <w:numPr>
          <w:ilvl w:val="1"/>
          <w:numId w:val="7"/>
        </w:numPr>
        <w:spacing w:line="240" w:lineRule="auto"/>
        <w:jc w:val="both"/>
        <w:rPr>
          <w:rFonts w:ascii="Times New Roman" w:hAnsi="Times New Roman" w:cs="Times New Roman"/>
        </w:rPr>
      </w:pPr>
      <w:r w:rsidRPr="00A103A2">
        <w:rPr>
          <w:rFonts w:ascii="Times New Roman" w:hAnsi="Times New Roman" w:cs="Times New Roman"/>
        </w:rPr>
        <w:t xml:space="preserve"> The </w:t>
      </w:r>
      <w:r w:rsidR="00085210">
        <w:rPr>
          <w:rFonts w:ascii="Times New Roman" w:hAnsi="Times New Roman" w:cs="Times New Roman"/>
        </w:rPr>
        <w:t>f</w:t>
      </w:r>
      <w:r w:rsidRPr="00A103A2">
        <w:rPr>
          <w:rFonts w:ascii="Times New Roman" w:hAnsi="Times New Roman" w:cs="Times New Roman"/>
        </w:rPr>
        <w:t xml:space="preserve">irst </w:t>
      </w:r>
      <w:r w:rsidR="00085210">
        <w:rPr>
          <w:rFonts w:ascii="Times New Roman" w:hAnsi="Times New Roman" w:cs="Times New Roman"/>
        </w:rPr>
        <w:t>r</w:t>
      </w:r>
      <w:r w:rsidRPr="00A103A2">
        <w:rPr>
          <w:rFonts w:ascii="Times New Roman" w:hAnsi="Times New Roman" w:cs="Times New Roman"/>
        </w:rPr>
        <w:t>espondent did not give adequate notice of the nature and purpose of the proposed of the proposed action.”</w:t>
      </w:r>
    </w:p>
    <w:p w:rsidR="00A65F2E" w:rsidRDefault="00A65F2E" w:rsidP="00936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appropriate at this stage to relate to salient facts. They are not in dispute or if so</w:t>
      </w:r>
      <w:r w:rsidR="00085210">
        <w:rPr>
          <w:rFonts w:ascii="Times New Roman" w:hAnsi="Times New Roman" w:cs="Times New Roman"/>
          <w:sz w:val="24"/>
          <w:szCs w:val="24"/>
        </w:rPr>
        <w:t xml:space="preserve"> they are</w:t>
      </w:r>
      <w:r>
        <w:rPr>
          <w:rFonts w:ascii="Times New Roman" w:hAnsi="Times New Roman" w:cs="Times New Roman"/>
          <w:sz w:val="24"/>
          <w:szCs w:val="24"/>
        </w:rPr>
        <w:t xml:space="preserve"> not materially </w:t>
      </w:r>
      <w:r w:rsidR="00085210">
        <w:rPr>
          <w:rFonts w:ascii="Times New Roman" w:hAnsi="Times New Roman" w:cs="Times New Roman"/>
          <w:sz w:val="24"/>
          <w:szCs w:val="24"/>
        </w:rPr>
        <w:t>divergent.</w:t>
      </w:r>
      <w:r>
        <w:rPr>
          <w:rFonts w:ascii="Times New Roman" w:hAnsi="Times New Roman" w:cs="Times New Roman"/>
          <w:sz w:val="24"/>
          <w:szCs w:val="24"/>
        </w:rPr>
        <w:t xml:space="preserve">  The applicant occupies the plot or property in issue.  His occupation of the plot was through an unidentified method of occupancy. </w:t>
      </w:r>
      <w:r w:rsidR="00085210">
        <w:rPr>
          <w:rFonts w:ascii="Times New Roman" w:hAnsi="Times New Roman" w:cs="Times New Roman"/>
          <w:sz w:val="24"/>
          <w:szCs w:val="24"/>
        </w:rPr>
        <w:t xml:space="preserve"> This issue is not necessary to determine.  </w:t>
      </w:r>
      <w:r>
        <w:rPr>
          <w:rFonts w:ascii="Times New Roman" w:hAnsi="Times New Roman" w:cs="Times New Roman"/>
          <w:sz w:val="24"/>
          <w:szCs w:val="24"/>
        </w:rPr>
        <w:t xml:space="preserve">However, it appears that the </w:t>
      </w:r>
      <w:r w:rsidR="00913006">
        <w:rPr>
          <w:rFonts w:ascii="Times New Roman" w:hAnsi="Times New Roman" w:cs="Times New Roman"/>
          <w:sz w:val="24"/>
          <w:szCs w:val="24"/>
        </w:rPr>
        <w:t>Chiredzi District</w:t>
      </w:r>
      <w:r>
        <w:rPr>
          <w:rFonts w:ascii="Times New Roman" w:hAnsi="Times New Roman" w:cs="Times New Roman"/>
          <w:sz w:val="24"/>
          <w:szCs w:val="24"/>
        </w:rPr>
        <w:t xml:space="preserve"> Land Committee listed the applicant and 50 others under recommendation for land allocation in 2018.  The applicant attached as annexure </w:t>
      </w:r>
      <w:r w:rsidR="00913006">
        <w:rPr>
          <w:rFonts w:ascii="Times New Roman" w:hAnsi="Times New Roman" w:cs="Times New Roman"/>
          <w:sz w:val="24"/>
          <w:szCs w:val="24"/>
        </w:rPr>
        <w:t>A</w:t>
      </w:r>
      <w:r>
        <w:rPr>
          <w:rFonts w:ascii="Times New Roman" w:hAnsi="Times New Roman" w:cs="Times New Roman"/>
          <w:sz w:val="24"/>
          <w:szCs w:val="24"/>
        </w:rPr>
        <w:t xml:space="preserve"> to the founding affidavit a list of names of persons and noted the </w:t>
      </w:r>
      <w:r w:rsidR="00913006">
        <w:rPr>
          <w:rFonts w:ascii="Times New Roman" w:hAnsi="Times New Roman" w:cs="Times New Roman"/>
          <w:sz w:val="24"/>
          <w:szCs w:val="24"/>
        </w:rPr>
        <w:t>subdivisional</w:t>
      </w:r>
      <w:r>
        <w:rPr>
          <w:rFonts w:ascii="Times New Roman" w:hAnsi="Times New Roman" w:cs="Times New Roman"/>
          <w:sz w:val="24"/>
          <w:szCs w:val="24"/>
        </w:rPr>
        <w:t xml:space="preserve"> areas which they were in occupation of.  The list was signed by the local district administration, Chi</w:t>
      </w:r>
      <w:r w:rsidR="00085210">
        <w:rPr>
          <w:rFonts w:ascii="Times New Roman" w:hAnsi="Times New Roman" w:cs="Times New Roman"/>
          <w:sz w:val="24"/>
          <w:szCs w:val="24"/>
        </w:rPr>
        <w:t>sema</w:t>
      </w:r>
      <w:r>
        <w:rPr>
          <w:rFonts w:ascii="Times New Roman" w:hAnsi="Times New Roman" w:cs="Times New Roman"/>
          <w:sz w:val="24"/>
          <w:szCs w:val="24"/>
        </w:rPr>
        <w:t xml:space="preserve">; Makuni </w:t>
      </w:r>
      <w:r w:rsidR="00085210">
        <w:rPr>
          <w:rFonts w:ascii="Times New Roman" w:hAnsi="Times New Roman" w:cs="Times New Roman"/>
          <w:sz w:val="24"/>
          <w:szCs w:val="24"/>
        </w:rPr>
        <w:t>P</w:t>
      </w:r>
      <w:r>
        <w:rPr>
          <w:rFonts w:ascii="Times New Roman" w:hAnsi="Times New Roman" w:cs="Times New Roman"/>
          <w:sz w:val="24"/>
          <w:szCs w:val="24"/>
        </w:rPr>
        <w:t xml:space="preserve"> described as a war veteran and Mapfumo, the lands officer.  </w:t>
      </w:r>
      <w:r w:rsidR="00913006">
        <w:rPr>
          <w:rFonts w:ascii="Times New Roman" w:hAnsi="Times New Roman" w:cs="Times New Roman"/>
          <w:sz w:val="24"/>
          <w:szCs w:val="24"/>
        </w:rPr>
        <w:t xml:space="preserve">                                                                                                                                                                                                                                                                                                                                                                                                                                                                                                                                                                                                                                                                                                                                                                                                                                                                                                                                                                                                                                                                                                                                                                                                                                                                                                                                                                                                                                                                                                                                                                                                                                                                                                                                                                                                                                                                                                                                                                                                                                                                                                                                                                                                                                                                                                                                                                                                                                                                                                                                                                                                                                                                                                     </w:t>
      </w:r>
    </w:p>
    <w:p w:rsidR="00A65F2E" w:rsidRDefault="00A65F2E" w:rsidP="00936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he occupied the plot in 2017 and has been farming thereat since then.  He stated that he was a successful sugar cane farmer who produced </w:t>
      </w:r>
      <w:r w:rsidRPr="00F11609">
        <w:rPr>
          <w:rFonts w:ascii="Times New Roman" w:hAnsi="Times New Roman" w:cs="Times New Roman"/>
          <w:i/>
          <w:sz w:val="24"/>
          <w:szCs w:val="24"/>
        </w:rPr>
        <w:t>inter alia</w:t>
      </w:r>
      <w:r>
        <w:rPr>
          <w:rFonts w:ascii="Times New Roman" w:hAnsi="Times New Roman" w:cs="Times New Roman"/>
          <w:sz w:val="24"/>
          <w:szCs w:val="24"/>
        </w:rPr>
        <w:t xml:space="preserve"> produce in the form of sugar cane using his resources for th</w:t>
      </w:r>
      <w:r w:rsidR="006251D5">
        <w:rPr>
          <w:rFonts w:ascii="Times New Roman" w:hAnsi="Times New Roman" w:cs="Times New Roman"/>
          <w:sz w:val="24"/>
          <w:szCs w:val="24"/>
        </w:rPr>
        <w:t>ree</w:t>
      </w:r>
      <w:r>
        <w:rPr>
          <w:rFonts w:ascii="Times New Roman" w:hAnsi="Times New Roman" w:cs="Times New Roman"/>
          <w:sz w:val="24"/>
          <w:szCs w:val="24"/>
        </w:rPr>
        <w:t xml:space="preserve"> seasons and sold the ca</w:t>
      </w:r>
      <w:r w:rsidR="006251D5">
        <w:rPr>
          <w:rFonts w:ascii="Times New Roman" w:hAnsi="Times New Roman" w:cs="Times New Roman"/>
          <w:sz w:val="24"/>
          <w:szCs w:val="24"/>
        </w:rPr>
        <w:t>n</w:t>
      </w:r>
      <w:r>
        <w:rPr>
          <w:rFonts w:ascii="Times New Roman" w:hAnsi="Times New Roman" w:cs="Times New Roman"/>
          <w:sz w:val="24"/>
          <w:szCs w:val="24"/>
        </w:rPr>
        <w:t xml:space="preserve">e to Tongaat Hullet, the sugar manufacture in Hippo Valley, Chiredzi.  The applicant attached as annexure </w:t>
      </w:r>
      <w:r w:rsidR="006251D5">
        <w:rPr>
          <w:rFonts w:ascii="Times New Roman" w:hAnsi="Times New Roman" w:cs="Times New Roman"/>
          <w:sz w:val="24"/>
          <w:szCs w:val="24"/>
        </w:rPr>
        <w:t>(D</w:t>
      </w:r>
      <w:r>
        <w:rPr>
          <w:rFonts w:ascii="Times New Roman" w:hAnsi="Times New Roman" w:cs="Times New Roman"/>
          <w:sz w:val="24"/>
          <w:szCs w:val="24"/>
        </w:rPr>
        <w:t xml:space="preserve">), a copy of a letter from the office of the </w:t>
      </w:r>
      <w:r w:rsidR="00913006">
        <w:rPr>
          <w:rFonts w:ascii="Times New Roman" w:hAnsi="Times New Roman" w:cs="Times New Roman"/>
          <w:sz w:val="24"/>
          <w:szCs w:val="24"/>
        </w:rPr>
        <w:t>Presi</w:t>
      </w:r>
      <w:r>
        <w:rPr>
          <w:rFonts w:ascii="Times New Roman" w:hAnsi="Times New Roman" w:cs="Times New Roman"/>
          <w:sz w:val="24"/>
          <w:szCs w:val="24"/>
        </w:rPr>
        <w:t xml:space="preserve">dent and Cabinet dated 14 November 2019 wherein the Minister of </w:t>
      </w:r>
      <w:r w:rsidR="006251D5">
        <w:rPr>
          <w:rFonts w:ascii="Times New Roman" w:hAnsi="Times New Roman" w:cs="Times New Roman"/>
          <w:sz w:val="24"/>
          <w:szCs w:val="24"/>
        </w:rPr>
        <w:t>S</w:t>
      </w:r>
      <w:r>
        <w:rPr>
          <w:rFonts w:ascii="Times New Roman" w:hAnsi="Times New Roman" w:cs="Times New Roman"/>
          <w:sz w:val="24"/>
          <w:szCs w:val="24"/>
        </w:rPr>
        <w:t>tate for Provincial Affairs, Masvingo Province recommended payment by Tongaat Hullet to the applicant and others listed in the letter.  The letter stated that a verification exercise carried out by that office had confirmed that the applicant and others listed had “maintained farms and delivered sugar cane to Tongaat Hullet,” for the 2018-2019 season.</w:t>
      </w:r>
    </w:p>
    <w:p w:rsidR="00A65F2E" w:rsidRDefault="00A65F2E" w:rsidP="00936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averred that he invested on the plot by purchasing farm equipment and provided employment for his employees.  He attached as annexure B, a list of three permanent employees whose combined wages he paid in the total sum of $4908-00 for the period January to December</w:t>
      </w:r>
      <w:r w:rsidR="005A0959">
        <w:rPr>
          <w:rFonts w:ascii="Times New Roman" w:hAnsi="Times New Roman" w:cs="Times New Roman"/>
          <w:sz w:val="24"/>
          <w:szCs w:val="24"/>
        </w:rPr>
        <w:t>,</w:t>
      </w:r>
      <w:r>
        <w:rPr>
          <w:rFonts w:ascii="Times New Roman" w:hAnsi="Times New Roman" w:cs="Times New Roman"/>
          <w:sz w:val="24"/>
          <w:szCs w:val="24"/>
        </w:rPr>
        <w:t xml:space="preserve"> 2018.  The applicant also attached as annexure C copies of statements of account pr</w:t>
      </w:r>
      <w:r w:rsidR="006251D5">
        <w:rPr>
          <w:rFonts w:ascii="Times New Roman" w:hAnsi="Times New Roman" w:cs="Times New Roman"/>
          <w:sz w:val="24"/>
          <w:szCs w:val="24"/>
        </w:rPr>
        <w:t>epar</w:t>
      </w:r>
      <w:r>
        <w:rPr>
          <w:rFonts w:ascii="Times New Roman" w:hAnsi="Times New Roman" w:cs="Times New Roman"/>
          <w:sz w:val="24"/>
          <w:szCs w:val="24"/>
        </w:rPr>
        <w:t>ed by Tongaat Hullet showing deliveries of cane made by the applicant to Tongaat Hullet.  It was not cont</w:t>
      </w:r>
      <w:r w:rsidR="006251D5">
        <w:rPr>
          <w:rFonts w:ascii="Times New Roman" w:hAnsi="Times New Roman" w:cs="Times New Roman"/>
          <w:sz w:val="24"/>
          <w:szCs w:val="24"/>
        </w:rPr>
        <w:t>es</w:t>
      </w:r>
      <w:r>
        <w:rPr>
          <w:rFonts w:ascii="Times New Roman" w:hAnsi="Times New Roman" w:cs="Times New Roman"/>
          <w:sz w:val="24"/>
          <w:szCs w:val="24"/>
        </w:rPr>
        <w:t>ted that the applicant was productive on the plot.</w:t>
      </w:r>
    </w:p>
    <w:p w:rsidR="00A65F2E" w:rsidRDefault="00A65F2E" w:rsidP="00936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the recommendations made by the Provincial Affairs </w:t>
      </w:r>
      <w:r w:rsidR="006251D5">
        <w:rPr>
          <w:rFonts w:ascii="Times New Roman" w:hAnsi="Times New Roman" w:cs="Times New Roman"/>
          <w:sz w:val="24"/>
          <w:szCs w:val="24"/>
        </w:rPr>
        <w:t xml:space="preserve">Minister </w:t>
      </w:r>
      <w:r>
        <w:rPr>
          <w:rFonts w:ascii="Times New Roman" w:hAnsi="Times New Roman" w:cs="Times New Roman"/>
          <w:sz w:val="24"/>
          <w:szCs w:val="24"/>
        </w:rPr>
        <w:t xml:space="preserve">that </w:t>
      </w:r>
      <w:r w:rsidR="006251D5">
        <w:rPr>
          <w:rFonts w:ascii="Times New Roman" w:hAnsi="Times New Roman" w:cs="Times New Roman"/>
          <w:sz w:val="24"/>
          <w:szCs w:val="24"/>
        </w:rPr>
        <w:t>t</w:t>
      </w:r>
      <w:r>
        <w:rPr>
          <w:rFonts w:ascii="Times New Roman" w:hAnsi="Times New Roman" w:cs="Times New Roman"/>
          <w:sz w:val="24"/>
          <w:szCs w:val="24"/>
        </w:rPr>
        <w:t xml:space="preserve">he </w:t>
      </w:r>
      <w:r w:rsidR="006251D5">
        <w:rPr>
          <w:rFonts w:ascii="Times New Roman" w:hAnsi="Times New Roman" w:cs="Times New Roman"/>
          <w:sz w:val="24"/>
          <w:szCs w:val="24"/>
        </w:rPr>
        <w:t xml:space="preserve">applicant </w:t>
      </w:r>
      <w:r>
        <w:rPr>
          <w:rFonts w:ascii="Times New Roman" w:hAnsi="Times New Roman" w:cs="Times New Roman"/>
          <w:sz w:val="24"/>
          <w:szCs w:val="24"/>
        </w:rPr>
        <w:t>should be paid and also by the District Lands Committee gave him a legitimate expectation that upon formal offer letters of land being issued by the first respondent, the applicant and others listed would be allocated.  However to the applicant’s dismay, the plot he occupies was offered by the first respondent to the second respondent by offer letter dated 29 May</w:t>
      </w:r>
      <w:r w:rsidR="005A0959">
        <w:rPr>
          <w:rFonts w:ascii="Times New Roman" w:hAnsi="Times New Roman" w:cs="Times New Roman"/>
          <w:sz w:val="24"/>
          <w:szCs w:val="24"/>
        </w:rPr>
        <w:t>,</w:t>
      </w:r>
      <w:r>
        <w:rPr>
          <w:rFonts w:ascii="Times New Roman" w:hAnsi="Times New Roman" w:cs="Times New Roman"/>
          <w:sz w:val="24"/>
          <w:szCs w:val="24"/>
        </w:rPr>
        <w:t xml:space="preserve"> 2020</w:t>
      </w:r>
      <w:r w:rsidR="006251D5">
        <w:rPr>
          <w:rFonts w:ascii="Times New Roman" w:hAnsi="Times New Roman" w:cs="Times New Roman"/>
          <w:sz w:val="24"/>
          <w:szCs w:val="24"/>
        </w:rPr>
        <w:t>.  The second respondent</w:t>
      </w:r>
      <w:r>
        <w:rPr>
          <w:rFonts w:ascii="Times New Roman" w:hAnsi="Times New Roman" w:cs="Times New Roman"/>
          <w:sz w:val="24"/>
          <w:szCs w:val="24"/>
        </w:rPr>
        <w:t xml:space="preserve"> accepted the offer </w:t>
      </w:r>
      <w:r w:rsidR="006251D5">
        <w:rPr>
          <w:rFonts w:ascii="Times New Roman" w:hAnsi="Times New Roman" w:cs="Times New Roman"/>
          <w:sz w:val="24"/>
          <w:szCs w:val="24"/>
        </w:rPr>
        <w:t>letter in writing</w:t>
      </w:r>
      <w:r>
        <w:rPr>
          <w:rFonts w:ascii="Times New Roman" w:hAnsi="Times New Roman" w:cs="Times New Roman"/>
          <w:sz w:val="24"/>
          <w:szCs w:val="24"/>
        </w:rPr>
        <w:t xml:space="preserve"> on 5 June 2020.</w:t>
      </w:r>
    </w:p>
    <w:p w:rsidR="00A65F2E" w:rsidRDefault="00A65F2E" w:rsidP="00936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lodged a complaint with the third respondent.  The </w:t>
      </w:r>
      <w:r w:rsidR="006251D5">
        <w:rPr>
          <w:rFonts w:ascii="Times New Roman" w:hAnsi="Times New Roman" w:cs="Times New Roman"/>
          <w:sz w:val="24"/>
          <w:szCs w:val="24"/>
        </w:rPr>
        <w:t>written</w:t>
      </w:r>
      <w:r>
        <w:rPr>
          <w:rFonts w:ascii="Times New Roman" w:hAnsi="Times New Roman" w:cs="Times New Roman"/>
          <w:sz w:val="24"/>
          <w:szCs w:val="24"/>
        </w:rPr>
        <w:t xml:space="preserve"> complaint is attached to the founding affidavit and marked annexure G.  The applicant set out his dispute as briefly that he was always in occupation of the plot on which he productively f</w:t>
      </w:r>
      <w:r w:rsidR="006251D5">
        <w:rPr>
          <w:rFonts w:ascii="Times New Roman" w:hAnsi="Times New Roman" w:cs="Times New Roman"/>
          <w:sz w:val="24"/>
          <w:szCs w:val="24"/>
        </w:rPr>
        <w:t>a</w:t>
      </w:r>
      <w:r>
        <w:rPr>
          <w:rFonts w:ascii="Times New Roman" w:hAnsi="Times New Roman" w:cs="Times New Roman"/>
          <w:sz w:val="24"/>
          <w:szCs w:val="24"/>
        </w:rPr>
        <w:t xml:space="preserve">rmed </w:t>
      </w:r>
      <w:r w:rsidR="006251D5">
        <w:rPr>
          <w:rFonts w:ascii="Times New Roman" w:hAnsi="Times New Roman" w:cs="Times New Roman"/>
          <w:sz w:val="24"/>
          <w:szCs w:val="24"/>
        </w:rPr>
        <w:t xml:space="preserve">and </w:t>
      </w:r>
      <w:r>
        <w:rPr>
          <w:rFonts w:ascii="Times New Roman" w:hAnsi="Times New Roman" w:cs="Times New Roman"/>
          <w:sz w:val="24"/>
          <w:szCs w:val="24"/>
        </w:rPr>
        <w:t>that there was an undue preference of the second respondent by the first respondent who allocated the plot under offer letter to the second respondent</w:t>
      </w:r>
      <w:r w:rsidR="006251D5">
        <w:rPr>
          <w:rFonts w:ascii="Times New Roman" w:hAnsi="Times New Roman" w:cs="Times New Roman"/>
          <w:sz w:val="24"/>
          <w:szCs w:val="24"/>
        </w:rPr>
        <w:t xml:space="preserve"> instead of the applicant</w:t>
      </w:r>
      <w:r>
        <w:rPr>
          <w:rFonts w:ascii="Times New Roman" w:hAnsi="Times New Roman" w:cs="Times New Roman"/>
          <w:sz w:val="24"/>
          <w:szCs w:val="24"/>
        </w:rPr>
        <w:t>.  The date of the complaint is not clear on the copy attached.  In this regard it is noted that it is the duty of the party who produces a document as evidence to ensure that it is legible, otherwise it will not have evidential value and or weight.  The applicant averred that the complaint to the third respondent was still pending at the time that this application was filed.</w:t>
      </w:r>
    </w:p>
    <w:p w:rsidR="00A65F2E" w:rsidRDefault="00A65F2E" w:rsidP="00936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took strong objection to the offer of the land to the second respondent.  The applicant expressed himself in para 15.2 and 16 of the founding as follows:</w:t>
      </w:r>
    </w:p>
    <w:p w:rsidR="00A65F2E" w:rsidRPr="00596CB1" w:rsidRDefault="00A65F2E" w:rsidP="009362F6">
      <w:pPr>
        <w:spacing w:after="0" w:line="240" w:lineRule="auto"/>
        <w:ind w:left="720"/>
        <w:jc w:val="both"/>
        <w:rPr>
          <w:rFonts w:ascii="Times New Roman" w:hAnsi="Times New Roman" w:cs="Times New Roman"/>
        </w:rPr>
      </w:pPr>
      <w:r w:rsidRPr="00596CB1">
        <w:rPr>
          <w:rFonts w:ascii="Times New Roman" w:hAnsi="Times New Roman" w:cs="Times New Roman"/>
        </w:rPr>
        <w:t xml:space="preserve">“15.2 when the land audit hat was carried out, it confirmed that I was the farmer who was confirmed to be in occupation of the farm.  I was verified, qualified, vetted, confirmed and recommended during the process of the land audit.  There could be no valid reason why I, as an indigenous farmer who qualifies for allocation under the land reform program and who has been fully utilizing the farm, would be dispossessed of my farm in favour of another indigenous farmer.  In this case it is particularly puzzling because the offer letter was granted in favour of a family which already possesses another farm.  I submit that it is not </w:t>
      </w:r>
      <w:r w:rsidR="005A0959" w:rsidRPr="00596CB1">
        <w:rPr>
          <w:rFonts w:ascii="Times New Roman" w:hAnsi="Times New Roman" w:cs="Times New Roman"/>
        </w:rPr>
        <w:t>Government’s</w:t>
      </w:r>
      <w:r w:rsidRPr="00596CB1">
        <w:rPr>
          <w:rFonts w:ascii="Times New Roman" w:hAnsi="Times New Roman" w:cs="Times New Roman"/>
        </w:rPr>
        <w:t xml:space="preserve"> policy to strip one indigenous farmer of land in favour of another, and certainly not government policy to give two farms to one family while taking away from a farmer who only possesses one farm.  I further submit that a disfavour has been shown to me with no rational grounds whatsoever.” </w:t>
      </w:r>
    </w:p>
    <w:p w:rsidR="00A65F2E" w:rsidRDefault="00A65F2E" w:rsidP="009362F6">
      <w:pPr>
        <w:spacing w:line="360" w:lineRule="auto"/>
        <w:jc w:val="both"/>
        <w:rPr>
          <w:rFonts w:ascii="Times New Roman" w:hAnsi="Times New Roman" w:cs="Times New Roman"/>
          <w:sz w:val="24"/>
          <w:szCs w:val="24"/>
        </w:rPr>
      </w:pPr>
    </w:p>
    <w:p w:rsidR="00A65F2E" w:rsidRDefault="00A65F2E" w:rsidP="009362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also complained that he was deprived of his “farm” without the first respondent giving him an opportunity to be heard.  The failure to give the applicant an opportunity to be heard was</w:t>
      </w:r>
      <w:r w:rsidR="006251D5">
        <w:rPr>
          <w:rFonts w:ascii="Times New Roman" w:hAnsi="Times New Roman" w:cs="Times New Roman"/>
          <w:sz w:val="24"/>
          <w:szCs w:val="24"/>
        </w:rPr>
        <w:t xml:space="preserve"> so the applicant asserted,</w:t>
      </w:r>
      <w:r>
        <w:rPr>
          <w:rFonts w:ascii="Times New Roman" w:hAnsi="Times New Roman" w:cs="Times New Roman"/>
          <w:sz w:val="24"/>
          <w:szCs w:val="24"/>
        </w:rPr>
        <w:t xml:space="preserve"> a violation of s 3 of the Administrative Justice Act.  The applicant also complained that the second respondent had been </w:t>
      </w:r>
      <w:r w:rsidR="006251D5">
        <w:rPr>
          <w:rFonts w:ascii="Times New Roman" w:hAnsi="Times New Roman" w:cs="Times New Roman"/>
          <w:sz w:val="24"/>
          <w:szCs w:val="24"/>
        </w:rPr>
        <w:t xml:space="preserve">unduly </w:t>
      </w:r>
      <w:r>
        <w:rPr>
          <w:rFonts w:ascii="Times New Roman" w:hAnsi="Times New Roman" w:cs="Times New Roman"/>
          <w:sz w:val="24"/>
          <w:szCs w:val="24"/>
        </w:rPr>
        <w:t xml:space="preserve">preferred over him, </w:t>
      </w:r>
      <w:r w:rsidR="006251D5">
        <w:rPr>
          <w:rFonts w:ascii="Times New Roman" w:hAnsi="Times New Roman" w:cs="Times New Roman"/>
          <w:sz w:val="24"/>
          <w:szCs w:val="24"/>
        </w:rPr>
        <w:t xml:space="preserve">despite the fact that </w:t>
      </w:r>
      <w:r>
        <w:rPr>
          <w:rFonts w:ascii="Times New Roman" w:hAnsi="Times New Roman" w:cs="Times New Roman"/>
          <w:sz w:val="24"/>
          <w:szCs w:val="24"/>
        </w:rPr>
        <w:t xml:space="preserve">the second respondent was not recommended by the lands committee for </w:t>
      </w:r>
      <w:r w:rsidR="006251D5">
        <w:rPr>
          <w:rFonts w:ascii="Times New Roman" w:hAnsi="Times New Roman" w:cs="Times New Roman"/>
          <w:sz w:val="24"/>
          <w:szCs w:val="24"/>
        </w:rPr>
        <w:t>the</w:t>
      </w:r>
      <w:r>
        <w:rPr>
          <w:rFonts w:ascii="Times New Roman" w:hAnsi="Times New Roman" w:cs="Times New Roman"/>
          <w:sz w:val="24"/>
          <w:szCs w:val="24"/>
        </w:rPr>
        <w:t xml:space="preserve"> allocation.  He complained that the takeover of his “farm” and the deprivation of its use impacted negatively and adversely on his life because all his hopes had been built or anchored on the expectation that the issuing of the offer </w:t>
      </w:r>
      <w:r w:rsidR="009362F6">
        <w:rPr>
          <w:rFonts w:ascii="Times New Roman" w:hAnsi="Times New Roman" w:cs="Times New Roman"/>
          <w:sz w:val="24"/>
          <w:szCs w:val="24"/>
        </w:rPr>
        <w:t>letter would be a routine issue.</w:t>
      </w:r>
    </w:p>
    <w:p w:rsidR="00A65F2E" w:rsidRDefault="00A65F2E" w:rsidP="00936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third respondents did not file opposing papers.  They were automatically barred.  Only the second respondent opposed the application.  </w:t>
      </w:r>
      <w:r w:rsidR="006251D5">
        <w:rPr>
          <w:rFonts w:ascii="Times New Roman" w:hAnsi="Times New Roman" w:cs="Times New Roman"/>
          <w:sz w:val="24"/>
          <w:szCs w:val="24"/>
        </w:rPr>
        <w:t>He</w:t>
      </w:r>
      <w:r>
        <w:rPr>
          <w:rFonts w:ascii="Times New Roman" w:hAnsi="Times New Roman" w:cs="Times New Roman"/>
          <w:sz w:val="24"/>
          <w:szCs w:val="24"/>
        </w:rPr>
        <w:t xml:space="preserve"> averred that the court should decline its jurisdiction because the applicant did not exhaust </w:t>
      </w:r>
      <w:r w:rsidR="00C04540">
        <w:rPr>
          <w:rFonts w:ascii="Times New Roman" w:hAnsi="Times New Roman" w:cs="Times New Roman"/>
          <w:sz w:val="24"/>
          <w:szCs w:val="24"/>
        </w:rPr>
        <w:t xml:space="preserve">local or domestic </w:t>
      </w:r>
      <w:r>
        <w:rPr>
          <w:rFonts w:ascii="Times New Roman" w:hAnsi="Times New Roman" w:cs="Times New Roman"/>
          <w:sz w:val="24"/>
          <w:szCs w:val="24"/>
        </w:rPr>
        <w:t>remedies.  In particular, the second respondent averred that the applicant ha</w:t>
      </w:r>
      <w:r w:rsidR="006251D5">
        <w:rPr>
          <w:rFonts w:ascii="Times New Roman" w:hAnsi="Times New Roman" w:cs="Times New Roman"/>
          <w:sz w:val="24"/>
          <w:szCs w:val="24"/>
        </w:rPr>
        <w:t>d</w:t>
      </w:r>
      <w:r>
        <w:rPr>
          <w:rFonts w:ascii="Times New Roman" w:hAnsi="Times New Roman" w:cs="Times New Roman"/>
          <w:sz w:val="24"/>
          <w:szCs w:val="24"/>
        </w:rPr>
        <w:t xml:space="preserve"> by his </w:t>
      </w:r>
      <w:r w:rsidR="006251D5">
        <w:rPr>
          <w:rFonts w:ascii="Times New Roman" w:hAnsi="Times New Roman" w:cs="Times New Roman"/>
          <w:sz w:val="24"/>
          <w:szCs w:val="24"/>
        </w:rPr>
        <w:t xml:space="preserve">own </w:t>
      </w:r>
      <w:r>
        <w:rPr>
          <w:rFonts w:ascii="Times New Roman" w:hAnsi="Times New Roman" w:cs="Times New Roman"/>
          <w:sz w:val="24"/>
          <w:szCs w:val="24"/>
        </w:rPr>
        <w:t>admission lodge</w:t>
      </w:r>
      <w:r w:rsidR="006251D5">
        <w:rPr>
          <w:rFonts w:ascii="Times New Roman" w:hAnsi="Times New Roman" w:cs="Times New Roman"/>
          <w:sz w:val="24"/>
          <w:szCs w:val="24"/>
        </w:rPr>
        <w:t>d</w:t>
      </w:r>
      <w:r>
        <w:rPr>
          <w:rFonts w:ascii="Times New Roman" w:hAnsi="Times New Roman" w:cs="Times New Roman"/>
          <w:sz w:val="24"/>
          <w:szCs w:val="24"/>
        </w:rPr>
        <w:t xml:space="preserve"> a written complaint against the first respondent’s decision and that the second respondent was constitutionally mandated to deal with land dispute issues arising from circumstances as present themselves in this application.</w:t>
      </w:r>
    </w:p>
    <w:p w:rsidR="00A65F2E" w:rsidRDefault="00A65F2E" w:rsidP="009362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Zimbabwe Land Commission which is the third respondent is created by virtue of s 296 of the Constitution.  The Commission’s functions are set out in s 297 of the Constitution.  The functions which are </w:t>
      </w:r>
      <w:r w:rsidR="006251D5">
        <w:rPr>
          <w:rFonts w:ascii="Times New Roman" w:hAnsi="Times New Roman" w:cs="Times New Roman"/>
          <w:sz w:val="24"/>
          <w:szCs w:val="24"/>
        </w:rPr>
        <w:t>a</w:t>
      </w:r>
      <w:r>
        <w:rPr>
          <w:rFonts w:ascii="Times New Roman" w:hAnsi="Times New Roman" w:cs="Times New Roman"/>
          <w:sz w:val="24"/>
          <w:szCs w:val="24"/>
        </w:rPr>
        <w:t>pposite, s 297 in the relevant part read as follows:</w:t>
      </w:r>
    </w:p>
    <w:p w:rsidR="00A65F2E" w:rsidRPr="00B1161B" w:rsidRDefault="00A65F2E" w:rsidP="009362F6">
      <w:pPr>
        <w:spacing w:line="240" w:lineRule="auto"/>
        <w:jc w:val="both"/>
        <w:rPr>
          <w:rFonts w:ascii="Times New Roman" w:hAnsi="Times New Roman" w:cs="Times New Roman"/>
        </w:rPr>
      </w:pPr>
      <w:r>
        <w:rPr>
          <w:rFonts w:ascii="Times New Roman" w:hAnsi="Times New Roman" w:cs="Times New Roman"/>
          <w:sz w:val="24"/>
          <w:szCs w:val="24"/>
        </w:rPr>
        <w:tab/>
        <w:t>“</w:t>
      </w:r>
      <w:r w:rsidRPr="00B1161B">
        <w:rPr>
          <w:rFonts w:ascii="Times New Roman" w:hAnsi="Times New Roman" w:cs="Times New Roman"/>
        </w:rPr>
        <w:t>297:  Functions of Zimbabwe Land Commission</w:t>
      </w:r>
    </w:p>
    <w:p w:rsidR="00A65F2E" w:rsidRPr="00B1161B" w:rsidRDefault="00A65F2E" w:rsidP="009362F6">
      <w:pPr>
        <w:pStyle w:val="ListParagraph"/>
        <w:numPr>
          <w:ilvl w:val="0"/>
          <w:numId w:val="8"/>
        </w:numPr>
        <w:spacing w:line="240" w:lineRule="auto"/>
        <w:jc w:val="both"/>
        <w:rPr>
          <w:rFonts w:ascii="Times New Roman" w:hAnsi="Times New Roman" w:cs="Times New Roman"/>
        </w:rPr>
      </w:pPr>
      <w:r w:rsidRPr="00B1161B">
        <w:rPr>
          <w:rFonts w:ascii="Times New Roman" w:hAnsi="Times New Roman" w:cs="Times New Roman"/>
        </w:rPr>
        <w:t>The Zimbabwe Land Commission has the following functions –</w:t>
      </w:r>
    </w:p>
    <w:p w:rsidR="00A65F2E" w:rsidRPr="00B1161B" w:rsidRDefault="00A65F2E" w:rsidP="009362F6">
      <w:pPr>
        <w:pStyle w:val="ListParagraph"/>
        <w:numPr>
          <w:ilvl w:val="0"/>
          <w:numId w:val="9"/>
        </w:numPr>
        <w:spacing w:line="240" w:lineRule="auto"/>
        <w:jc w:val="both"/>
        <w:rPr>
          <w:rFonts w:ascii="Times New Roman" w:hAnsi="Times New Roman" w:cs="Times New Roman"/>
        </w:rPr>
      </w:pPr>
      <w:r w:rsidRPr="00B1161B">
        <w:rPr>
          <w:rFonts w:ascii="Times New Roman" w:hAnsi="Times New Roman" w:cs="Times New Roman"/>
        </w:rPr>
        <w:t>To ensure accountability, farmers and transparency in the administration of agricultural land that is vested in the State.</w:t>
      </w:r>
    </w:p>
    <w:p w:rsidR="00A65F2E" w:rsidRPr="00B1161B" w:rsidRDefault="00A65F2E" w:rsidP="009362F6">
      <w:pPr>
        <w:pStyle w:val="ListParagraph"/>
        <w:numPr>
          <w:ilvl w:val="0"/>
          <w:numId w:val="9"/>
        </w:numPr>
        <w:spacing w:line="240" w:lineRule="auto"/>
        <w:jc w:val="both"/>
        <w:rPr>
          <w:rFonts w:ascii="Times New Roman" w:hAnsi="Times New Roman" w:cs="Times New Roman"/>
        </w:rPr>
      </w:pPr>
      <w:r w:rsidRPr="00B1161B">
        <w:rPr>
          <w:rFonts w:ascii="Times New Roman" w:hAnsi="Times New Roman" w:cs="Times New Roman"/>
        </w:rPr>
        <w:t>……</w:t>
      </w:r>
    </w:p>
    <w:p w:rsidR="00A65F2E" w:rsidRPr="00B1161B" w:rsidRDefault="00A65F2E" w:rsidP="009362F6">
      <w:pPr>
        <w:pStyle w:val="ListParagraph"/>
        <w:numPr>
          <w:ilvl w:val="0"/>
          <w:numId w:val="9"/>
        </w:numPr>
        <w:spacing w:line="240" w:lineRule="auto"/>
        <w:jc w:val="both"/>
        <w:rPr>
          <w:rFonts w:ascii="Times New Roman" w:hAnsi="Times New Roman" w:cs="Times New Roman"/>
        </w:rPr>
      </w:pPr>
      <w:r w:rsidRPr="00B1161B">
        <w:rPr>
          <w:rFonts w:ascii="Times New Roman" w:hAnsi="Times New Roman" w:cs="Times New Roman"/>
        </w:rPr>
        <w:t>……</w:t>
      </w:r>
    </w:p>
    <w:p w:rsidR="00A65F2E" w:rsidRPr="00B1161B" w:rsidRDefault="00A65F2E" w:rsidP="009362F6">
      <w:pPr>
        <w:pStyle w:val="ListParagraph"/>
        <w:numPr>
          <w:ilvl w:val="0"/>
          <w:numId w:val="9"/>
        </w:numPr>
        <w:spacing w:line="240" w:lineRule="auto"/>
        <w:jc w:val="both"/>
        <w:rPr>
          <w:rFonts w:ascii="Times New Roman" w:hAnsi="Times New Roman" w:cs="Times New Roman"/>
        </w:rPr>
      </w:pPr>
      <w:r w:rsidRPr="00B1161B">
        <w:rPr>
          <w:rFonts w:ascii="Times New Roman" w:hAnsi="Times New Roman" w:cs="Times New Roman"/>
        </w:rPr>
        <w:t>To investigate and determine complainants and disputes regarding the supervision, administration and allocation of agricultural land</w:t>
      </w:r>
    </w:p>
    <w:p w:rsidR="00A65F2E" w:rsidRPr="00B1161B" w:rsidRDefault="00A65F2E" w:rsidP="009362F6">
      <w:pPr>
        <w:pStyle w:val="ListParagraph"/>
        <w:numPr>
          <w:ilvl w:val="0"/>
          <w:numId w:val="8"/>
        </w:numPr>
        <w:spacing w:line="240" w:lineRule="auto"/>
        <w:jc w:val="both"/>
        <w:rPr>
          <w:rFonts w:ascii="Times New Roman" w:hAnsi="Times New Roman" w:cs="Times New Roman"/>
        </w:rPr>
      </w:pPr>
      <w:r w:rsidRPr="00B1161B">
        <w:rPr>
          <w:rFonts w:ascii="Times New Roman" w:hAnsi="Times New Roman" w:cs="Times New Roman"/>
        </w:rPr>
        <w:t>– (6)  ………”</w:t>
      </w:r>
    </w:p>
    <w:p w:rsidR="00A65F2E" w:rsidRDefault="00A65F2E" w:rsidP="00936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gainsaying that the applicants’ complaint relates to the allocation of the plot which he considers should have been lawfully offered or allocated to him.  The third respondent is in existence and functional.  The applicant petitioned it in relation to the disputed lot which the applicant considers that </w:t>
      </w:r>
      <w:r w:rsidR="006251D5">
        <w:rPr>
          <w:rFonts w:ascii="Times New Roman" w:hAnsi="Times New Roman" w:cs="Times New Roman"/>
          <w:sz w:val="24"/>
          <w:szCs w:val="24"/>
        </w:rPr>
        <w:t>it</w:t>
      </w:r>
      <w:r>
        <w:rPr>
          <w:rFonts w:ascii="Times New Roman" w:hAnsi="Times New Roman" w:cs="Times New Roman"/>
          <w:sz w:val="24"/>
          <w:szCs w:val="24"/>
        </w:rPr>
        <w:t xml:space="preserve"> should </w:t>
      </w:r>
      <w:r w:rsidR="006251D5">
        <w:rPr>
          <w:rFonts w:ascii="Times New Roman" w:hAnsi="Times New Roman" w:cs="Times New Roman"/>
          <w:sz w:val="24"/>
          <w:szCs w:val="24"/>
        </w:rPr>
        <w:t xml:space="preserve">have been </w:t>
      </w:r>
      <w:r>
        <w:rPr>
          <w:rFonts w:ascii="Times New Roman" w:hAnsi="Times New Roman" w:cs="Times New Roman"/>
          <w:sz w:val="24"/>
          <w:szCs w:val="24"/>
        </w:rPr>
        <w:t>offered t</w:t>
      </w:r>
      <w:r w:rsidR="006251D5">
        <w:rPr>
          <w:rFonts w:ascii="Times New Roman" w:hAnsi="Times New Roman" w:cs="Times New Roman"/>
          <w:sz w:val="24"/>
          <w:szCs w:val="24"/>
        </w:rPr>
        <w:t>o</w:t>
      </w:r>
      <w:r>
        <w:rPr>
          <w:rFonts w:ascii="Times New Roman" w:hAnsi="Times New Roman" w:cs="Times New Roman"/>
          <w:sz w:val="24"/>
          <w:szCs w:val="24"/>
        </w:rPr>
        <w:t xml:space="preserve"> plot.  The third respondent is created specifically to deal with disputes of allocation of agricultural land.  It is its function to deal with such disputes by law which designates that the function to determine disputes on agricultural land </w:t>
      </w:r>
      <w:r>
        <w:rPr>
          <w:rFonts w:ascii="Times New Roman" w:hAnsi="Times New Roman" w:cs="Times New Roman"/>
          <w:sz w:val="24"/>
          <w:szCs w:val="24"/>
        </w:rPr>
        <w:lastRenderedPageBreak/>
        <w:t>allocation is given to the third respondent, not by any other enactment but by the Supreme Law of the land, the Constitution.</w:t>
      </w:r>
    </w:p>
    <w:p w:rsidR="00A65F2E" w:rsidRDefault="00A65F2E" w:rsidP="009362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is whether or not the court should take over a function explicitly reposed in a constitutional body by the Constitution which creates the body concerned.  Should the court in such an instance exercise a discretion to determine a matter in which there is a statute which reposes a certain power in a designated body which is functional and has received the complaint.  It is not a function of the court to promote the circumvention of determination of matters provided for determination by a created statutory body in this case the third respondent.  It would perhaps be an exception were the third respondent not </w:t>
      </w:r>
      <w:r w:rsidR="00551AD5">
        <w:rPr>
          <w:rFonts w:ascii="Times New Roman" w:hAnsi="Times New Roman" w:cs="Times New Roman"/>
          <w:sz w:val="24"/>
          <w:szCs w:val="24"/>
        </w:rPr>
        <w:t>be</w:t>
      </w:r>
      <w:r>
        <w:rPr>
          <w:rFonts w:ascii="Times New Roman" w:hAnsi="Times New Roman" w:cs="Times New Roman"/>
          <w:sz w:val="24"/>
          <w:szCs w:val="24"/>
        </w:rPr>
        <w:t xml:space="preserve"> in existence or </w:t>
      </w:r>
      <w:r w:rsidR="00551AD5">
        <w:rPr>
          <w:rFonts w:ascii="Times New Roman" w:hAnsi="Times New Roman" w:cs="Times New Roman"/>
          <w:sz w:val="24"/>
          <w:szCs w:val="24"/>
        </w:rPr>
        <w:t xml:space="preserve">was </w:t>
      </w:r>
      <w:r>
        <w:rPr>
          <w:rFonts w:ascii="Times New Roman" w:hAnsi="Times New Roman" w:cs="Times New Roman"/>
          <w:sz w:val="24"/>
          <w:szCs w:val="24"/>
        </w:rPr>
        <w:t>disfunctional.  The applicant would then in such a case rely on the inherent jurisdiction of this court to deal with any matter wherein the court’s jurisdiction is not excluded by any other law.</w:t>
      </w:r>
    </w:p>
    <w:p w:rsidR="00A65F2E" w:rsidRDefault="00A65F2E" w:rsidP="009362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the need to ex</w:t>
      </w:r>
      <w:r w:rsidR="00551AD5">
        <w:rPr>
          <w:rFonts w:ascii="Times New Roman" w:hAnsi="Times New Roman" w:cs="Times New Roman"/>
          <w:sz w:val="24"/>
          <w:szCs w:val="24"/>
        </w:rPr>
        <w:t>haus</w:t>
      </w:r>
      <w:r>
        <w:rPr>
          <w:rFonts w:ascii="Times New Roman" w:hAnsi="Times New Roman" w:cs="Times New Roman"/>
          <w:sz w:val="24"/>
          <w:szCs w:val="24"/>
        </w:rPr>
        <w:t xml:space="preserve">t domestic remedies first, the applicant submitted that the third respondent did not have power to reverse the decision of the first respondent and that therefore, there was no </w:t>
      </w:r>
      <w:r w:rsidR="00551AD5">
        <w:rPr>
          <w:rFonts w:ascii="Times New Roman" w:hAnsi="Times New Roman" w:cs="Times New Roman"/>
          <w:sz w:val="24"/>
          <w:szCs w:val="24"/>
        </w:rPr>
        <w:t xml:space="preserve">remedy </w:t>
      </w:r>
      <w:r>
        <w:rPr>
          <w:rFonts w:ascii="Times New Roman" w:hAnsi="Times New Roman" w:cs="Times New Roman"/>
          <w:sz w:val="24"/>
          <w:szCs w:val="24"/>
        </w:rPr>
        <w:t xml:space="preserve">which was available to him other than by </w:t>
      </w:r>
      <w:r w:rsidR="00551AD5">
        <w:rPr>
          <w:rFonts w:ascii="Times New Roman" w:hAnsi="Times New Roman" w:cs="Times New Roman"/>
          <w:sz w:val="24"/>
          <w:szCs w:val="24"/>
        </w:rPr>
        <w:t>invoking</w:t>
      </w:r>
      <w:r>
        <w:rPr>
          <w:rFonts w:ascii="Times New Roman" w:hAnsi="Times New Roman" w:cs="Times New Roman"/>
          <w:sz w:val="24"/>
          <w:szCs w:val="24"/>
        </w:rPr>
        <w:t xml:space="preserve"> of the provisions of the Administrative Justice Act.  I do not agree.  The third respondent operates in terms of the Land Commission Act, [</w:t>
      </w:r>
      <w:r w:rsidRPr="000674AB">
        <w:rPr>
          <w:rFonts w:ascii="Times New Roman" w:hAnsi="Times New Roman" w:cs="Times New Roman"/>
          <w:i/>
          <w:iCs/>
          <w:sz w:val="24"/>
          <w:szCs w:val="24"/>
        </w:rPr>
        <w:t>Chapter 20:29</w:t>
      </w:r>
      <w:r>
        <w:rPr>
          <w:rFonts w:ascii="Times New Roman" w:hAnsi="Times New Roman" w:cs="Times New Roman"/>
          <w:sz w:val="24"/>
          <w:szCs w:val="24"/>
        </w:rPr>
        <w:t>].  In terms thereof, the provisions of s 297(1)(d) of the Constitution were imported into s 9(1) of the Act which provides as follows:</w:t>
      </w:r>
    </w:p>
    <w:p w:rsidR="00A65F2E" w:rsidRPr="000674AB" w:rsidRDefault="00A65F2E" w:rsidP="009362F6">
      <w:pPr>
        <w:spacing w:line="240" w:lineRule="auto"/>
        <w:ind w:firstLine="720"/>
        <w:jc w:val="both"/>
        <w:rPr>
          <w:rFonts w:ascii="Times New Roman" w:hAnsi="Times New Roman" w:cs="Times New Roman"/>
        </w:rPr>
      </w:pPr>
      <w:r>
        <w:rPr>
          <w:rFonts w:ascii="Times New Roman" w:hAnsi="Times New Roman" w:cs="Times New Roman"/>
          <w:sz w:val="24"/>
          <w:szCs w:val="24"/>
        </w:rPr>
        <w:t>“</w:t>
      </w:r>
      <w:r w:rsidRPr="00FE2CF5">
        <w:rPr>
          <w:rFonts w:ascii="Times New Roman" w:hAnsi="Times New Roman" w:cs="Times New Roman"/>
          <w:b/>
          <w:bCs/>
        </w:rPr>
        <w:t>9  Jurisdiction of Commission to conduct investigations</w:t>
      </w:r>
    </w:p>
    <w:p w:rsidR="00A65F2E" w:rsidRPr="000674AB" w:rsidRDefault="00A65F2E" w:rsidP="009362F6">
      <w:pPr>
        <w:pStyle w:val="ListParagraph"/>
        <w:numPr>
          <w:ilvl w:val="0"/>
          <w:numId w:val="10"/>
        </w:numPr>
        <w:spacing w:line="240" w:lineRule="auto"/>
        <w:jc w:val="both"/>
        <w:rPr>
          <w:rFonts w:ascii="Times New Roman" w:hAnsi="Times New Roman" w:cs="Times New Roman"/>
        </w:rPr>
      </w:pPr>
      <w:r w:rsidRPr="000674AB">
        <w:rPr>
          <w:rFonts w:ascii="Times New Roman" w:hAnsi="Times New Roman" w:cs="Times New Roman"/>
        </w:rPr>
        <w:t>Any person having a complaint or affected by a dispute regarding the supervision, administration and allocation of agricultural land may make a written complaint to the Commission requesting it to investigate such complainant or dispute …</w:t>
      </w:r>
    </w:p>
    <w:p w:rsidR="00A65F2E" w:rsidRPr="000674AB" w:rsidRDefault="00A65F2E" w:rsidP="009362F6">
      <w:pPr>
        <w:pStyle w:val="ListParagraph"/>
        <w:numPr>
          <w:ilvl w:val="0"/>
          <w:numId w:val="10"/>
        </w:numPr>
        <w:spacing w:line="240" w:lineRule="auto"/>
        <w:jc w:val="both"/>
        <w:rPr>
          <w:rFonts w:ascii="Times New Roman" w:hAnsi="Times New Roman" w:cs="Times New Roman"/>
        </w:rPr>
      </w:pPr>
      <w:r w:rsidRPr="000674AB">
        <w:rPr>
          <w:rFonts w:ascii="Times New Roman" w:hAnsi="Times New Roman" w:cs="Times New Roman"/>
        </w:rPr>
        <w:t>– (3) ……..”</w:t>
      </w:r>
    </w:p>
    <w:p w:rsidR="00A65F2E" w:rsidRDefault="00A65F2E" w:rsidP="009362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the powers of the third respondent after audit or investigation, the powers are set out in s 14 of the Act.  The provisions of s 14 provides as follows:</w:t>
      </w:r>
    </w:p>
    <w:p w:rsidR="00A65F2E" w:rsidRPr="009F0DB9" w:rsidRDefault="00A65F2E" w:rsidP="009362F6">
      <w:pPr>
        <w:spacing w:line="240" w:lineRule="auto"/>
        <w:ind w:firstLine="720"/>
        <w:jc w:val="both"/>
        <w:rPr>
          <w:rFonts w:ascii="Times New Roman" w:hAnsi="Times New Roman" w:cs="Times New Roman"/>
          <w:b/>
          <w:bCs/>
        </w:rPr>
      </w:pPr>
      <w:r>
        <w:rPr>
          <w:rFonts w:ascii="Times New Roman" w:hAnsi="Times New Roman" w:cs="Times New Roman"/>
          <w:sz w:val="24"/>
          <w:szCs w:val="24"/>
        </w:rPr>
        <w:t>“</w:t>
      </w:r>
      <w:r w:rsidRPr="009F0DB9">
        <w:rPr>
          <w:rFonts w:ascii="Times New Roman" w:hAnsi="Times New Roman" w:cs="Times New Roman"/>
          <w:b/>
          <w:bCs/>
        </w:rPr>
        <w:t>14  Proceedings after audit or investigation</w:t>
      </w:r>
    </w:p>
    <w:p w:rsidR="00A65F2E" w:rsidRPr="00AE4217" w:rsidRDefault="00A65F2E" w:rsidP="00AE4217">
      <w:pPr>
        <w:pStyle w:val="ListParagraph"/>
        <w:numPr>
          <w:ilvl w:val="0"/>
          <w:numId w:val="15"/>
        </w:numPr>
        <w:spacing w:line="240" w:lineRule="auto"/>
        <w:jc w:val="both"/>
        <w:rPr>
          <w:rFonts w:ascii="Times New Roman" w:hAnsi="Times New Roman" w:cs="Times New Roman"/>
        </w:rPr>
      </w:pPr>
      <w:r w:rsidRPr="00AE4217">
        <w:rPr>
          <w:rFonts w:ascii="Times New Roman" w:hAnsi="Times New Roman" w:cs="Times New Roman"/>
        </w:rPr>
        <w:t>If, after conducting an audit or investigation, the Commission considers that the action or omission which was the subject-matter of the audit or investigation constitutes grounds for a criminal prosecution or delictual action, or involves any sanctionable breach of a constitutional right or statutory duty, and that – delictual action, or involves any sanctionable breach of a constitutional right or statutory duty, and that –</w:t>
      </w:r>
    </w:p>
    <w:p w:rsidR="00A65F2E" w:rsidRDefault="00A65F2E" w:rsidP="00AE4217">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t>the action or omission relates to any decision or practice on the part of any public authority which needs to be abolished, cancelled, reversed, varied or altered; or</w:t>
      </w:r>
    </w:p>
    <w:p w:rsidR="00A65F2E" w:rsidRDefault="00A65F2E" w:rsidP="00AE4217">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t>the issue giving rise to the complaint should be given further consideration by the public authority against whom or which the complaint was made; or</w:t>
      </w:r>
    </w:p>
    <w:p w:rsidR="00A65F2E" w:rsidRDefault="00A65F2E" w:rsidP="00AE4217">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lastRenderedPageBreak/>
        <w:t xml:space="preserve">the action or omission should be rectified; or </w:t>
      </w:r>
    </w:p>
    <w:p w:rsidR="00A65F2E" w:rsidRDefault="00A65F2E" w:rsidP="00AE4217">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t>any law on which the act or omission was based should be reconsidered; or</w:t>
      </w:r>
    </w:p>
    <w:p w:rsidR="00A65F2E" w:rsidRDefault="00A65F2E" w:rsidP="00AE4217">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t xml:space="preserve">reasons should have been given for any decision complained against; or </w:t>
      </w:r>
    </w:p>
    <w:p w:rsidR="00A65F2E" w:rsidRDefault="00A65F2E" w:rsidP="00AE4217">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t xml:space="preserve">any other steps should be taken in relation to the action or omission complained against; </w:t>
      </w:r>
      <w:r w:rsidRPr="003820DA">
        <w:rPr>
          <w:rFonts w:ascii="Times New Roman" w:hAnsi="Times New Roman" w:cs="Times New Roman"/>
        </w:rPr>
        <w:t>the Com</w:t>
      </w:r>
      <w:r>
        <w:rPr>
          <w:rFonts w:ascii="Times New Roman" w:hAnsi="Times New Roman" w:cs="Times New Roman"/>
        </w:rPr>
        <w:t>mission shall report its finding to the public authority or person against whom the complaint was made and may make such recommendations as it thinks fit and shall also send a copy of its report and recommendations to the Minister.</w:t>
      </w:r>
    </w:p>
    <w:p w:rsidR="00AE4217" w:rsidRPr="003820DA" w:rsidRDefault="00AE4217" w:rsidP="00AE4217">
      <w:pPr>
        <w:pStyle w:val="ListParagraph"/>
        <w:spacing w:line="240" w:lineRule="auto"/>
        <w:ind w:left="1134"/>
        <w:jc w:val="both"/>
        <w:rPr>
          <w:rFonts w:ascii="Times New Roman" w:hAnsi="Times New Roman" w:cs="Times New Roman"/>
        </w:rPr>
      </w:pPr>
    </w:p>
    <w:p w:rsidR="00A65F2E" w:rsidRPr="00BE0398" w:rsidRDefault="00A65F2E" w:rsidP="00BE0398">
      <w:pPr>
        <w:pStyle w:val="ListParagraph"/>
        <w:numPr>
          <w:ilvl w:val="0"/>
          <w:numId w:val="15"/>
        </w:numPr>
        <w:spacing w:line="240" w:lineRule="auto"/>
        <w:jc w:val="both"/>
        <w:rPr>
          <w:rFonts w:ascii="Times New Roman" w:hAnsi="Times New Roman" w:cs="Times New Roman"/>
        </w:rPr>
      </w:pPr>
      <w:r w:rsidRPr="00BE0398">
        <w:rPr>
          <w:rFonts w:ascii="Times New Roman" w:hAnsi="Times New Roman" w:cs="Times New Roman"/>
        </w:rPr>
        <w:t>In particular, the Commission may, where it considers it necessary, recommend-</w:t>
      </w:r>
    </w:p>
    <w:p w:rsidR="00A65F2E" w:rsidRDefault="00A65F2E" w:rsidP="00BE0398">
      <w:pPr>
        <w:pStyle w:val="ListParagraph"/>
        <w:numPr>
          <w:ilvl w:val="0"/>
          <w:numId w:val="17"/>
        </w:numPr>
        <w:spacing w:line="240" w:lineRule="auto"/>
        <w:jc w:val="both"/>
        <w:rPr>
          <w:rFonts w:ascii="Times New Roman" w:hAnsi="Times New Roman" w:cs="Times New Roman"/>
        </w:rPr>
      </w:pPr>
      <w:r>
        <w:rPr>
          <w:rFonts w:ascii="Times New Roman" w:hAnsi="Times New Roman" w:cs="Times New Roman"/>
        </w:rPr>
        <w:t>specific remedial measures in favour of a person aggrieved by an action or omission giving rise to the complaint or dispute; or</w:t>
      </w:r>
    </w:p>
    <w:p w:rsidR="00A65F2E" w:rsidRDefault="00A65F2E" w:rsidP="00BE0398">
      <w:pPr>
        <w:pStyle w:val="ListParagraph"/>
        <w:numPr>
          <w:ilvl w:val="0"/>
          <w:numId w:val="17"/>
        </w:numPr>
        <w:spacing w:line="240" w:lineRule="auto"/>
        <w:jc w:val="both"/>
        <w:rPr>
          <w:rFonts w:ascii="Times New Roman" w:hAnsi="Times New Roman" w:cs="Times New Roman"/>
        </w:rPr>
      </w:pPr>
      <w:r>
        <w:rPr>
          <w:rFonts w:ascii="Times New Roman" w:hAnsi="Times New Roman" w:cs="Times New Roman"/>
        </w:rPr>
        <w:t>that the complainant seek redress in a court of law.</w:t>
      </w:r>
    </w:p>
    <w:p w:rsidR="00A65F2E" w:rsidRPr="00BE0398" w:rsidRDefault="00A65F2E" w:rsidP="00BE0398">
      <w:pPr>
        <w:pStyle w:val="ListParagraph"/>
        <w:numPr>
          <w:ilvl w:val="0"/>
          <w:numId w:val="15"/>
        </w:numPr>
        <w:spacing w:line="240" w:lineRule="auto"/>
        <w:jc w:val="both"/>
        <w:rPr>
          <w:rFonts w:ascii="Times New Roman" w:hAnsi="Times New Roman" w:cs="Times New Roman"/>
        </w:rPr>
      </w:pPr>
      <w:r w:rsidRPr="00BE0398">
        <w:rPr>
          <w:rFonts w:ascii="Times New Roman" w:hAnsi="Times New Roman" w:cs="Times New Roman"/>
        </w:rPr>
        <w:t>The Commission may request the authority or person in relation to whom or which it made any recommendation to notify it, within a specified time, of the steps, if any, that it proposes to take to give effect to its recommendation.</w:t>
      </w:r>
    </w:p>
    <w:p w:rsidR="00A65F2E" w:rsidRPr="00BE0398" w:rsidRDefault="00A65F2E" w:rsidP="00BE0398">
      <w:pPr>
        <w:pStyle w:val="ListParagraph"/>
        <w:numPr>
          <w:ilvl w:val="0"/>
          <w:numId w:val="15"/>
        </w:numPr>
        <w:spacing w:line="240" w:lineRule="auto"/>
        <w:jc w:val="both"/>
        <w:rPr>
          <w:rFonts w:ascii="Times New Roman" w:hAnsi="Times New Roman" w:cs="Times New Roman"/>
        </w:rPr>
      </w:pPr>
      <w:r w:rsidRPr="00BE0398">
        <w:rPr>
          <w:rFonts w:ascii="Times New Roman" w:hAnsi="Times New Roman" w:cs="Times New Roman"/>
        </w:rPr>
        <w:t>If, within a reasonable time after a report is made in terms of subsection (1), no action is taken which, in the opinion of the Commission, is adequate and appropriate, the Commission may, if it thinks fit after considering the comments, if any, made by or on behalf of any authority or person affected, submit a special report on the case to the Minister to present to the President and lay before Parliament.</w:t>
      </w:r>
    </w:p>
    <w:p w:rsidR="00A65F2E" w:rsidRDefault="00A65F2E" w:rsidP="009362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a reading of s 14 that the conduct of a public authority is subject to investigation and this includes the third respondent.  Public authority is defined in the interpretation s of the Act as:</w:t>
      </w:r>
    </w:p>
    <w:p w:rsidR="00A65F2E" w:rsidRPr="00F450B0" w:rsidRDefault="00A65F2E" w:rsidP="00F450B0">
      <w:pPr>
        <w:spacing w:line="240" w:lineRule="auto"/>
        <w:ind w:left="720"/>
        <w:jc w:val="both"/>
        <w:rPr>
          <w:rFonts w:ascii="Times New Roman" w:hAnsi="Times New Roman" w:cs="Times New Roman"/>
        </w:rPr>
      </w:pPr>
      <w:r w:rsidRPr="00F450B0">
        <w:rPr>
          <w:rFonts w:ascii="Times New Roman" w:hAnsi="Times New Roman" w:cs="Times New Roman"/>
        </w:rPr>
        <w:t>“public authority” in relation to an authority or official against whom or which any complaint has been made in terms of s 10 means any person, body, organ, agency or restitution belonging to or controlled or employed by the State, a local authority or statutory body.”</w:t>
      </w:r>
    </w:p>
    <w:p w:rsidR="00F450B0" w:rsidRPr="00F450B0" w:rsidRDefault="00A65F2E" w:rsidP="00AE42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nothing in the Act to s</w:t>
      </w:r>
      <w:r w:rsidR="00551AD5">
        <w:rPr>
          <w:rFonts w:ascii="Times New Roman" w:hAnsi="Times New Roman" w:cs="Times New Roman"/>
          <w:sz w:val="24"/>
          <w:szCs w:val="24"/>
        </w:rPr>
        <w:t>uggest</w:t>
      </w:r>
      <w:r>
        <w:rPr>
          <w:rFonts w:ascii="Times New Roman" w:hAnsi="Times New Roman" w:cs="Times New Roman"/>
          <w:sz w:val="24"/>
          <w:szCs w:val="24"/>
        </w:rPr>
        <w:t xml:space="preserve"> that the third respondent</w:t>
      </w:r>
      <w:r w:rsidR="00F450B0">
        <w:rPr>
          <w:rFonts w:ascii="Times New Roman" w:hAnsi="Times New Roman" w:cs="Times New Roman"/>
          <w:sz w:val="24"/>
          <w:szCs w:val="24"/>
        </w:rPr>
        <w:t>s’ a</w:t>
      </w:r>
      <w:r w:rsidR="00F450B0" w:rsidRPr="00F450B0">
        <w:rPr>
          <w:rFonts w:ascii="Times New Roman" w:hAnsi="Times New Roman" w:cs="Times New Roman"/>
          <w:sz w:val="24"/>
          <w:szCs w:val="24"/>
        </w:rPr>
        <w:t xml:space="preserve">llocation of land  </w:t>
      </w:r>
      <w:r w:rsidR="00551AD5">
        <w:rPr>
          <w:rFonts w:ascii="Times New Roman" w:hAnsi="Times New Roman" w:cs="Times New Roman"/>
          <w:sz w:val="24"/>
          <w:szCs w:val="24"/>
        </w:rPr>
        <w:t xml:space="preserve">through </w:t>
      </w:r>
      <w:r w:rsidR="00F450B0" w:rsidRPr="00F450B0">
        <w:rPr>
          <w:rFonts w:ascii="Times New Roman" w:hAnsi="Times New Roman" w:cs="Times New Roman"/>
          <w:sz w:val="24"/>
          <w:szCs w:val="24"/>
        </w:rPr>
        <w:t>offer letters generated by the  Minister responsible  for the administration of the Act i</w:t>
      </w:r>
      <w:r w:rsidR="00F450B0">
        <w:rPr>
          <w:rFonts w:ascii="Times New Roman" w:hAnsi="Times New Roman" w:cs="Times New Roman"/>
          <w:sz w:val="24"/>
          <w:szCs w:val="24"/>
        </w:rPr>
        <w:t>s  final  and no</w:t>
      </w:r>
      <w:r w:rsidR="00551AD5">
        <w:rPr>
          <w:rFonts w:ascii="Times New Roman" w:hAnsi="Times New Roman" w:cs="Times New Roman"/>
          <w:sz w:val="24"/>
          <w:szCs w:val="24"/>
        </w:rPr>
        <w:t>t</w:t>
      </w:r>
      <w:r w:rsidR="00F450B0">
        <w:rPr>
          <w:rFonts w:ascii="Times New Roman" w:hAnsi="Times New Roman" w:cs="Times New Roman"/>
          <w:sz w:val="24"/>
          <w:szCs w:val="24"/>
        </w:rPr>
        <w:t xml:space="preserve"> subject to a </w:t>
      </w:r>
      <w:r w:rsidR="00F450B0" w:rsidRPr="00F450B0">
        <w:rPr>
          <w:rFonts w:ascii="Times New Roman" w:hAnsi="Times New Roman" w:cs="Times New Roman"/>
          <w:sz w:val="24"/>
          <w:szCs w:val="24"/>
        </w:rPr>
        <w:t>complaint which the third respondent  may receive</w:t>
      </w:r>
      <w:r w:rsidR="00551AD5">
        <w:rPr>
          <w:rFonts w:ascii="Times New Roman" w:hAnsi="Times New Roman" w:cs="Times New Roman"/>
          <w:sz w:val="24"/>
          <w:szCs w:val="24"/>
        </w:rPr>
        <w:t>,</w:t>
      </w:r>
      <w:r w:rsidR="00F450B0" w:rsidRPr="00F450B0">
        <w:rPr>
          <w:rFonts w:ascii="Times New Roman" w:hAnsi="Times New Roman" w:cs="Times New Roman"/>
          <w:sz w:val="24"/>
          <w:szCs w:val="24"/>
        </w:rPr>
        <w:t xml:space="preserve"> investigate and  make recommendations  </w:t>
      </w:r>
      <w:r w:rsidR="00551AD5">
        <w:rPr>
          <w:rFonts w:ascii="Times New Roman" w:hAnsi="Times New Roman" w:cs="Times New Roman"/>
          <w:sz w:val="24"/>
          <w:szCs w:val="24"/>
        </w:rPr>
        <w:t xml:space="preserve">on </w:t>
      </w:r>
      <w:r w:rsidR="00F450B0" w:rsidRPr="00F450B0">
        <w:rPr>
          <w:rFonts w:ascii="Times New Roman" w:hAnsi="Times New Roman" w:cs="Times New Roman"/>
          <w:sz w:val="24"/>
          <w:szCs w:val="24"/>
        </w:rPr>
        <w:t>for a correction</w:t>
      </w:r>
      <w:r w:rsidR="00551AD5">
        <w:rPr>
          <w:rFonts w:ascii="Times New Roman" w:hAnsi="Times New Roman" w:cs="Times New Roman"/>
          <w:sz w:val="24"/>
          <w:szCs w:val="24"/>
        </w:rPr>
        <w:t>.</w:t>
      </w:r>
      <w:r w:rsidR="00F450B0" w:rsidRPr="00F450B0">
        <w:rPr>
          <w:rFonts w:ascii="Times New Roman" w:hAnsi="Times New Roman" w:cs="Times New Roman"/>
          <w:sz w:val="24"/>
          <w:szCs w:val="24"/>
        </w:rPr>
        <w:t xml:space="preserve"> </w:t>
      </w:r>
      <w:r w:rsidR="00551AD5">
        <w:rPr>
          <w:rFonts w:ascii="Times New Roman" w:hAnsi="Times New Roman" w:cs="Times New Roman"/>
          <w:sz w:val="24"/>
          <w:szCs w:val="24"/>
        </w:rPr>
        <w:t>T</w:t>
      </w:r>
      <w:r w:rsidR="00F450B0" w:rsidRPr="00F450B0">
        <w:rPr>
          <w:rFonts w:ascii="Times New Roman" w:hAnsi="Times New Roman" w:cs="Times New Roman"/>
          <w:sz w:val="24"/>
          <w:szCs w:val="24"/>
        </w:rPr>
        <w:t xml:space="preserve">here is </w:t>
      </w:r>
      <w:r w:rsidR="00551AD5">
        <w:rPr>
          <w:rFonts w:ascii="Times New Roman" w:hAnsi="Times New Roman" w:cs="Times New Roman"/>
          <w:sz w:val="24"/>
          <w:szCs w:val="24"/>
        </w:rPr>
        <w:t xml:space="preserve">also </w:t>
      </w:r>
      <w:r w:rsidR="00F450B0" w:rsidRPr="00F450B0">
        <w:rPr>
          <w:rFonts w:ascii="Times New Roman" w:hAnsi="Times New Roman" w:cs="Times New Roman"/>
          <w:sz w:val="24"/>
          <w:szCs w:val="24"/>
        </w:rPr>
        <w:t xml:space="preserve">nothing to indicate </w:t>
      </w:r>
      <w:r w:rsidR="00551AD5" w:rsidRPr="00F450B0">
        <w:rPr>
          <w:rFonts w:ascii="Times New Roman" w:hAnsi="Times New Roman" w:cs="Times New Roman"/>
          <w:sz w:val="24"/>
          <w:szCs w:val="24"/>
        </w:rPr>
        <w:t>that the</w:t>
      </w:r>
      <w:r w:rsidR="00F450B0" w:rsidRPr="00F450B0">
        <w:rPr>
          <w:rFonts w:ascii="Times New Roman" w:hAnsi="Times New Roman" w:cs="Times New Roman"/>
          <w:sz w:val="24"/>
          <w:szCs w:val="24"/>
        </w:rPr>
        <w:t xml:space="preserve"> Minister may not adopt </w:t>
      </w:r>
      <w:r w:rsidR="00551AD5" w:rsidRPr="00F450B0">
        <w:rPr>
          <w:rFonts w:ascii="Times New Roman" w:hAnsi="Times New Roman" w:cs="Times New Roman"/>
          <w:sz w:val="24"/>
          <w:szCs w:val="24"/>
        </w:rPr>
        <w:t>the recommendation</w:t>
      </w:r>
      <w:r w:rsidR="00F450B0" w:rsidRPr="00F450B0">
        <w:rPr>
          <w:rFonts w:ascii="Times New Roman" w:hAnsi="Times New Roman" w:cs="Times New Roman"/>
          <w:sz w:val="24"/>
          <w:szCs w:val="24"/>
        </w:rPr>
        <w:t xml:space="preserve"> </w:t>
      </w:r>
      <w:r w:rsidR="00551AD5" w:rsidRPr="00F450B0">
        <w:rPr>
          <w:rFonts w:ascii="Times New Roman" w:hAnsi="Times New Roman" w:cs="Times New Roman"/>
          <w:sz w:val="24"/>
          <w:szCs w:val="24"/>
        </w:rPr>
        <w:t>made which</w:t>
      </w:r>
      <w:r w:rsidR="00F450B0" w:rsidRPr="00F450B0">
        <w:rPr>
          <w:rFonts w:ascii="Times New Roman" w:hAnsi="Times New Roman" w:cs="Times New Roman"/>
          <w:sz w:val="24"/>
          <w:szCs w:val="24"/>
        </w:rPr>
        <w:t xml:space="preserve"> may include that an offer </w:t>
      </w:r>
      <w:r w:rsidR="00551AD5">
        <w:rPr>
          <w:rFonts w:ascii="Times New Roman" w:hAnsi="Times New Roman" w:cs="Times New Roman"/>
          <w:sz w:val="24"/>
          <w:szCs w:val="24"/>
        </w:rPr>
        <w:t>letter</w:t>
      </w:r>
      <w:r w:rsidR="00F450B0" w:rsidRPr="00F450B0">
        <w:rPr>
          <w:rFonts w:ascii="Times New Roman" w:hAnsi="Times New Roman" w:cs="Times New Roman"/>
          <w:sz w:val="24"/>
          <w:szCs w:val="24"/>
        </w:rPr>
        <w:t xml:space="preserve"> is withdrawn </w:t>
      </w:r>
      <w:r w:rsidR="00551AD5" w:rsidRPr="00F450B0">
        <w:rPr>
          <w:rFonts w:ascii="Times New Roman" w:hAnsi="Times New Roman" w:cs="Times New Roman"/>
          <w:sz w:val="24"/>
          <w:szCs w:val="24"/>
        </w:rPr>
        <w:t>or an</w:t>
      </w:r>
      <w:r w:rsidR="00F450B0" w:rsidRPr="00F450B0">
        <w:rPr>
          <w:rFonts w:ascii="Times New Roman" w:hAnsi="Times New Roman" w:cs="Times New Roman"/>
          <w:sz w:val="24"/>
          <w:szCs w:val="24"/>
        </w:rPr>
        <w:t xml:space="preserve"> offer letter is issued. It will be noted that the third respondent may even recommend to the complainant that he or she escalates the dispute to the courts for determination. The argument that the applicant would not obtain relief were he to follow the domestic remedy of referring the dispute to the third respondent was incorrect. </w:t>
      </w:r>
    </w:p>
    <w:p w:rsidR="00F450B0" w:rsidRPr="00F450B0" w:rsidRDefault="00F450B0" w:rsidP="00AE4217">
      <w:pPr>
        <w:spacing w:after="0" w:line="360" w:lineRule="auto"/>
        <w:jc w:val="both"/>
        <w:rPr>
          <w:rFonts w:ascii="Times New Roman" w:hAnsi="Times New Roman" w:cs="Times New Roman"/>
          <w:sz w:val="24"/>
          <w:szCs w:val="24"/>
        </w:rPr>
      </w:pPr>
      <w:r w:rsidRPr="00F450B0">
        <w:rPr>
          <w:rFonts w:ascii="Times New Roman" w:hAnsi="Times New Roman" w:cs="Times New Roman"/>
          <w:sz w:val="24"/>
          <w:szCs w:val="24"/>
        </w:rPr>
        <w:tab/>
        <w:t>In regard to th</w:t>
      </w:r>
      <w:r w:rsidR="00551AD5">
        <w:rPr>
          <w:rFonts w:ascii="Times New Roman" w:hAnsi="Times New Roman" w:cs="Times New Roman"/>
          <w:sz w:val="24"/>
          <w:szCs w:val="24"/>
        </w:rPr>
        <w:t>is</w:t>
      </w:r>
      <w:r w:rsidRPr="00F450B0">
        <w:rPr>
          <w:rFonts w:ascii="Times New Roman" w:hAnsi="Times New Roman" w:cs="Times New Roman"/>
          <w:sz w:val="24"/>
          <w:szCs w:val="24"/>
        </w:rPr>
        <w:t xml:space="preserve"> application</w:t>
      </w:r>
      <w:r w:rsidR="00551AD5">
        <w:rPr>
          <w:rFonts w:ascii="Times New Roman" w:hAnsi="Times New Roman" w:cs="Times New Roman"/>
          <w:sz w:val="24"/>
          <w:szCs w:val="24"/>
        </w:rPr>
        <w:t>,</w:t>
      </w:r>
      <w:r w:rsidRPr="00F450B0">
        <w:rPr>
          <w:rFonts w:ascii="Times New Roman" w:hAnsi="Times New Roman" w:cs="Times New Roman"/>
          <w:sz w:val="24"/>
          <w:szCs w:val="24"/>
        </w:rPr>
        <w:t xml:space="preserve"> even assuming that I should  agree to exercise jurisdiction as prayed  for  by the  applica</w:t>
      </w:r>
      <w:r w:rsidR="00006B1C">
        <w:rPr>
          <w:rFonts w:ascii="Times New Roman" w:hAnsi="Times New Roman" w:cs="Times New Roman"/>
          <w:sz w:val="24"/>
          <w:szCs w:val="24"/>
        </w:rPr>
        <w:t>nt</w:t>
      </w:r>
      <w:r w:rsidRPr="00F450B0">
        <w:rPr>
          <w:rFonts w:ascii="Times New Roman" w:hAnsi="Times New Roman" w:cs="Times New Roman"/>
          <w:sz w:val="24"/>
          <w:szCs w:val="24"/>
        </w:rPr>
        <w:t xml:space="preserve">, the issues arising require an investigation of  the paper trial </w:t>
      </w:r>
      <w:r w:rsidRPr="00F450B0">
        <w:rPr>
          <w:rFonts w:ascii="Times New Roman" w:hAnsi="Times New Roman" w:cs="Times New Roman"/>
          <w:sz w:val="24"/>
          <w:szCs w:val="24"/>
        </w:rPr>
        <w:lastRenderedPageBreak/>
        <w:t>surrounding the applicant’s  occupancy  of the plot from the  o</w:t>
      </w:r>
      <w:r w:rsidR="00006B1C">
        <w:rPr>
          <w:rFonts w:ascii="Times New Roman" w:hAnsi="Times New Roman" w:cs="Times New Roman"/>
          <w:sz w:val="24"/>
          <w:szCs w:val="24"/>
        </w:rPr>
        <w:t>n</w:t>
      </w:r>
      <w:r w:rsidRPr="00F450B0">
        <w:rPr>
          <w:rFonts w:ascii="Times New Roman" w:hAnsi="Times New Roman" w:cs="Times New Roman"/>
          <w:sz w:val="24"/>
          <w:szCs w:val="24"/>
        </w:rPr>
        <w:t xml:space="preserve">set  and all developments and  processes which have taken place. The third respondent is eminently in the best position to carry out the investigation and answer the applicant’s complaint. Further even </w:t>
      </w:r>
      <w:r w:rsidR="00006B1C" w:rsidRPr="00F450B0">
        <w:rPr>
          <w:rFonts w:ascii="Times New Roman" w:hAnsi="Times New Roman" w:cs="Times New Roman"/>
          <w:sz w:val="24"/>
          <w:szCs w:val="24"/>
        </w:rPr>
        <w:t>if it</w:t>
      </w:r>
      <w:r w:rsidRPr="00F450B0">
        <w:rPr>
          <w:rFonts w:ascii="Times New Roman" w:hAnsi="Times New Roman" w:cs="Times New Roman"/>
          <w:sz w:val="24"/>
          <w:szCs w:val="24"/>
        </w:rPr>
        <w:t xml:space="preserve"> is accepted that there is nothing to stop the court from dealing with the dispute on review</w:t>
      </w:r>
      <w:r w:rsidR="00551AD5">
        <w:rPr>
          <w:rFonts w:ascii="Times New Roman" w:hAnsi="Times New Roman" w:cs="Times New Roman"/>
          <w:sz w:val="24"/>
          <w:szCs w:val="24"/>
        </w:rPr>
        <w:t>,</w:t>
      </w:r>
      <w:r w:rsidRPr="00F450B0">
        <w:rPr>
          <w:rFonts w:ascii="Times New Roman" w:hAnsi="Times New Roman" w:cs="Times New Roman"/>
          <w:sz w:val="24"/>
          <w:szCs w:val="24"/>
        </w:rPr>
        <w:t xml:space="preserve"> it would be a matter of exercising a judicious </w:t>
      </w:r>
      <w:r w:rsidR="00006B1C" w:rsidRPr="00F450B0">
        <w:rPr>
          <w:rFonts w:ascii="Times New Roman" w:hAnsi="Times New Roman" w:cs="Times New Roman"/>
          <w:sz w:val="24"/>
          <w:szCs w:val="24"/>
        </w:rPr>
        <w:t>discretion whether</w:t>
      </w:r>
      <w:r w:rsidRPr="00F450B0">
        <w:rPr>
          <w:rFonts w:ascii="Times New Roman" w:hAnsi="Times New Roman" w:cs="Times New Roman"/>
          <w:sz w:val="24"/>
          <w:szCs w:val="24"/>
        </w:rPr>
        <w:t xml:space="preserve"> or not to deal with the dispute or defer to </w:t>
      </w:r>
      <w:r w:rsidR="00006B1C" w:rsidRPr="00F450B0">
        <w:rPr>
          <w:rFonts w:ascii="Times New Roman" w:hAnsi="Times New Roman" w:cs="Times New Roman"/>
          <w:sz w:val="24"/>
          <w:szCs w:val="24"/>
        </w:rPr>
        <w:t>the third</w:t>
      </w:r>
      <w:r w:rsidR="00006B1C">
        <w:rPr>
          <w:rFonts w:ascii="Times New Roman" w:hAnsi="Times New Roman" w:cs="Times New Roman"/>
          <w:sz w:val="24"/>
          <w:szCs w:val="24"/>
        </w:rPr>
        <w:t xml:space="preserve"> respondent</w:t>
      </w:r>
      <w:r w:rsidRPr="00F450B0">
        <w:rPr>
          <w:rFonts w:ascii="Times New Roman" w:hAnsi="Times New Roman" w:cs="Times New Roman"/>
          <w:sz w:val="24"/>
          <w:szCs w:val="24"/>
        </w:rPr>
        <w:t>.</w:t>
      </w:r>
      <w:r w:rsidR="00006B1C">
        <w:rPr>
          <w:rFonts w:ascii="Times New Roman" w:hAnsi="Times New Roman" w:cs="Times New Roman"/>
          <w:sz w:val="24"/>
          <w:szCs w:val="24"/>
        </w:rPr>
        <w:t xml:space="preserve">  </w:t>
      </w:r>
      <w:r w:rsidRPr="00F450B0">
        <w:rPr>
          <w:rFonts w:ascii="Times New Roman" w:hAnsi="Times New Roman" w:cs="Times New Roman"/>
          <w:sz w:val="24"/>
          <w:szCs w:val="24"/>
        </w:rPr>
        <w:t xml:space="preserve">The </w:t>
      </w:r>
      <w:r w:rsidR="00006B1C" w:rsidRPr="00F450B0">
        <w:rPr>
          <w:rFonts w:ascii="Times New Roman" w:hAnsi="Times New Roman" w:cs="Times New Roman"/>
          <w:sz w:val="24"/>
          <w:szCs w:val="24"/>
        </w:rPr>
        <w:t>third respondent</w:t>
      </w:r>
      <w:r w:rsidRPr="00F450B0">
        <w:rPr>
          <w:rFonts w:ascii="Times New Roman" w:hAnsi="Times New Roman" w:cs="Times New Roman"/>
          <w:sz w:val="24"/>
          <w:szCs w:val="24"/>
        </w:rPr>
        <w:t xml:space="preserve"> would be in the </w:t>
      </w:r>
      <w:r w:rsidR="00006B1C" w:rsidRPr="00F450B0">
        <w:rPr>
          <w:rFonts w:ascii="Times New Roman" w:hAnsi="Times New Roman" w:cs="Times New Roman"/>
          <w:sz w:val="24"/>
          <w:szCs w:val="24"/>
        </w:rPr>
        <w:t>best position</w:t>
      </w:r>
      <w:r w:rsidRPr="00F450B0">
        <w:rPr>
          <w:rFonts w:ascii="Times New Roman" w:hAnsi="Times New Roman" w:cs="Times New Roman"/>
          <w:sz w:val="24"/>
          <w:szCs w:val="24"/>
        </w:rPr>
        <w:t xml:space="preserve"> to gather facts </w:t>
      </w:r>
      <w:r w:rsidR="00006B1C" w:rsidRPr="00F450B0">
        <w:rPr>
          <w:rFonts w:ascii="Times New Roman" w:hAnsi="Times New Roman" w:cs="Times New Roman"/>
          <w:sz w:val="24"/>
          <w:szCs w:val="24"/>
        </w:rPr>
        <w:t>and reach</w:t>
      </w:r>
      <w:r w:rsidRPr="00F450B0">
        <w:rPr>
          <w:rFonts w:ascii="Times New Roman" w:hAnsi="Times New Roman" w:cs="Times New Roman"/>
          <w:sz w:val="24"/>
          <w:szCs w:val="24"/>
        </w:rPr>
        <w:t xml:space="preserve"> an informed </w:t>
      </w:r>
      <w:r w:rsidR="00006B1C" w:rsidRPr="00F450B0">
        <w:rPr>
          <w:rFonts w:ascii="Times New Roman" w:hAnsi="Times New Roman" w:cs="Times New Roman"/>
          <w:sz w:val="24"/>
          <w:szCs w:val="24"/>
        </w:rPr>
        <w:t>position and</w:t>
      </w:r>
      <w:r w:rsidRPr="00F450B0">
        <w:rPr>
          <w:rFonts w:ascii="Times New Roman" w:hAnsi="Times New Roman" w:cs="Times New Roman"/>
          <w:sz w:val="24"/>
          <w:szCs w:val="24"/>
        </w:rPr>
        <w:t xml:space="preserve"> to make recommendations based on verified facts.</w:t>
      </w:r>
      <w:r w:rsidR="00006B1C">
        <w:rPr>
          <w:rFonts w:ascii="Times New Roman" w:hAnsi="Times New Roman" w:cs="Times New Roman"/>
          <w:sz w:val="24"/>
          <w:szCs w:val="24"/>
        </w:rPr>
        <w:t xml:space="preserve"> </w:t>
      </w:r>
      <w:r w:rsidRPr="00F450B0">
        <w:rPr>
          <w:rFonts w:ascii="Times New Roman" w:hAnsi="Times New Roman" w:cs="Times New Roman"/>
          <w:sz w:val="24"/>
          <w:szCs w:val="24"/>
        </w:rPr>
        <w:t xml:space="preserve"> </w:t>
      </w:r>
      <w:r w:rsidR="00006B1C" w:rsidRPr="00F450B0">
        <w:rPr>
          <w:rFonts w:ascii="Times New Roman" w:hAnsi="Times New Roman" w:cs="Times New Roman"/>
          <w:i/>
          <w:sz w:val="24"/>
          <w:szCs w:val="24"/>
        </w:rPr>
        <w:t>In casu</w:t>
      </w:r>
      <w:r w:rsidRPr="00F450B0">
        <w:rPr>
          <w:rFonts w:ascii="Times New Roman" w:hAnsi="Times New Roman" w:cs="Times New Roman"/>
          <w:sz w:val="24"/>
          <w:szCs w:val="24"/>
        </w:rPr>
        <w:t xml:space="preserve">, the applicant did not even withdraw the complaint made to the third respondent. The court thereof would have the discretion to refuse to act on a matter which is properly before </w:t>
      </w:r>
      <w:r w:rsidR="00006B1C" w:rsidRPr="00F450B0">
        <w:rPr>
          <w:rFonts w:ascii="Times New Roman" w:hAnsi="Times New Roman" w:cs="Times New Roman"/>
          <w:sz w:val="24"/>
          <w:szCs w:val="24"/>
        </w:rPr>
        <w:t>a constitutional body</w:t>
      </w:r>
      <w:r w:rsidRPr="00F450B0">
        <w:rPr>
          <w:rFonts w:ascii="Times New Roman" w:hAnsi="Times New Roman" w:cs="Times New Roman"/>
          <w:sz w:val="24"/>
          <w:szCs w:val="24"/>
        </w:rPr>
        <w:t xml:space="preserve"> mandated to deal with the matter.</w:t>
      </w:r>
    </w:p>
    <w:p w:rsidR="00F450B0" w:rsidRPr="00F450B0" w:rsidRDefault="00F450B0" w:rsidP="00AE4217">
      <w:pPr>
        <w:spacing w:after="0" w:line="360" w:lineRule="auto"/>
        <w:jc w:val="both"/>
        <w:rPr>
          <w:rFonts w:ascii="Times New Roman" w:hAnsi="Times New Roman" w:cs="Times New Roman"/>
          <w:sz w:val="24"/>
          <w:szCs w:val="24"/>
        </w:rPr>
      </w:pPr>
      <w:r w:rsidRPr="00F450B0">
        <w:rPr>
          <w:rFonts w:ascii="Times New Roman" w:hAnsi="Times New Roman" w:cs="Times New Roman"/>
          <w:sz w:val="24"/>
          <w:szCs w:val="24"/>
        </w:rPr>
        <w:tab/>
        <w:t xml:space="preserve"> It is my decision  that this is an  appropriate case  for the court to decline its jurisdiction because  the  matter of the dispute is at the applicant’s instance</w:t>
      </w:r>
      <w:r w:rsidR="00551AD5">
        <w:rPr>
          <w:rFonts w:ascii="Times New Roman" w:hAnsi="Times New Roman" w:cs="Times New Roman"/>
          <w:sz w:val="24"/>
          <w:szCs w:val="24"/>
        </w:rPr>
        <w:t>,</w:t>
      </w:r>
      <w:r w:rsidRPr="00F450B0">
        <w:rPr>
          <w:rFonts w:ascii="Times New Roman" w:hAnsi="Times New Roman" w:cs="Times New Roman"/>
          <w:sz w:val="24"/>
          <w:szCs w:val="24"/>
        </w:rPr>
        <w:t xml:space="preserve">  properly before a constitutional body created  to </w:t>
      </w:r>
      <w:r w:rsidRPr="00F450B0">
        <w:rPr>
          <w:rFonts w:ascii="Times New Roman" w:hAnsi="Times New Roman" w:cs="Times New Roman"/>
          <w:i/>
          <w:sz w:val="24"/>
          <w:szCs w:val="24"/>
        </w:rPr>
        <w:t>inter- alia</w:t>
      </w:r>
      <w:r w:rsidRPr="00F450B0">
        <w:rPr>
          <w:rFonts w:ascii="Times New Roman" w:hAnsi="Times New Roman" w:cs="Times New Roman"/>
          <w:sz w:val="24"/>
          <w:szCs w:val="24"/>
        </w:rPr>
        <w:t xml:space="preserve"> specifically deal  with the dispute which is  pending before it. The applicant cited the judgment </w:t>
      </w:r>
      <w:r w:rsidR="00006B1C" w:rsidRPr="00F450B0">
        <w:rPr>
          <w:rFonts w:ascii="Times New Roman" w:hAnsi="Times New Roman" w:cs="Times New Roman"/>
          <w:sz w:val="24"/>
          <w:szCs w:val="24"/>
        </w:rPr>
        <w:t>of MAFUSIRE J</w:t>
      </w:r>
      <w:r w:rsidRPr="00F450B0">
        <w:rPr>
          <w:rFonts w:ascii="Times New Roman" w:hAnsi="Times New Roman" w:cs="Times New Roman"/>
          <w:sz w:val="24"/>
          <w:szCs w:val="24"/>
        </w:rPr>
        <w:t xml:space="preserve"> in </w:t>
      </w:r>
      <w:r w:rsidRPr="00F450B0">
        <w:rPr>
          <w:rFonts w:ascii="Times New Roman" w:hAnsi="Times New Roman" w:cs="Times New Roman"/>
          <w:i/>
          <w:sz w:val="24"/>
          <w:szCs w:val="24"/>
        </w:rPr>
        <w:t>John Makarudza</w:t>
      </w:r>
      <w:r w:rsidRPr="00F450B0">
        <w:rPr>
          <w:rFonts w:ascii="Times New Roman" w:hAnsi="Times New Roman" w:cs="Times New Roman"/>
          <w:sz w:val="24"/>
          <w:szCs w:val="24"/>
        </w:rPr>
        <w:t xml:space="preserve"> </w:t>
      </w:r>
      <w:r w:rsidRPr="00F450B0">
        <w:rPr>
          <w:rFonts w:ascii="Times New Roman" w:hAnsi="Times New Roman" w:cs="Times New Roman"/>
          <w:i/>
          <w:sz w:val="24"/>
          <w:szCs w:val="24"/>
        </w:rPr>
        <w:t>&amp; Anor</w:t>
      </w:r>
      <w:r w:rsidRPr="00F450B0">
        <w:rPr>
          <w:rFonts w:ascii="Times New Roman" w:hAnsi="Times New Roman" w:cs="Times New Roman"/>
          <w:sz w:val="24"/>
          <w:szCs w:val="24"/>
        </w:rPr>
        <w:t xml:space="preserve"> </w:t>
      </w:r>
      <w:r w:rsidR="00006B1C" w:rsidRPr="00F450B0">
        <w:rPr>
          <w:rFonts w:ascii="Times New Roman" w:hAnsi="Times New Roman" w:cs="Times New Roman"/>
          <w:sz w:val="24"/>
          <w:szCs w:val="24"/>
        </w:rPr>
        <w:t>v</w:t>
      </w:r>
      <w:r w:rsidR="00006B1C" w:rsidRPr="00AE4217">
        <w:rPr>
          <w:rFonts w:ascii="Times New Roman" w:hAnsi="Times New Roman" w:cs="Times New Roman"/>
          <w:i/>
          <w:sz w:val="24"/>
          <w:szCs w:val="24"/>
        </w:rPr>
        <w:t xml:space="preserve"> Cosmas</w:t>
      </w:r>
      <w:r w:rsidRPr="00F450B0">
        <w:rPr>
          <w:rFonts w:ascii="Times New Roman" w:hAnsi="Times New Roman" w:cs="Times New Roman"/>
          <w:i/>
          <w:sz w:val="24"/>
          <w:szCs w:val="24"/>
        </w:rPr>
        <w:t xml:space="preserve"> Bingu</w:t>
      </w:r>
      <w:r w:rsidRPr="00F450B0">
        <w:rPr>
          <w:rFonts w:ascii="Times New Roman" w:hAnsi="Times New Roman" w:cs="Times New Roman"/>
          <w:sz w:val="24"/>
          <w:szCs w:val="24"/>
        </w:rPr>
        <w:t xml:space="preserve"> </w:t>
      </w:r>
      <w:r w:rsidRPr="00F450B0">
        <w:rPr>
          <w:rFonts w:ascii="Times New Roman" w:hAnsi="Times New Roman" w:cs="Times New Roman"/>
          <w:i/>
          <w:sz w:val="24"/>
          <w:szCs w:val="24"/>
        </w:rPr>
        <w:t xml:space="preserve">&amp; 2 others </w:t>
      </w:r>
      <w:r w:rsidRPr="00F450B0">
        <w:rPr>
          <w:rFonts w:ascii="Times New Roman" w:hAnsi="Times New Roman" w:cs="Times New Roman"/>
          <w:sz w:val="24"/>
          <w:szCs w:val="24"/>
        </w:rPr>
        <w:t xml:space="preserve">HH 08/15 to argue that the court </w:t>
      </w:r>
      <w:r w:rsidR="00006B1C" w:rsidRPr="00F450B0">
        <w:rPr>
          <w:rFonts w:ascii="Times New Roman" w:hAnsi="Times New Roman" w:cs="Times New Roman"/>
          <w:sz w:val="24"/>
          <w:szCs w:val="24"/>
        </w:rPr>
        <w:t>should not</w:t>
      </w:r>
      <w:r w:rsidRPr="00F450B0">
        <w:rPr>
          <w:rFonts w:ascii="Times New Roman" w:hAnsi="Times New Roman" w:cs="Times New Roman"/>
          <w:sz w:val="24"/>
          <w:szCs w:val="24"/>
        </w:rPr>
        <w:t xml:space="preserve"> </w:t>
      </w:r>
      <w:r w:rsidR="00006B1C" w:rsidRPr="00F450B0">
        <w:rPr>
          <w:rFonts w:ascii="Times New Roman" w:hAnsi="Times New Roman" w:cs="Times New Roman"/>
          <w:sz w:val="24"/>
          <w:szCs w:val="24"/>
        </w:rPr>
        <w:t>be bound</w:t>
      </w:r>
      <w:r w:rsidRPr="00F450B0">
        <w:rPr>
          <w:rFonts w:ascii="Times New Roman" w:hAnsi="Times New Roman" w:cs="Times New Roman"/>
          <w:sz w:val="24"/>
          <w:szCs w:val="24"/>
        </w:rPr>
        <w:t xml:space="preserve"> to refuse to deal with </w:t>
      </w:r>
      <w:r w:rsidR="00006B1C" w:rsidRPr="00F450B0">
        <w:rPr>
          <w:rFonts w:ascii="Times New Roman" w:hAnsi="Times New Roman" w:cs="Times New Roman"/>
          <w:sz w:val="24"/>
          <w:szCs w:val="24"/>
        </w:rPr>
        <w:t>the application</w:t>
      </w:r>
      <w:r w:rsidRPr="00F450B0">
        <w:rPr>
          <w:rFonts w:ascii="Times New Roman" w:hAnsi="Times New Roman" w:cs="Times New Roman"/>
          <w:sz w:val="24"/>
          <w:szCs w:val="24"/>
        </w:rPr>
        <w:t xml:space="preserve"> </w:t>
      </w:r>
      <w:r w:rsidR="0009713B" w:rsidRPr="00F450B0">
        <w:rPr>
          <w:rFonts w:ascii="Times New Roman" w:hAnsi="Times New Roman" w:cs="Times New Roman"/>
          <w:sz w:val="24"/>
          <w:szCs w:val="24"/>
        </w:rPr>
        <w:t>on the</w:t>
      </w:r>
      <w:r w:rsidRPr="00F450B0">
        <w:rPr>
          <w:rFonts w:ascii="Times New Roman" w:hAnsi="Times New Roman" w:cs="Times New Roman"/>
          <w:sz w:val="24"/>
          <w:szCs w:val="24"/>
        </w:rPr>
        <w:t xml:space="preserve"> bas</w:t>
      </w:r>
      <w:r w:rsidR="00551AD5">
        <w:rPr>
          <w:rFonts w:ascii="Times New Roman" w:hAnsi="Times New Roman" w:cs="Times New Roman"/>
          <w:sz w:val="24"/>
          <w:szCs w:val="24"/>
        </w:rPr>
        <w:t>i</w:t>
      </w:r>
      <w:r w:rsidRPr="00F450B0">
        <w:rPr>
          <w:rFonts w:ascii="Times New Roman" w:hAnsi="Times New Roman" w:cs="Times New Roman"/>
          <w:sz w:val="24"/>
          <w:szCs w:val="24"/>
        </w:rPr>
        <w:t xml:space="preserve">s that domestic remedies be exhausted first. </w:t>
      </w:r>
      <w:r w:rsidR="0009713B">
        <w:rPr>
          <w:rFonts w:ascii="Times New Roman" w:hAnsi="Times New Roman" w:cs="Times New Roman"/>
          <w:sz w:val="24"/>
          <w:szCs w:val="24"/>
        </w:rPr>
        <w:t xml:space="preserve"> </w:t>
      </w:r>
      <w:r w:rsidRPr="00F450B0">
        <w:rPr>
          <w:rFonts w:ascii="Times New Roman" w:hAnsi="Times New Roman" w:cs="Times New Roman"/>
          <w:sz w:val="24"/>
          <w:szCs w:val="24"/>
        </w:rPr>
        <w:t xml:space="preserve">The case is distinguishable because the learned judge noted that the </w:t>
      </w:r>
      <w:r w:rsidR="00551AD5">
        <w:rPr>
          <w:rFonts w:ascii="Times New Roman" w:hAnsi="Times New Roman" w:cs="Times New Roman"/>
          <w:sz w:val="24"/>
          <w:szCs w:val="24"/>
        </w:rPr>
        <w:t>C</w:t>
      </w:r>
      <w:r w:rsidRPr="00F450B0">
        <w:rPr>
          <w:rFonts w:ascii="Times New Roman" w:hAnsi="Times New Roman" w:cs="Times New Roman"/>
          <w:sz w:val="24"/>
          <w:szCs w:val="24"/>
        </w:rPr>
        <w:t xml:space="preserve">onstitution </w:t>
      </w:r>
      <w:r w:rsidR="00551AD5">
        <w:rPr>
          <w:rFonts w:ascii="Times New Roman" w:hAnsi="Times New Roman" w:cs="Times New Roman"/>
          <w:sz w:val="24"/>
          <w:szCs w:val="24"/>
        </w:rPr>
        <w:t>of the voluntary association</w:t>
      </w:r>
      <w:r w:rsidRPr="00F450B0">
        <w:rPr>
          <w:rFonts w:ascii="Times New Roman" w:hAnsi="Times New Roman" w:cs="Times New Roman"/>
          <w:sz w:val="24"/>
          <w:szCs w:val="24"/>
        </w:rPr>
        <w:t>at play in that matter did not provide for any domestic remedies.</w:t>
      </w:r>
    </w:p>
    <w:p w:rsidR="00F450B0" w:rsidRPr="00F450B0" w:rsidRDefault="00F450B0" w:rsidP="00AE4217">
      <w:pPr>
        <w:spacing w:line="360" w:lineRule="auto"/>
        <w:ind w:firstLine="720"/>
        <w:jc w:val="both"/>
        <w:rPr>
          <w:rFonts w:ascii="Times New Roman" w:hAnsi="Times New Roman" w:cs="Times New Roman"/>
          <w:sz w:val="24"/>
          <w:szCs w:val="24"/>
        </w:rPr>
      </w:pPr>
      <w:r w:rsidRPr="00F450B0">
        <w:rPr>
          <w:rFonts w:ascii="Times New Roman" w:hAnsi="Times New Roman" w:cs="Times New Roman"/>
          <w:sz w:val="24"/>
          <w:szCs w:val="24"/>
        </w:rPr>
        <w:t xml:space="preserve">The applicant also cited the judgment of this court in the case of </w:t>
      </w:r>
      <w:r w:rsidRPr="00F450B0">
        <w:rPr>
          <w:rFonts w:ascii="Times New Roman" w:hAnsi="Times New Roman" w:cs="Times New Roman"/>
          <w:i/>
          <w:sz w:val="24"/>
          <w:szCs w:val="24"/>
        </w:rPr>
        <w:t>Chawasarira Transport (Pvt) Ltd</w:t>
      </w:r>
      <w:r w:rsidRPr="00F450B0">
        <w:rPr>
          <w:rFonts w:ascii="Times New Roman" w:hAnsi="Times New Roman" w:cs="Times New Roman"/>
          <w:sz w:val="24"/>
          <w:szCs w:val="24"/>
        </w:rPr>
        <w:t xml:space="preserve"> v </w:t>
      </w:r>
      <w:r w:rsidRPr="00F450B0">
        <w:rPr>
          <w:rFonts w:ascii="Times New Roman" w:hAnsi="Times New Roman" w:cs="Times New Roman"/>
          <w:i/>
          <w:sz w:val="24"/>
          <w:szCs w:val="24"/>
        </w:rPr>
        <w:t>Reserve Bank of Zimbabwe</w:t>
      </w:r>
      <w:r w:rsidRPr="00F450B0">
        <w:rPr>
          <w:rFonts w:ascii="Times New Roman" w:hAnsi="Times New Roman" w:cs="Times New Roman"/>
          <w:sz w:val="24"/>
          <w:szCs w:val="24"/>
        </w:rPr>
        <w:t xml:space="preserve"> HH 86/2009. Where it is stated:</w:t>
      </w:r>
    </w:p>
    <w:p w:rsidR="00F450B0" w:rsidRPr="00F450B0" w:rsidRDefault="00F450B0" w:rsidP="00AE4217">
      <w:pPr>
        <w:spacing w:line="240" w:lineRule="auto"/>
        <w:jc w:val="both"/>
        <w:rPr>
          <w:rFonts w:ascii="Times New Roman" w:hAnsi="Times New Roman" w:cs="Times New Roman"/>
          <w:sz w:val="24"/>
          <w:szCs w:val="24"/>
        </w:rPr>
      </w:pPr>
      <w:r w:rsidRPr="00F450B0">
        <w:rPr>
          <w:rFonts w:ascii="Times New Roman" w:hAnsi="Times New Roman" w:cs="Times New Roman"/>
          <w:sz w:val="24"/>
          <w:szCs w:val="24"/>
        </w:rPr>
        <w:tab/>
        <w:t>“Whilst</w:t>
      </w:r>
      <w:r w:rsidRPr="00F450B0">
        <w:rPr>
          <w:rFonts w:ascii="Times New Roman" w:hAnsi="Times New Roman" w:cs="Times New Roman"/>
        </w:rPr>
        <w:t xml:space="preserve"> it is desirable to that parties should be encouraged to exhaust their domestic remedies  </w:t>
      </w:r>
      <w:r w:rsidRPr="00F450B0">
        <w:rPr>
          <w:rFonts w:ascii="Times New Roman" w:hAnsi="Times New Roman" w:cs="Times New Roman"/>
        </w:rPr>
        <w:tab/>
        <w:t>before approaching the courts</w:t>
      </w:r>
      <w:r w:rsidR="0009713B">
        <w:rPr>
          <w:rFonts w:ascii="Times New Roman" w:hAnsi="Times New Roman" w:cs="Times New Roman"/>
        </w:rPr>
        <w:t>,</w:t>
      </w:r>
      <w:r w:rsidRPr="00F450B0">
        <w:rPr>
          <w:rFonts w:ascii="Times New Roman" w:hAnsi="Times New Roman" w:cs="Times New Roman"/>
        </w:rPr>
        <w:t xml:space="preserve"> the </w:t>
      </w:r>
      <w:r w:rsidR="0009713B">
        <w:rPr>
          <w:rFonts w:ascii="Times New Roman" w:hAnsi="Times New Roman" w:cs="Times New Roman"/>
        </w:rPr>
        <w:t>m</w:t>
      </w:r>
      <w:r w:rsidRPr="00F450B0">
        <w:rPr>
          <w:rFonts w:ascii="Times New Roman" w:hAnsi="Times New Roman" w:cs="Times New Roman"/>
        </w:rPr>
        <w:t xml:space="preserve">ere existence of domestic remedies does </w:t>
      </w:r>
      <w:r w:rsidR="0009713B">
        <w:rPr>
          <w:rFonts w:ascii="Times New Roman" w:hAnsi="Times New Roman" w:cs="Times New Roman"/>
        </w:rPr>
        <w:t>not</w:t>
      </w:r>
      <w:r w:rsidRPr="00F450B0">
        <w:rPr>
          <w:rFonts w:ascii="Times New Roman" w:hAnsi="Times New Roman" w:cs="Times New Roman"/>
        </w:rPr>
        <w:t xml:space="preserve"> </w:t>
      </w:r>
      <w:r w:rsidR="0009713B">
        <w:rPr>
          <w:rFonts w:ascii="Times New Roman" w:hAnsi="Times New Roman" w:cs="Times New Roman"/>
        </w:rPr>
        <w:t>o</w:t>
      </w:r>
      <w:r w:rsidRPr="00F450B0">
        <w:rPr>
          <w:rFonts w:ascii="Times New Roman" w:hAnsi="Times New Roman" w:cs="Times New Roman"/>
        </w:rPr>
        <w:t xml:space="preserve">ust the </w:t>
      </w:r>
      <w:r w:rsidRPr="00F450B0">
        <w:rPr>
          <w:rFonts w:ascii="Times New Roman" w:hAnsi="Times New Roman" w:cs="Times New Roman"/>
        </w:rPr>
        <w:tab/>
        <w:t xml:space="preserve">unlimited jurisdiction of this court. The court has therefore a </w:t>
      </w:r>
      <w:r w:rsidR="0009713B" w:rsidRPr="00F450B0">
        <w:rPr>
          <w:rFonts w:ascii="Times New Roman" w:hAnsi="Times New Roman" w:cs="Times New Roman"/>
        </w:rPr>
        <w:t>discretion</w:t>
      </w:r>
      <w:r w:rsidRPr="00F450B0">
        <w:rPr>
          <w:rFonts w:ascii="Times New Roman" w:hAnsi="Times New Roman" w:cs="Times New Roman"/>
        </w:rPr>
        <w:t xml:space="preserve"> whether or not to </w:t>
      </w:r>
      <w:r w:rsidRPr="00F450B0">
        <w:rPr>
          <w:rFonts w:ascii="Times New Roman" w:hAnsi="Times New Roman" w:cs="Times New Roman"/>
        </w:rPr>
        <w:tab/>
        <w:t>interlaw the application</w:t>
      </w:r>
      <w:r w:rsidR="0009713B">
        <w:rPr>
          <w:rFonts w:ascii="Times New Roman" w:hAnsi="Times New Roman" w:cs="Times New Roman"/>
        </w:rPr>
        <w:t xml:space="preserve">. </w:t>
      </w:r>
      <w:r w:rsidRPr="00F450B0">
        <w:rPr>
          <w:rFonts w:ascii="Times New Roman" w:hAnsi="Times New Roman" w:cs="Times New Roman"/>
        </w:rPr>
        <w:t xml:space="preserve"> See </w:t>
      </w:r>
      <w:r w:rsidRPr="00F450B0">
        <w:rPr>
          <w:rFonts w:ascii="Times New Roman" w:hAnsi="Times New Roman" w:cs="Times New Roman"/>
          <w:i/>
        </w:rPr>
        <w:t>Moyo</w:t>
      </w:r>
      <w:r w:rsidRPr="00F450B0">
        <w:rPr>
          <w:rFonts w:ascii="Times New Roman" w:hAnsi="Times New Roman" w:cs="Times New Roman"/>
        </w:rPr>
        <w:t xml:space="preserve"> v </w:t>
      </w:r>
      <w:r w:rsidRPr="00F450B0">
        <w:rPr>
          <w:rFonts w:ascii="Times New Roman" w:hAnsi="Times New Roman" w:cs="Times New Roman"/>
          <w:i/>
        </w:rPr>
        <w:t>Gwindingwi</w:t>
      </w:r>
      <w:r w:rsidRPr="00F450B0">
        <w:rPr>
          <w:rFonts w:ascii="Times New Roman" w:hAnsi="Times New Roman" w:cs="Times New Roman"/>
        </w:rPr>
        <w:t xml:space="preserve"> </w:t>
      </w:r>
      <w:r w:rsidRPr="00F450B0">
        <w:rPr>
          <w:rFonts w:ascii="Times New Roman" w:hAnsi="Times New Roman" w:cs="Times New Roman"/>
          <w:i/>
        </w:rPr>
        <w:t>N.O &amp; Anor</w:t>
      </w:r>
      <w:r w:rsidRPr="00F450B0">
        <w:rPr>
          <w:rFonts w:ascii="Times New Roman" w:hAnsi="Times New Roman" w:cs="Times New Roman"/>
        </w:rPr>
        <w:t xml:space="preserve"> HB 168/2011”</w:t>
      </w:r>
      <w:r w:rsidRPr="00F450B0">
        <w:rPr>
          <w:rFonts w:ascii="Times New Roman" w:hAnsi="Times New Roman" w:cs="Times New Roman"/>
          <w:sz w:val="24"/>
          <w:szCs w:val="24"/>
        </w:rPr>
        <w:t xml:space="preserve">  </w:t>
      </w:r>
    </w:p>
    <w:p w:rsidR="00F450B0" w:rsidRPr="00F450B0" w:rsidRDefault="00F450B0" w:rsidP="00AE4217">
      <w:pPr>
        <w:spacing w:line="360" w:lineRule="auto"/>
        <w:ind w:firstLine="720"/>
        <w:jc w:val="both"/>
        <w:rPr>
          <w:rFonts w:ascii="Times New Roman" w:hAnsi="Times New Roman" w:cs="Times New Roman"/>
          <w:sz w:val="24"/>
          <w:szCs w:val="24"/>
        </w:rPr>
      </w:pPr>
      <w:r w:rsidRPr="00F450B0">
        <w:rPr>
          <w:rFonts w:ascii="Times New Roman" w:hAnsi="Times New Roman" w:cs="Times New Roman"/>
          <w:sz w:val="24"/>
          <w:szCs w:val="24"/>
        </w:rPr>
        <w:t xml:space="preserve">The above </w:t>
      </w:r>
      <w:r w:rsidRPr="00F450B0">
        <w:rPr>
          <w:rFonts w:ascii="Times New Roman" w:hAnsi="Times New Roman" w:cs="Times New Roman"/>
          <w:i/>
          <w:sz w:val="24"/>
          <w:szCs w:val="24"/>
        </w:rPr>
        <w:t>dicta</w:t>
      </w:r>
      <w:r w:rsidRPr="00F450B0">
        <w:rPr>
          <w:rFonts w:ascii="Times New Roman" w:hAnsi="Times New Roman" w:cs="Times New Roman"/>
          <w:sz w:val="24"/>
          <w:szCs w:val="24"/>
        </w:rPr>
        <w:t xml:space="preserve"> is correct because this court has unlimited jurisdiction </w:t>
      </w:r>
      <w:r w:rsidR="00551AD5">
        <w:rPr>
          <w:rFonts w:ascii="Times New Roman" w:hAnsi="Times New Roman" w:cs="Times New Roman"/>
          <w:sz w:val="24"/>
          <w:szCs w:val="24"/>
        </w:rPr>
        <w:t>o</w:t>
      </w:r>
      <w:r w:rsidRPr="00F450B0">
        <w:rPr>
          <w:rFonts w:ascii="Times New Roman" w:hAnsi="Times New Roman" w:cs="Times New Roman"/>
          <w:sz w:val="24"/>
          <w:szCs w:val="24"/>
        </w:rPr>
        <w:t xml:space="preserve">ver civil and criminal matters save where its jurisdiction is specifically ousted. Such unlimited jurisdiction is not exercised </w:t>
      </w:r>
      <w:r w:rsidR="0009713B">
        <w:rPr>
          <w:rFonts w:ascii="Times New Roman" w:hAnsi="Times New Roman" w:cs="Times New Roman"/>
          <w:sz w:val="24"/>
          <w:szCs w:val="24"/>
        </w:rPr>
        <w:t xml:space="preserve">whimsically. </w:t>
      </w:r>
      <w:r w:rsidRPr="00F450B0">
        <w:rPr>
          <w:rFonts w:ascii="Times New Roman" w:hAnsi="Times New Roman" w:cs="Times New Roman"/>
          <w:sz w:val="24"/>
          <w:szCs w:val="24"/>
        </w:rPr>
        <w:t xml:space="preserve"> The High court is a court of law first and foremost. </w:t>
      </w:r>
      <w:r w:rsidR="00551AD5" w:rsidRPr="00F450B0">
        <w:rPr>
          <w:rFonts w:ascii="Times New Roman" w:hAnsi="Times New Roman" w:cs="Times New Roman"/>
          <w:sz w:val="24"/>
          <w:szCs w:val="24"/>
        </w:rPr>
        <w:t>Therefore where</w:t>
      </w:r>
      <w:r w:rsidRPr="00F450B0">
        <w:rPr>
          <w:rFonts w:ascii="Times New Roman" w:hAnsi="Times New Roman" w:cs="Times New Roman"/>
          <w:sz w:val="24"/>
          <w:szCs w:val="24"/>
        </w:rPr>
        <w:t xml:space="preserve"> a law specifically provides for certain </w:t>
      </w:r>
      <w:r w:rsidR="00551AD5" w:rsidRPr="00F450B0">
        <w:rPr>
          <w:rFonts w:ascii="Times New Roman" w:hAnsi="Times New Roman" w:cs="Times New Roman"/>
          <w:sz w:val="24"/>
          <w:szCs w:val="24"/>
        </w:rPr>
        <w:t>procedures them</w:t>
      </w:r>
      <w:r w:rsidRPr="00F450B0">
        <w:rPr>
          <w:rFonts w:ascii="Times New Roman" w:hAnsi="Times New Roman" w:cs="Times New Roman"/>
          <w:sz w:val="24"/>
          <w:szCs w:val="24"/>
        </w:rPr>
        <w:t xml:space="preserve"> the High Court must take a </w:t>
      </w:r>
      <w:r w:rsidR="00551AD5" w:rsidRPr="00F450B0">
        <w:rPr>
          <w:rFonts w:ascii="Times New Roman" w:hAnsi="Times New Roman" w:cs="Times New Roman"/>
          <w:sz w:val="24"/>
          <w:szCs w:val="24"/>
        </w:rPr>
        <w:t>position which promotes</w:t>
      </w:r>
      <w:r w:rsidRPr="00F450B0">
        <w:rPr>
          <w:rFonts w:ascii="Times New Roman" w:hAnsi="Times New Roman" w:cs="Times New Roman"/>
          <w:sz w:val="24"/>
          <w:szCs w:val="24"/>
        </w:rPr>
        <w:t xml:space="preserve"> the carrying out of legislated procedures. There is therefore no basis to invoke </w:t>
      </w:r>
      <w:r w:rsidR="0009713B" w:rsidRPr="00F450B0">
        <w:rPr>
          <w:rFonts w:ascii="Times New Roman" w:hAnsi="Times New Roman" w:cs="Times New Roman"/>
          <w:sz w:val="24"/>
          <w:szCs w:val="24"/>
        </w:rPr>
        <w:t>inherent</w:t>
      </w:r>
      <w:r w:rsidRPr="00F450B0">
        <w:rPr>
          <w:rFonts w:ascii="Times New Roman" w:hAnsi="Times New Roman" w:cs="Times New Roman"/>
          <w:sz w:val="24"/>
          <w:szCs w:val="24"/>
        </w:rPr>
        <w:t xml:space="preserve"> </w:t>
      </w:r>
      <w:r w:rsidR="0009713B">
        <w:rPr>
          <w:rFonts w:ascii="Times New Roman" w:hAnsi="Times New Roman" w:cs="Times New Roman"/>
          <w:sz w:val="24"/>
          <w:szCs w:val="24"/>
        </w:rPr>
        <w:t>j</w:t>
      </w:r>
      <w:r w:rsidRPr="00F450B0">
        <w:rPr>
          <w:rFonts w:ascii="Times New Roman" w:hAnsi="Times New Roman" w:cs="Times New Roman"/>
          <w:sz w:val="24"/>
          <w:szCs w:val="24"/>
        </w:rPr>
        <w:t>urisdiction in this matter because a law is already in place to deal with the dispute and the applicant has not shown that it not in the interest</w:t>
      </w:r>
      <w:r w:rsidR="00551AD5">
        <w:rPr>
          <w:rFonts w:ascii="Times New Roman" w:hAnsi="Times New Roman" w:cs="Times New Roman"/>
          <w:sz w:val="24"/>
          <w:szCs w:val="24"/>
        </w:rPr>
        <w:t>s</w:t>
      </w:r>
      <w:r w:rsidRPr="00F450B0">
        <w:rPr>
          <w:rFonts w:ascii="Times New Roman" w:hAnsi="Times New Roman" w:cs="Times New Roman"/>
          <w:sz w:val="24"/>
          <w:szCs w:val="24"/>
        </w:rPr>
        <w:t xml:space="preserve"> of justice were the third respondent to deal with the dispute.</w:t>
      </w:r>
    </w:p>
    <w:p w:rsidR="00F450B0" w:rsidRPr="00F450B0" w:rsidRDefault="00F450B0" w:rsidP="00AE4217">
      <w:pPr>
        <w:spacing w:line="360" w:lineRule="auto"/>
        <w:ind w:firstLine="720"/>
        <w:jc w:val="both"/>
        <w:rPr>
          <w:rFonts w:ascii="Times New Roman" w:hAnsi="Times New Roman" w:cs="Times New Roman"/>
          <w:sz w:val="24"/>
          <w:szCs w:val="24"/>
        </w:rPr>
      </w:pPr>
      <w:r w:rsidRPr="00F450B0">
        <w:rPr>
          <w:rFonts w:ascii="Times New Roman" w:hAnsi="Times New Roman" w:cs="Times New Roman"/>
          <w:sz w:val="24"/>
          <w:szCs w:val="24"/>
        </w:rPr>
        <w:lastRenderedPageBreak/>
        <w:t xml:space="preserve">Consequently the following order is made in the absence of any </w:t>
      </w:r>
      <w:r w:rsidR="00AE4217">
        <w:rPr>
          <w:rFonts w:ascii="Times New Roman" w:hAnsi="Times New Roman" w:cs="Times New Roman"/>
          <w:sz w:val="24"/>
          <w:szCs w:val="24"/>
        </w:rPr>
        <w:t>j</w:t>
      </w:r>
      <w:r w:rsidRPr="00F450B0">
        <w:rPr>
          <w:rFonts w:ascii="Times New Roman" w:hAnsi="Times New Roman" w:cs="Times New Roman"/>
          <w:sz w:val="24"/>
          <w:szCs w:val="24"/>
        </w:rPr>
        <w:t>u</w:t>
      </w:r>
      <w:r w:rsidR="00551AD5">
        <w:rPr>
          <w:rFonts w:ascii="Times New Roman" w:hAnsi="Times New Roman" w:cs="Times New Roman"/>
          <w:sz w:val="24"/>
          <w:szCs w:val="24"/>
        </w:rPr>
        <w:t>st</w:t>
      </w:r>
      <w:r w:rsidRPr="00F450B0">
        <w:rPr>
          <w:rFonts w:ascii="Times New Roman" w:hAnsi="Times New Roman" w:cs="Times New Roman"/>
          <w:sz w:val="24"/>
          <w:szCs w:val="24"/>
        </w:rPr>
        <w:t xml:space="preserve">ification </w:t>
      </w:r>
      <w:r w:rsidR="00551AD5">
        <w:rPr>
          <w:rFonts w:ascii="Times New Roman" w:hAnsi="Times New Roman" w:cs="Times New Roman"/>
          <w:sz w:val="24"/>
          <w:szCs w:val="24"/>
        </w:rPr>
        <w:t xml:space="preserve">proffered by the second respondent </w:t>
      </w:r>
      <w:r w:rsidRPr="00F450B0">
        <w:rPr>
          <w:rFonts w:ascii="Times New Roman" w:hAnsi="Times New Roman" w:cs="Times New Roman"/>
          <w:sz w:val="24"/>
          <w:szCs w:val="24"/>
        </w:rPr>
        <w:t xml:space="preserve">for an award of punitive costs </w:t>
      </w:r>
      <w:r w:rsidR="00551AD5">
        <w:rPr>
          <w:rFonts w:ascii="Times New Roman" w:hAnsi="Times New Roman" w:cs="Times New Roman"/>
          <w:sz w:val="24"/>
          <w:szCs w:val="24"/>
        </w:rPr>
        <w:t>which he seeks</w:t>
      </w:r>
      <w:r w:rsidRPr="00F450B0">
        <w:rPr>
          <w:rFonts w:ascii="Times New Roman" w:hAnsi="Times New Roman" w:cs="Times New Roman"/>
          <w:sz w:val="24"/>
          <w:szCs w:val="24"/>
        </w:rPr>
        <w:t xml:space="preserve">. </w:t>
      </w:r>
    </w:p>
    <w:p w:rsidR="00AE4217" w:rsidRPr="00AE4217" w:rsidRDefault="00F450B0" w:rsidP="00AE4217">
      <w:pPr>
        <w:spacing w:line="240" w:lineRule="auto"/>
        <w:jc w:val="both"/>
        <w:rPr>
          <w:rFonts w:ascii="Times New Roman" w:hAnsi="Times New Roman" w:cs="Times New Roman"/>
          <w:b/>
          <w:sz w:val="24"/>
          <w:szCs w:val="24"/>
        </w:rPr>
      </w:pPr>
      <w:r w:rsidRPr="00F450B0">
        <w:rPr>
          <w:rFonts w:ascii="Times New Roman" w:hAnsi="Times New Roman" w:cs="Times New Roman"/>
          <w:b/>
          <w:sz w:val="24"/>
          <w:szCs w:val="24"/>
        </w:rPr>
        <w:t>IT IS ORDERED THAT:</w:t>
      </w:r>
    </w:p>
    <w:p w:rsidR="00AE4217" w:rsidRPr="00AE4217" w:rsidRDefault="00F450B0" w:rsidP="00AE4217">
      <w:pPr>
        <w:pStyle w:val="ListParagraph"/>
        <w:numPr>
          <w:ilvl w:val="0"/>
          <w:numId w:val="14"/>
        </w:numPr>
        <w:spacing w:after="0" w:line="240" w:lineRule="auto"/>
        <w:jc w:val="both"/>
        <w:rPr>
          <w:rFonts w:ascii="Times New Roman" w:hAnsi="Times New Roman" w:cs="Times New Roman"/>
        </w:rPr>
      </w:pPr>
      <w:r w:rsidRPr="00AE4217">
        <w:rPr>
          <w:rFonts w:ascii="Times New Roman" w:hAnsi="Times New Roman" w:cs="Times New Roman"/>
        </w:rPr>
        <w:t xml:space="preserve">The court declines to exercise </w:t>
      </w:r>
      <w:r w:rsidR="00551AD5">
        <w:rPr>
          <w:rFonts w:ascii="Times New Roman" w:hAnsi="Times New Roman" w:cs="Times New Roman"/>
        </w:rPr>
        <w:t xml:space="preserve">its </w:t>
      </w:r>
      <w:r w:rsidRPr="00AE4217">
        <w:rPr>
          <w:rFonts w:ascii="Times New Roman" w:hAnsi="Times New Roman" w:cs="Times New Roman"/>
        </w:rPr>
        <w:t xml:space="preserve">jurisdiction as the applicant has not exhausted domestic remedies provided for under the </w:t>
      </w:r>
      <w:r w:rsidR="00551AD5">
        <w:rPr>
          <w:rFonts w:ascii="Times New Roman" w:hAnsi="Times New Roman" w:cs="Times New Roman"/>
        </w:rPr>
        <w:t>L</w:t>
      </w:r>
      <w:r w:rsidRPr="00AE4217">
        <w:rPr>
          <w:rFonts w:ascii="Times New Roman" w:hAnsi="Times New Roman" w:cs="Times New Roman"/>
        </w:rPr>
        <w:t xml:space="preserve">and </w:t>
      </w:r>
      <w:r w:rsidR="00551AD5">
        <w:rPr>
          <w:rFonts w:ascii="Times New Roman" w:hAnsi="Times New Roman" w:cs="Times New Roman"/>
        </w:rPr>
        <w:t>C</w:t>
      </w:r>
      <w:r w:rsidRPr="00AE4217">
        <w:rPr>
          <w:rFonts w:ascii="Times New Roman" w:hAnsi="Times New Roman" w:cs="Times New Roman"/>
        </w:rPr>
        <w:t>omm</w:t>
      </w:r>
      <w:r w:rsidR="00551AD5">
        <w:rPr>
          <w:rFonts w:ascii="Times New Roman" w:hAnsi="Times New Roman" w:cs="Times New Roman"/>
        </w:rPr>
        <w:t>ission</w:t>
      </w:r>
      <w:r w:rsidRPr="00AE4217">
        <w:rPr>
          <w:rFonts w:ascii="Times New Roman" w:hAnsi="Times New Roman" w:cs="Times New Roman"/>
        </w:rPr>
        <w:t xml:space="preserve"> Act </w:t>
      </w:r>
      <w:r w:rsidR="00AE4217" w:rsidRPr="00AE4217">
        <w:rPr>
          <w:rFonts w:ascii="Times New Roman" w:hAnsi="Times New Roman" w:cs="Times New Roman"/>
          <w:i/>
        </w:rPr>
        <w:t>[</w:t>
      </w:r>
      <w:r w:rsidRPr="00AE4217">
        <w:rPr>
          <w:rFonts w:ascii="Times New Roman" w:hAnsi="Times New Roman" w:cs="Times New Roman"/>
          <w:i/>
        </w:rPr>
        <w:t>Chapter 20</w:t>
      </w:r>
      <w:r w:rsidR="00AE4217" w:rsidRPr="00AE4217">
        <w:rPr>
          <w:rFonts w:ascii="Times New Roman" w:hAnsi="Times New Roman" w:cs="Times New Roman"/>
          <w:i/>
        </w:rPr>
        <w:t>:</w:t>
      </w:r>
      <w:r w:rsidRPr="00AE4217">
        <w:rPr>
          <w:rFonts w:ascii="Times New Roman" w:hAnsi="Times New Roman" w:cs="Times New Roman"/>
          <w:i/>
        </w:rPr>
        <w:t>29</w:t>
      </w:r>
      <w:r w:rsidR="00AE4217" w:rsidRPr="00AE4217">
        <w:rPr>
          <w:rFonts w:ascii="Times New Roman" w:hAnsi="Times New Roman" w:cs="Times New Roman"/>
          <w:i/>
        </w:rPr>
        <w:t>]</w:t>
      </w:r>
      <w:r w:rsidRPr="00AE4217">
        <w:rPr>
          <w:rFonts w:ascii="Times New Roman" w:hAnsi="Times New Roman" w:cs="Times New Roman"/>
          <w:i/>
        </w:rPr>
        <w:t>.</w:t>
      </w:r>
    </w:p>
    <w:p w:rsidR="00F450B0" w:rsidRPr="00AE4217" w:rsidRDefault="00F450B0" w:rsidP="00AE4217">
      <w:pPr>
        <w:pStyle w:val="ListParagraph"/>
        <w:numPr>
          <w:ilvl w:val="0"/>
          <w:numId w:val="14"/>
        </w:numPr>
        <w:spacing w:after="0" w:line="240" w:lineRule="auto"/>
        <w:jc w:val="both"/>
        <w:rPr>
          <w:rFonts w:ascii="Times New Roman" w:hAnsi="Times New Roman" w:cs="Times New Roman"/>
        </w:rPr>
      </w:pPr>
      <w:r w:rsidRPr="00AE4217">
        <w:rPr>
          <w:rFonts w:ascii="Times New Roman" w:hAnsi="Times New Roman" w:cs="Times New Roman"/>
        </w:rPr>
        <w:t>The matter is stuck off the roll</w:t>
      </w:r>
    </w:p>
    <w:p w:rsidR="00F450B0" w:rsidRPr="00AE4217" w:rsidRDefault="00F450B0" w:rsidP="00AE4217">
      <w:pPr>
        <w:pStyle w:val="ListParagraph"/>
        <w:numPr>
          <w:ilvl w:val="0"/>
          <w:numId w:val="14"/>
        </w:numPr>
        <w:spacing w:after="0" w:line="240" w:lineRule="auto"/>
        <w:jc w:val="both"/>
        <w:rPr>
          <w:rFonts w:ascii="Times New Roman" w:hAnsi="Times New Roman" w:cs="Times New Roman"/>
        </w:rPr>
      </w:pPr>
      <w:r w:rsidRPr="00AE4217">
        <w:rPr>
          <w:rFonts w:ascii="Times New Roman" w:hAnsi="Times New Roman" w:cs="Times New Roman"/>
        </w:rPr>
        <w:t>The applicant to pay wasted costs of the second respondent</w:t>
      </w:r>
    </w:p>
    <w:p w:rsidR="00F450B0" w:rsidRPr="00F450B0" w:rsidRDefault="00F450B0" w:rsidP="00AE4217">
      <w:pPr>
        <w:spacing w:after="0" w:line="240" w:lineRule="auto"/>
        <w:jc w:val="both"/>
        <w:rPr>
          <w:rFonts w:ascii="Times New Roman" w:hAnsi="Times New Roman" w:cs="Times New Roman"/>
        </w:rPr>
      </w:pPr>
    </w:p>
    <w:p w:rsidR="00AE4217" w:rsidRDefault="00AE4217" w:rsidP="00AE4217">
      <w:pPr>
        <w:spacing w:after="0" w:line="240" w:lineRule="auto"/>
        <w:jc w:val="both"/>
        <w:rPr>
          <w:rFonts w:ascii="Times New Roman" w:hAnsi="Times New Roman" w:cs="Times New Roman"/>
          <w:i/>
          <w:sz w:val="24"/>
          <w:szCs w:val="24"/>
        </w:rPr>
      </w:pPr>
    </w:p>
    <w:p w:rsidR="00AE4217" w:rsidRDefault="00AE4217" w:rsidP="00AE4217">
      <w:pPr>
        <w:spacing w:after="0" w:line="240" w:lineRule="auto"/>
        <w:jc w:val="both"/>
        <w:rPr>
          <w:rFonts w:ascii="Times New Roman" w:hAnsi="Times New Roman" w:cs="Times New Roman"/>
          <w:i/>
          <w:sz w:val="24"/>
          <w:szCs w:val="24"/>
        </w:rPr>
      </w:pPr>
    </w:p>
    <w:p w:rsidR="00AE4217" w:rsidRDefault="00AE4217" w:rsidP="00AE4217">
      <w:pPr>
        <w:spacing w:after="0" w:line="240" w:lineRule="auto"/>
        <w:jc w:val="both"/>
        <w:rPr>
          <w:rFonts w:ascii="Times New Roman" w:hAnsi="Times New Roman" w:cs="Times New Roman"/>
          <w:i/>
          <w:sz w:val="24"/>
          <w:szCs w:val="24"/>
        </w:rPr>
      </w:pPr>
    </w:p>
    <w:p w:rsidR="00AE4217" w:rsidRDefault="00AE4217" w:rsidP="00AE4217">
      <w:pPr>
        <w:spacing w:after="0" w:line="240" w:lineRule="auto"/>
        <w:jc w:val="both"/>
        <w:rPr>
          <w:rFonts w:ascii="Times New Roman" w:hAnsi="Times New Roman" w:cs="Times New Roman"/>
          <w:i/>
          <w:sz w:val="24"/>
          <w:szCs w:val="24"/>
        </w:rPr>
      </w:pPr>
    </w:p>
    <w:p w:rsidR="00AE4217" w:rsidRDefault="00AE4217" w:rsidP="00AE4217">
      <w:pPr>
        <w:spacing w:after="0" w:line="240" w:lineRule="auto"/>
        <w:jc w:val="both"/>
        <w:rPr>
          <w:rFonts w:ascii="Times New Roman" w:hAnsi="Times New Roman" w:cs="Times New Roman"/>
          <w:i/>
          <w:sz w:val="24"/>
          <w:szCs w:val="24"/>
        </w:rPr>
      </w:pPr>
    </w:p>
    <w:p w:rsidR="00AE4217" w:rsidRDefault="00AE4217" w:rsidP="00AE4217">
      <w:pPr>
        <w:spacing w:after="0" w:line="240" w:lineRule="auto"/>
        <w:jc w:val="both"/>
        <w:rPr>
          <w:rFonts w:ascii="Times New Roman" w:hAnsi="Times New Roman" w:cs="Times New Roman"/>
          <w:i/>
          <w:sz w:val="24"/>
          <w:szCs w:val="24"/>
        </w:rPr>
      </w:pPr>
    </w:p>
    <w:p w:rsidR="00AE4217" w:rsidRDefault="00AE4217" w:rsidP="00AE4217">
      <w:pPr>
        <w:spacing w:after="0" w:line="240" w:lineRule="auto"/>
        <w:jc w:val="both"/>
        <w:rPr>
          <w:rFonts w:ascii="Times New Roman" w:hAnsi="Times New Roman" w:cs="Times New Roman"/>
          <w:i/>
          <w:sz w:val="24"/>
          <w:szCs w:val="24"/>
        </w:rPr>
      </w:pPr>
    </w:p>
    <w:p w:rsidR="00F450B0" w:rsidRPr="00F450B0" w:rsidRDefault="00F450B0" w:rsidP="00E63482">
      <w:pPr>
        <w:spacing w:after="0" w:line="240" w:lineRule="auto"/>
        <w:jc w:val="both"/>
        <w:rPr>
          <w:rFonts w:ascii="Times New Roman" w:hAnsi="Times New Roman" w:cs="Times New Roman"/>
          <w:sz w:val="24"/>
          <w:szCs w:val="24"/>
        </w:rPr>
      </w:pPr>
      <w:r w:rsidRPr="00F450B0">
        <w:rPr>
          <w:rFonts w:ascii="Times New Roman" w:hAnsi="Times New Roman" w:cs="Times New Roman"/>
          <w:i/>
          <w:sz w:val="24"/>
          <w:szCs w:val="24"/>
        </w:rPr>
        <w:t>Mberi Tagwirei &amp;</w:t>
      </w:r>
      <w:r w:rsidR="00AE4217">
        <w:rPr>
          <w:rFonts w:ascii="Times New Roman" w:hAnsi="Times New Roman" w:cs="Times New Roman"/>
          <w:i/>
          <w:sz w:val="24"/>
          <w:szCs w:val="24"/>
        </w:rPr>
        <w:t xml:space="preserve"> </w:t>
      </w:r>
      <w:r w:rsidRPr="00F450B0">
        <w:rPr>
          <w:rFonts w:ascii="Times New Roman" w:hAnsi="Times New Roman" w:cs="Times New Roman"/>
          <w:i/>
          <w:sz w:val="24"/>
          <w:szCs w:val="24"/>
        </w:rPr>
        <w:t>Associates,</w:t>
      </w:r>
      <w:r w:rsidR="00AE4217">
        <w:rPr>
          <w:rFonts w:ascii="Times New Roman" w:hAnsi="Times New Roman" w:cs="Times New Roman"/>
          <w:sz w:val="24"/>
          <w:szCs w:val="24"/>
        </w:rPr>
        <w:t xml:space="preserve"> first applicant’s legal practitioners</w:t>
      </w:r>
    </w:p>
    <w:p w:rsidR="00F450B0" w:rsidRPr="00F450B0" w:rsidRDefault="00F450B0" w:rsidP="00E63482">
      <w:pPr>
        <w:spacing w:after="0" w:line="240" w:lineRule="auto"/>
        <w:jc w:val="both"/>
        <w:rPr>
          <w:rFonts w:ascii="Times New Roman" w:hAnsi="Times New Roman" w:cs="Times New Roman"/>
          <w:sz w:val="24"/>
          <w:szCs w:val="24"/>
        </w:rPr>
      </w:pPr>
      <w:r w:rsidRPr="00F450B0">
        <w:rPr>
          <w:rFonts w:ascii="Times New Roman" w:hAnsi="Times New Roman" w:cs="Times New Roman"/>
          <w:i/>
          <w:sz w:val="24"/>
          <w:szCs w:val="24"/>
        </w:rPr>
        <w:t xml:space="preserve">Sawyer and </w:t>
      </w:r>
      <w:r w:rsidR="00AE4217" w:rsidRPr="00F450B0">
        <w:rPr>
          <w:rFonts w:ascii="Times New Roman" w:hAnsi="Times New Roman" w:cs="Times New Roman"/>
          <w:i/>
          <w:sz w:val="24"/>
          <w:szCs w:val="24"/>
        </w:rPr>
        <w:t>Mkushi</w:t>
      </w:r>
      <w:r w:rsidR="00AE4217" w:rsidRPr="00F450B0">
        <w:rPr>
          <w:rFonts w:ascii="Times New Roman" w:hAnsi="Times New Roman" w:cs="Times New Roman"/>
          <w:sz w:val="24"/>
          <w:szCs w:val="24"/>
        </w:rPr>
        <w:t>,</w:t>
      </w:r>
      <w:r w:rsidR="00AE4217">
        <w:rPr>
          <w:rFonts w:ascii="Times New Roman" w:hAnsi="Times New Roman" w:cs="Times New Roman"/>
          <w:sz w:val="24"/>
          <w:szCs w:val="24"/>
        </w:rPr>
        <w:t xml:space="preserve"> second respondent’s legal practitioners</w:t>
      </w:r>
      <w:r w:rsidRPr="00F450B0">
        <w:rPr>
          <w:rFonts w:ascii="Times New Roman" w:hAnsi="Times New Roman" w:cs="Times New Roman"/>
          <w:sz w:val="24"/>
          <w:szCs w:val="24"/>
        </w:rPr>
        <w:t xml:space="preserve"> </w:t>
      </w:r>
    </w:p>
    <w:p w:rsidR="00F450B0" w:rsidRPr="00F450B0" w:rsidRDefault="00F450B0" w:rsidP="00E63482">
      <w:pPr>
        <w:spacing w:after="0" w:line="240" w:lineRule="auto"/>
        <w:jc w:val="both"/>
        <w:rPr>
          <w:rFonts w:ascii="Times New Roman" w:hAnsi="Times New Roman" w:cs="Times New Roman"/>
          <w:sz w:val="24"/>
          <w:szCs w:val="24"/>
        </w:rPr>
      </w:pPr>
      <w:r w:rsidRPr="00F450B0">
        <w:rPr>
          <w:rFonts w:ascii="Times New Roman" w:hAnsi="Times New Roman" w:cs="Times New Roman"/>
          <w:sz w:val="24"/>
          <w:szCs w:val="24"/>
        </w:rPr>
        <w:t xml:space="preserve">                                         </w:t>
      </w:r>
    </w:p>
    <w:p w:rsidR="00A65F2E" w:rsidRDefault="00A65F2E" w:rsidP="00E63482">
      <w:pPr>
        <w:spacing w:line="240" w:lineRule="auto"/>
        <w:ind w:left="720"/>
        <w:jc w:val="both"/>
        <w:rPr>
          <w:rFonts w:ascii="Times New Roman" w:hAnsi="Times New Roman" w:cs="Times New Roman"/>
          <w:sz w:val="24"/>
          <w:szCs w:val="24"/>
        </w:rPr>
      </w:pPr>
    </w:p>
    <w:p w:rsidR="00F450B0" w:rsidRDefault="00F450B0" w:rsidP="00AE4217">
      <w:pPr>
        <w:spacing w:line="360" w:lineRule="auto"/>
        <w:ind w:left="720"/>
        <w:jc w:val="both"/>
        <w:rPr>
          <w:rFonts w:ascii="Times New Roman" w:hAnsi="Times New Roman" w:cs="Times New Roman"/>
          <w:sz w:val="24"/>
          <w:szCs w:val="24"/>
        </w:rPr>
      </w:pPr>
    </w:p>
    <w:p w:rsidR="00F450B0" w:rsidRDefault="00F450B0" w:rsidP="00AE4217">
      <w:pPr>
        <w:spacing w:line="360" w:lineRule="auto"/>
        <w:ind w:left="720"/>
        <w:jc w:val="both"/>
        <w:rPr>
          <w:rFonts w:ascii="Times New Roman" w:hAnsi="Times New Roman" w:cs="Times New Roman"/>
          <w:sz w:val="24"/>
          <w:szCs w:val="24"/>
        </w:rPr>
      </w:pPr>
    </w:p>
    <w:p w:rsidR="00F450B0" w:rsidRDefault="00F450B0" w:rsidP="00AE4217">
      <w:pPr>
        <w:spacing w:line="360" w:lineRule="auto"/>
        <w:ind w:left="720"/>
        <w:jc w:val="both"/>
        <w:rPr>
          <w:rFonts w:ascii="Times New Roman" w:hAnsi="Times New Roman" w:cs="Times New Roman"/>
          <w:sz w:val="24"/>
          <w:szCs w:val="24"/>
        </w:rPr>
      </w:pPr>
    </w:p>
    <w:p w:rsidR="00A65F2E" w:rsidRPr="000674AB" w:rsidRDefault="00A65F2E" w:rsidP="00AE4217">
      <w:pPr>
        <w:spacing w:line="360" w:lineRule="auto"/>
        <w:ind w:left="720"/>
        <w:jc w:val="both"/>
        <w:rPr>
          <w:rFonts w:ascii="Times New Roman" w:hAnsi="Times New Roman" w:cs="Times New Roman"/>
          <w:sz w:val="24"/>
          <w:szCs w:val="24"/>
        </w:rPr>
      </w:pPr>
    </w:p>
    <w:p w:rsidR="00A65F2E" w:rsidRPr="00A103A2" w:rsidRDefault="00A65F2E" w:rsidP="00AE4217">
      <w:pPr>
        <w:spacing w:line="360" w:lineRule="auto"/>
        <w:jc w:val="both"/>
        <w:rPr>
          <w:rFonts w:ascii="Times New Roman" w:hAnsi="Times New Roman" w:cs="Times New Roman"/>
          <w:sz w:val="24"/>
          <w:szCs w:val="24"/>
        </w:rPr>
      </w:pPr>
    </w:p>
    <w:p w:rsidR="002F5DB5" w:rsidRPr="00A75AEE" w:rsidRDefault="002F5DB5" w:rsidP="00AE4217">
      <w:pPr>
        <w:pStyle w:val="ListParagraph"/>
        <w:spacing w:after="0" w:line="360" w:lineRule="auto"/>
        <w:ind w:left="1440"/>
        <w:jc w:val="both"/>
        <w:rPr>
          <w:rFonts w:ascii="Times New Roman" w:hAnsi="Times New Roman" w:cs="Times New Roman"/>
          <w:sz w:val="24"/>
          <w:szCs w:val="24"/>
        </w:rPr>
      </w:pPr>
    </w:p>
    <w:p w:rsidR="0096665B" w:rsidRPr="00D3324B" w:rsidRDefault="0096665B" w:rsidP="00AE4217">
      <w:pPr>
        <w:spacing w:after="0" w:line="240" w:lineRule="auto"/>
        <w:ind w:left="1080"/>
        <w:jc w:val="both"/>
        <w:rPr>
          <w:rFonts w:ascii="Times New Roman" w:hAnsi="Times New Roman" w:cs="Times New Roman"/>
          <w:sz w:val="24"/>
          <w:szCs w:val="24"/>
        </w:rPr>
      </w:pPr>
    </w:p>
    <w:sectPr w:rsidR="0096665B" w:rsidRPr="00D332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C4C" w:rsidRDefault="00066C4C" w:rsidP="00152BF1">
      <w:pPr>
        <w:spacing w:after="0" w:line="240" w:lineRule="auto"/>
      </w:pPr>
      <w:r>
        <w:separator/>
      </w:r>
    </w:p>
  </w:endnote>
  <w:endnote w:type="continuationSeparator" w:id="0">
    <w:p w:rsidR="00066C4C" w:rsidRDefault="00066C4C" w:rsidP="0015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C4C" w:rsidRDefault="00066C4C" w:rsidP="00152BF1">
      <w:pPr>
        <w:spacing w:after="0" w:line="240" w:lineRule="auto"/>
      </w:pPr>
      <w:r>
        <w:separator/>
      </w:r>
    </w:p>
  </w:footnote>
  <w:footnote w:type="continuationSeparator" w:id="0">
    <w:p w:rsidR="00066C4C" w:rsidRDefault="00066C4C" w:rsidP="00152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042350"/>
      <w:docPartObj>
        <w:docPartGallery w:val="Page Numbers (Top of Page)"/>
        <w:docPartUnique/>
      </w:docPartObj>
    </w:sdtPr>
    <w:sdtEndPr>
      <w:rPr>
        <w:noProof/>
      </w:rPr>
    </w:sdtEndPr>
    <w:sdtContent>
      <w:p w:rsidR="00152BF1" w:rsidRDefault="00152BF1">
        <w:pPr>
          <w:pStyle w:val="Header"/>
          <w:jc w:val="right"/>
          <w:rPr>
            <w:noProof/>
          </w:rPr>
        </w:pPr>
        <w:r>
          <w:fldChar w:fldCharType="begin"/>
        </w:r>
        <w:r>
          <w:instrText xml:space="preserve"> PAGE   \* MERGEFORMAT </w:instrText>
        </w:r>
        <w:r>
          <w:fldChar w:fldCharType="separate"/>
        </w:r>
        <w:r w:rsidR="00DB6FC8">
          <w:rPr>
            <w:noProof/>
          </w:rPr>
          <w:t>1</w:t>
        </w:r>
        <w:r>
          <w:rPr>
            <w:noProof/>
          </w:rPr>
          <w:fldChar w:fldCharType="end"/>
        </w:r>
      </w:p>
      <w:p w:rsidR="00152BF1" w:rsidRDefault="001E5CB3">
        <w:pPr>
          <w:pStyle w:val="Header"/>
          <w:jc w:val="right"/>
          <w:rPr>
            <w:noProof/>
          </w:rPr>
        </w:pPr>
        <w:r>
          <w:rPr>
            <w:noProof/>
          </w:rPr>
          <w:t>HH 705-22</w:t>
        </w:r>
      </w:p>
      <w:p w:rsidR="00152BF1" w:rsidRDefault="00152BF1">
        <w:pPr>
          <w:pStyle w:val="Header"/>
          <w:jc w:val="right"/>
        </w:pPr>
        <w:r>
          <w:rPr>
            <w:noProof/>
          </w:rPr>
          <w:t>HC 801/22</w:t>
        </w:r>
      </w:p>
    </w:sdtContent>
  </w:sdt>
  <w:p w:rsidR="00152BF1" w:rsidRDefault="00152B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5BF4"/>
    <w:multiLevelType w:val="hybridMultilevel"/>
    <w:tmpl w:val="40CAED34"/>
    <w:lvl w:ilvl="0" w:tplc="48DED4C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676CD3"/>
    <w:multiLevelType w:val="multilevel"/>
    <w:tmpl w:val="64440DCC"/>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1EA00C23"/>
    <w:multiLevelType w:val="hybridMultilevel"/>
    <w:tmpl w:val="FE62A7BE"/>
    <w:lvl w:ilvl="0" w:tplc="04CA2078">
      <w:start w:val="1"/>
      <w:numFmt w:val="lowerLetter"/>
      <w:lvlText w:val="(%1)"/>
      <w:lvlJc w:val="left"/>
      <w:pPr>
        <w:ind w:left="1494" w:hanging="360"/>
      </w:pPr>
      <w:rPr>
        <w:rFonts w:hint="default"/>
      </w:rPr>
    </w:lvl>
    <w:lvl w:ilvl="1" w:tplc="30090019">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 w15:restartNumberingAfterBreak="0">
    <w:nsid w:val="28102F14"/>
    <w:multiLevelType w:val="hybridMultilevel"/>
    <w:tmpl w:val="C8CE162C"/>
    <w:lvl w:ilvl="0" w:tplc="539C0C9A">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34665950"/>
    <w:multiLevelType w:val="hybridMultilevel"/>
    <w:tmpl w:val="3B6C2790"/>
    <w:lvl w:ilvl="0" w:tplc="04090017">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5" w15:restartNumberingAfterBreak="0">
    <w:nsid w:val="364C43EC"/>
    <w:multiLevelType w:val="hybridMultilevel"/>
    <w:tmpl w:val="457C347E"/>
    <w:lvl w:ilvl="0" w:tplc="04090017">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6" w15:restartNumberingAfterBreak="0">
    <w:nsid w:val="3F5260B5"/>
    <w:multiLevelType w:val="hybridMultilevel"/>
    <w:tmpl w:val="9C5C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E7A09"/>
    <w:multiLevelType w:val="hybridMultilevel"/>
    <w:tmpl w:val="2A6AADF0"/>
    <w:lvl w:ilvl="0" w:tplc="D58AA3B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4EFD0788"/>
    <w:multiLevelType w:val="hybridMultilevel"/>
    <w:tmpl w:val="6CDA46DA"/>
    <w:lvl w:ilvl="0" w:tplc="6694C2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2191E9E"/>
    <w:multiLevelType w:val="hybridMultilevel"/>
    <w:tmpl w:val="A4DE8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07299"/>
    <w:multiLevelType w:val="hybridMultilevel"/>
    <w:tmpl w:val="D6C6F0E4"/>
    <w:lvl w:ilvl="0" w:tplc="AD7E4E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A8A79C8"/>
    <w:multiLevelType w:val="hybridMultilevel"/>
    <w:tmpl w:val="B97415C2"/>
    <w:lvl w:ilvl="0" w:tplc="15A0EE12">
      <w:start w:val="1"/>
      <w:numFmt w:val="decimal"/>
      <w:lvlText w:val="(%1)"/>
      <w:lvlJc w:val="left"/>
      <w:pPr>
        <w:ind w:left="5606" w:hanging="360"/>
      </w:pPr>
      <w:rPr>
        <w:rFonts w:hint="default"/>
      </w:rPr>
    </w:lvl>
    <w:lvl w:ilvl="1" w:tplc="30090019" w:tentative="1">
      <w:start w:val="1"/>
      <w:numFmt w:val="lowerLetter"/>
      <w:lvlText w:val="%2."/>
      <w:lvlJc w:val="left"/>
      <w:pPr>
        <w:ind w:left="6326" w:hanging="360"/>
      </w:pPr>
    </w:lvl>
    <w:lvl w:ilvl="2" w:tplc="3009001B" w:tentative="1">
      <w:start w:val="1"/>
      <w:numFmt w:val="lowerRoman"/>
      <w:lvlText w:val="%3."/>
      <w:lvlJc w:val="right"/>
      <w:pPr>
        <w:ind w:left="7046" w:hanging="180"/>
      </w:pPr>
    </w:lvl>
    <w:lvl w:ilvl="3" w:tplc="3009000F" w:tentative="1">
      <w:start w:val="1"/>
      <w:numFmt w:val="decimal"/>
      <w:lvlText w:val="%4."/>
      <w:lvlJc w:val="left"/>
      <w:pPr>
        <w:ind w:left="7766" w:hanging="360"/>
      </w:pPr>
    </w:lvl>
    <w:lvl w:ilvl="4" w:tplc="30090019" w:tentative="1">
      <w:start w:val="1"/>
      <w:numFmt w:val="lowerLetter"/>
      <w:lvlText w:val="%5."/>
      <w:lvlJc w:val="left"/>
      <w:pPr>
        <w:ind w:left="8486" w:hanging="360"/>
      </w:pPr>
    </w:lvl>
    <w:lvl w:ilvl="5" w:tplc="3009001B" w:tentative="1">
      <w:start w:val="1"/>
      <w:numFmt w:val="lowerRoman"/>
      <w:lvlText w:val="%6."/>
      <w:lvlJc w:val="right"/>
      <w:pPr>
        <w:ind w:left="9206" w:hanging="180"/>
      </w:pPr>
    </w:lvl>
    <w:lvl w:ilvl="6" w:tplc="3009000F" w:tentative="1">
      <w:start w:val="1"/>
      <w:numFmt w:val="decimal"/>
      <w:lvlText w:val="%7."/>
      <w:lvlJc w:val="left"/>
      <w:pPr>
        <w:ind w:left="9926" w:hanging="360"/>
      </w:pPr>
    </w:lvl>
    <w:lvl w:ilvl="7" w:tplc="30090019" w:tentative="1">
      <w:start w:val="1"/>
      <w:numFmt w:val="lowerLetter"/>
      <w:lvlText w:val="%8."/>
      <w:lvlJc w:val="left"/>
      <w:pPr>
        <w:ind w:left="10646" w:hanging="360"/>
      </w:pPr>
    </w:lvl>
    <w:lvl w:ilvl="8" w:tplc="3009001B" w:tentative="1">
      <w:start w:val="1"/>
      <w:numFmt w:val="lowerRoman"/>
      <w:lvlText w:val="%9."/>
      <w:lvlJc w:val="right"/>
      <w:pPr>
        <w:ind w:left="11366" w:hanging="180"/>
      </w:pPr>
    </w:lvl>
  </w:abstractNum>
  <w:abstractNum w:abstractNumId="12" w15:restartNumberingAfterBreak="0">
    <w:nsid w:val="6ADC4720"/>
    <w:multiLevelType w:val="hybridMultilevel"/>
    <w:tmpl w:val="C032E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3364C2"/>
    <w:multiLevelType w:val="hybridMultilevel"/>
    <w:tmpl w:val="5254ED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770524"/>
    <w:multiLevelType w:val="hybridMultilevel"/>
    <w:tmpl w:val="23D02AB2"/>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7DE800E2"/>
    <w:multiLevelType w:val="hybridMultilevel"/>
    <w:tmpl w:val="1044767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DF1612B"/>
    <w:multiLevelType w:val="hybridMultilevel"/>
    <w:tmpl w:val="19CCEDD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9"/>
  </w:num>
  <w:num w:numId="3">
    <w:abstractNumId w:val="12"/>
  </w:num>
  <w:num w:numId="4">
    <w:abstractNumId w:val="15"/>
  </w:num>
  <w:num w:numId="5">
    <w:abstractNumId w:val="16"/>
  </w:num>
  <w:num w:numId="6">
    <w:abstractNumId w:val="0"/>
  </w:num>
  <w:num w:numId="7">
    <w:abstractNumId w:val="1"/>
  </w:num>
  <w:num w:numId="8">
    <w:abstractNumId w:val="8"/>
  </w:num>
  <w:num w:numId="9">
    <w:abstractNumId w:val="7"/>
  </w:num>
  <w:num w:numId="10">
    <w:abstractNumId w:val="10"/>
  </w:num>
  <w:num w:numId="11">
    <w:abstractNumId w:val="11"/>
  </w:num>
  <w:num w:numId="12">
    <w:abstractNumId w:val="2"/>
  </w:num>
  <w:num w:numId="13">
    <w:abstractNumId w:val="3"/>
  </w:num>
  <w:num w:numId="14">
    <w:abstractNumId w:val="6"/>
  </w:num>
  <w:num w:numId="15">
    <w:abstractNumId w:val="14"/>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F1"/>
    <w:rsid w:val="00006B1C"/>
    <w:rsid w:val="00066C4C"/>
    <w:rsid w:val="00085210"/>
    <w:rsid w:val="000966CE"/>
    <w:rsid w:val="0009713B"/>
    <w:rsid w:val="00102A31"/>
    <w:rsid w:val="00152BF1"/>
    <w:rsid w:val="001A5ED9"/>
    <w:rsid w:val="001D7BAC"/>
    <w:rsid w:val="001E5CB3"/>
    <w:rsid w:val="00256A70"/>
    <w:rsid w:val="00257040"/>
    <w:rsid w:val="002F5DB5"/>
    <w:rsid w:val="00443E88"/>
    <w:rsid w:val="004B0170"/>
    <w:rsid w:val="00551AD5"/>
    <w:rsid w:val="005707D3"/>
    <w:rsid w:val="005A0959"/>
    <w:rsid w:val="005E0662"/>
    <w:rsid w:val="006140AD"/>
    <w:rsid w:val="006251D5"/>
    <w:rsid w:val="0075775B"/>
    <w:rsid w:val="0086484B"/>
    <w:rsid w:val="00901239"/>
    <w:rsid w:val="00913006"/>
    <w:rsid w:val="009362F6"/>
    <w:rsid w:val="0096665B"/>
    <w:rsid w:val="00A65F2E"/>
    <w:rsid w:val="00A75AEE"/>
    <w:rsid w:val="00AE4217"/>
    <w:rsid w:val="00B05EC0"/>
    <w:rsid w:val="00B472B3"/>
    <w:rsid w:val="00BE0398"/>
    <w:rsid w:val="00C04540"/>
    <w:rsid w:val="00C52CDC"/>
    <w:rsid w:val="00C8646C"/>
    <w:rsid w:val="00CB11E1"/>
    <w:rsid w:val="00D23FCB"/>
    <w:rsid w:val="00D3324B"/>
    <w:rsid w:val="00DB6FC8"/>
    <w:rsid w:val="00DE3A8A"/>
    <w:rsid w:val="00E63482"/>
    <w:rsid w:val="00F259D3"/>
    <w:rsid w:val="00F450B0"/>
    <w:rsid w:val="00F7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A37FF-93E4-4F18-BC3F-8FF9FD78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BF1"/>
  </w:style>
  <w:style w:type="paragraph" w:styleId="Footer">
    <w:name w:val="footer"/>
    <w:basedOn w:val="Normal"/>
    <w:link w:val="FooterChar"/>
    <w:uiPriority w:val="99"/>
    <w:unhideWhenUsed/>
    <w:rsid w:val="00152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BF1"/>
  </w:style>
  <w:style w:type="paragraph" w:styleId="ListParagraph">
    <w:name w:val="List Paragraph"/>
    <w:basedOn w:val="Normal"/>
    <w:uiPriority w:val="34"/>
    <w:qFormat/>
    <w:rsid w:val="00901239"/>
    <w:pPr>
      <w:ind w:left="720"/>
      <w:contextualSpacing/>
    </w:pPr>
  </w:style>
  <w:style w:type="paragraph" w:styleId="NormalWeb">
    <w:name w:val="Normal (Web)"/>
    <w:basedOn w:val="Normal"/>
    <w:uiPriority w:val="99"/>
    <w:unhideWhenUsed/>
    <w:rsid w:val="005707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7D3"/>
    <w:rPr>
      <w:b/>
      <w:bCs/>
    </w:rPr>
  </w:style>
  <w:style w:type="character" w:styleId="Emphasis">
    <w:name w:val="Emphasis"/>
    <w:basedOn w:val="DefaultParagraphFont"/>
    <w:uiPriority w:val="20"/>
    <w:qFormat/>
    <w:rsid w:val="005707D3"/>
    <w:rPr>
      <w:i/>
      <w:iCs/>
    </w:rPr>
  </w:style>
  <w:style w:type="paragraph" w:styleId="BalloonText">
    <w:name w:val="Balloon Text"/>
    <w:basedOn w:val="Normal"/>
    <w:link w:val="BalloonTextChar"/>
    <w:uiPriority w:val="99"/>
    <w:semiHidden/>
    <w:unhideWhenUsed/>
    <w:rsid w:val="00DE3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6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4082</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2022-10-06T13:40:00Z</cp:lastPrinted>
  <dcterms:created xsi:type="dcterms:W3CDTF">2022-10-14T07:55:00Z</dcterms:created>
  <dcterms:modified xsi:type="dcterms:W3CDTF">2022-10-14T07:55:00Z</dcterms:modified>
</cp:coreProperties>
</file>