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88" w:rsidRDefault="00B95188" w:rsidP="00F3664E">
      <w:pPr>
        <w:pStyle w:val="NoSpacing"/>
        <w:jc w:val="both"/>
        <w:rPr>
          <w:rFonts w:ascii="Times New Roman" w:hAnsi="Times New Roman" w:cs="Times New Roman"/>
          <w:b/>
          <w:sz w:val="24"/>
          <w:szCs w:val="24"/>
        </w:rPr>
      </w:pPr>
      <w:r>
        <w:rPr>
          <w:rFonts w:ascii="Times New Roman" w:hAnsi="Times New Roman" w:cs="Times New Roman"/>
          <w:b/>
          <w:sz w:val="24"/>
          <w:szCs w:val="24"/>
        </w:rPr>
        <w:t>ABEDNICO BHEBHE</w:t>
      </w: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sz w:val="24"/>
          <w:szCs w:val="24"/>
        </w:rPr>
      </w:pPr>
      <w:r>
        <w:rPr>
          <w:rFonts w:ascii="Times New Roman" w:hAnsi="Times New Roman" w:cs="Times New Roman"/>
          <w:b/>
          <w:sz w:val="24"/>
          <w:szCs w:val="24"/>
        </w:rPr>
        <w:t>LUPANE STATE UNIVERSITY</w:t>
      </w:r>
    </w:p>
    <w:p w:rsidR="00B95188" w:rsidRDefault="00B95188" w:rsidP="00F3664E">
      <w:pPr>
        <w:pStyle w:val="NoSpacing"/>
        <w:jc w:val="both"/>
        <w:rPr>
          <w:rFonts w:ascii="Times New Roman" w:hAnsi="Times New Roman" w:cs="Times New Roman"/>
          <w:sz w:val="24"/>
          <w:szCs w:val="24"/>
        </w:rPr>
      </w:pPr>
    </w:p>
    <w:p w:rsidR="00B95188" w:rsidRDefault="00B95188" w:rsidP="00F3664E">
      <w:pPr>
        <w:pStyle w:val="NoSpacing"/>
        <w:jc w:val="both"/>
        <w:rPr>
          <w:rFonts w:ascii="Times New Roman" w:hAnsi="Times New Roman" w:cs="Times New Roman"/>
          <w:sz w:val="24"/>
          <w:szCs w:val="24"/>
        </w:rPr>
      </w:pPr>
    </w:p>
    <w:p w:rsidR="00B95188" w:rsidRDefault="00B95188" w:rsidP="00F3664E">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B95188" w:rsidRDefault="00B95188" w:rsidP="00F3664E">
      <w:pPr>
        <w:pStyle w:val="NoSpacing"/>
        <w:jc w:val="both"/>
        <w:rPr>
          <w:rFonts w:ascii="Times New Roman" w:hAnsi="Times New Roman" w:cs="Times New Roman"/>
          <w:sz w:val="24"/>
          <w:szCs w:val="24"/>
        </w:rPr>
      </w:pPr>
      <w:r>
        <w:rPr>
          <w:rFonts w:ascii="Times New Roman" w:hAnsi="Times New Roman" w:cs="Times New Roman"/>
          <w:sz w:val="24"/>
          <w:szCs w:val="24"/>
        </w:rPr>
        <w:t>MAKONESE J</w:t>
      </w:r>
    </w:p>
    <w:p w:rsidR="00B95188" w:rsidRDefault="00B95188" w:rsidP="00F3664E">
      <w:pPr>
        <w:pStyle w:val="NoSpacing"/>
        <w:jc w:val="both"/>
        <w:rPr>
          <w:rFonts w:ascii="Times New Roman" w:hAnsi="Times New Roman" w:cs="Times New Roman"/>
          <w:sz w:val="24"/>
          <w:szCs w:val="24"/>
        </w:rPr>
      </w:pPr>
      <w:r>
        <w:rPr>
          <w:rFonts w:ascii="Times New Roman" w:hAnsi="Times New Roman" w:cs="Times New Roman"/>
          <w:sz w:val="24"/>
          <w:szCs w:val="24"/>
        </w:rPr>
        <w:t>BULAWAYO 19 NOVEMBER 2018 AND 23 JANUARY 2020</w:t>
      </w:r>
    </w:p>
    <w:p w:rsidR="00B95188" w:rsidRDefault="00B95188" w:rsidP="00F3664E">
      <w:pPr>
        <w:pStyle w:val="NoSpacing"/>
        <w:jc w:val="both"/>
        <w:rPr>
          <w:rFonts w:ascii="Times New Roman" w:hAnsi="Times New Roman" w:cs="Times New Roman"/>
          <w:sz w:val="24"/>
          <w:szCs w:val="24"/>
        </w:rPr>
      </w:pP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B95188" w:rsidRDefault="00B95188" w:rsidP="00F3664E">
      <w:pPr>
        <w:pStyle w:val="NoSpacing"/>
        <w:jc w:val="both"/>
        <w:rPr>
          <w:rFonts w:ascii="Times New Roman" w:hAnsi="Times New Roman" w:cs="Times New Roman"/>
          <w:b/>
          <w:sz w:val="24"/>
          <w:szCs w:val="24"/>
        </w:rPr>
      </w:pPr>
    </w:p>
    <w:p w:rsidR="00B95188" w:rsidRDefault="00B95188" w:rsidP="00F3664E">
      <w:pPr>
        <w:pStyle w:val="NoSpacing"/>
        <w:jc w:val="both"/>
        <w:rPr>
          <w:rFonts w:ascii="Times New Roman" w:hAnsi="Times New Roman" w:cs="Times New Roman"/>
          <w:i/>
          <w:sz w:val="24"/>
          <w:szCs w:val="24"/>
        </w:rPr>
      </w:pPr>
    </w:p>
    <w:p w:rsidR="00B95188" w:rsidRDefault="00B95188" w:rsidP="00F3664E">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Ngwenya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F3664E">
        <w:rPr>
          <w:rFonts w:ascii="Times New Roman" w:hAnsi="Times New Roman" w:cs="Times New Roman"/>
          <w:sz w:val="24"/>
          <w:szCs w:val="24"/>
        </w:rPr>
        <w:t xml:space="preserve">the </w:t>
      </w:r>
      <w:r>
        <w:rPr>
          <w:rFonts w:ascii="Times New Roman" w:hAnsi="Times New Roman" w:cs="Times New Roman"/>
          <w:sz w:val="24"/>
          <w:szCs w:val="24"/>
        </w:rPr>
        <w:t>applicant</w:t>
      </w:r>
    </w:p>
    <w:p w:rsidR="00B95188" w:rsidRDefault="00B95188" w:rsidP="00F3664E">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F3664E">
        <w:rPr>
          <w:rFonts w:ascii="Times New Roman" w:hAnsi="Times New Roman" w:cs="Times New Roman"/>
          <w:sz w:val="24"/>
          <w:szCs w:val="24"/>
        </w:rPr>
        <w:t xml:space="preserve">the </w:t>
      </w:r>
      <w:r>
        <w:rPr>
          <w:rFonts w:ascii="Times New Roman" w:hAnsi="Times New Roman" w:cs="Times New Roman"/>
          <w:sz w:val="24"/>
          <w:szCs w:val="24"/>
        </w:rPr>
        <w:t>respondent</w:t>
      </w:r>
    </w:p>
    <w:p w:rsidR="00B95188" w:rsidRDefault="00B95188" w:rsidP="00F3664E">
      <w:pPr>
        <w:jc w:val="both"/>
        <w:rPr>
          <w:sz w:val="24"/>
          <w:szCs w:val="24"/>
        </w:rPr>
      </w:pPr>
    </w:p>
    <w:p w:rsidR="001D08C3" w:rsidRDefault="00B95188" w:rsidP="00F3664E">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sidR="00DD06F9">
        <w:rPr>
          <w:rFonts w:ascii="Times New Roman" w:hAnsi="Times New Roman" w:cs="Times New Roman"/>
          <w:sz w:val="24"/>
          <w:szCs w:val="24"/>
        </w:rPr>
        <w:t>This</w:t>
      </w:r>
      <w:r>
        <w:rPr>
          <w:rFonts w:ascii="Times New Roman" w:hAnsi="Times New Roman" w:cs="Times New Roman"/>
          <w:sz w:val="24"/>
          <w:szCs w:val="24"/>
        </w:rPr>
        <w:t xml:space="preserve"> court application for review was filed on the 19</w:t>
      </w:r>
      <w:r w:rsidRPr="00B95188">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The parties appeared before me on the 19</w:t>
      </w:r>
      <w:r w:rsidRPr="00B9518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and argued the matter.  After hearing argument I dismissed the application with costs.</w:t>
      </w:r>
    </w:p>
    <w:p w:rsidR="00B95188" w:rsidRDefault="00B95188"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I have been asked to provide reasons for my decision.  These are my reasons.</w:t>
      </w:r>
    </w:p>
    <w:p w:rsidR="00B95188" w:rsidRDefault="00B95188"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filed an application in terms of section 26 of the High Court Act </w:t>
      </w:r>
      <w:r w:rsidR="00F3664E">
        <w:rPr>
          <w:rFonts w:ascii="Times New Roman" w:hAnsi="Times New Roman" w:cs="Times New Roman"/>
          <w:sz w:val="24"/>
          <w:szCs w:val="24"/>
        </w:rPr>
        <w:t>(</w:t>
      </w:r>
      <w:r>
        <w:rPr>
          <w:rFonts w:ascii="Times New Roman" w:hAnsi="Times New Roman" w:cs="Times New Roman"/>
          <w:sz w:val="24"/>
          <w:szCs w:val="24"/>
        </w:rPr>
        <w:t xml:space="preserve">Chapter </w:t>
      </w:r>
      <w:r w:rsidR="00F3664E">
        <w:rPr>
          <w:rFonts w:ascii="Times New Roman" w:hAnsi="Times New Roman" w:cs="Times New Roman"/>
          <w:sz w:val="24"/>
          <w:szCs w:val="24"/>
        </w:rPr>
        <w:t>7:0</w:t>
      </w:r>
      <w:r>
        <w:rPr>
          <w:rFonts w:ascii="Times New Roman" w:hAnsi="Times New Roman" w:cs="Times New Roman"/>
          <w:sz w:val="24"/>
          <w:szCs w:val="24"/>
        </w:rPr>
        <w:t>6) for</w:t>
      </w:r>
      <w:r w:rsidR="009051F5">
        <w:rPr>
          <w:rFonts w:ascii="Times New Roman" w:hAnsi="Times New Roman" w:cs="Times New Roman"/>
          <w:sz w:val="24"/>
          <w:szCs w:val="24"/>
        </w:rPr>
        <w:t xml:space="preserve"> the</w:t>
      </w:r>
      <w:r>
        <w:rPr>
          <w:rFonts w:ascii="Times New Roman" w:hAnsi="Times New Roman" w:cs="Times New Roman"/>
          <w:sz w:val="24"/>
          <w:szCs w:val="24"/>
        </w:rPr>
        <w:t xml:space="preserve"> Review of the decision of Respondent’s Academic Board reversing the granting of an exemption from undergoing or undertaking industrial attachment.  The grounds for review were set out in the following terms:</w:t>
      </w:r>
    </w:p>
    <w:p w:rsidR="00B95188" w:rsidRDefault="00B95188" w:rsidP="00F3664E">
      <w:pPr>
        <w:pStyle w:val="ListParagraph"/>
        <w:numPr>
          <w:ilvl w:val="0"/>
          <w:numId w:val="1"/>
        </w:numPr>
        <w:spacing w:line="360" w:lineRule="auto"/>
        <w:jc w:val="both"/>
        <w:rPr>
          <w:rFonts w:ascii="Times New Roman" w:hAnsi="Times New Roman" w:cs="Times New Roman"/>
          <w:sz w:val="24"/>
          <w:szCs w:val="24"/>
        </w:rPr>
      </w:pPr>
      <w:r w:rsidRPr="00B95188">
        <w:rPr>
          <w:rFonts w:ascii="Times New Roman" w:hAnsi="Times New Roman" w:cs="Times New Roman"/>
          <w:sz w:val="24"/>
          <w:szCs w:val="24"/>
        </w:rPr>
        <w:t>The respondent’s Academic Board lacked jurisdiction to reverse the granting of the applicant exemption to undergo and undertake industrial attachment after the applicant had been assessed using formal and normal channels</w:t>
      </w:r>
      <w:r w:rsidR="00994DE8">
        <w:rPr>
          <w:rFonts w:ascii="Times New Roman" w:hAnsi="Times New Roman" w:cs="Times New Roman"/>
          <w:sz w:val="24"/>
          <w:szCs w:val="24"/>
        </w:rPr>
        <w:t xml:space="preserve"> of assessing students on industrial attachment.</w:t>
      </w:r>
    </w:p>
    <w:p w:rsidR="00994DE8" w:rsidRDefault="00994DE8" w:rsidP="00F3664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F3664E">
        <w:rPr>
          <w:rFonts w:ascii="Times New Roman" w:hAnsi="Times New Roman" w:cs="Times New Roman"/>
          <w:sz w:val="24"/>
          <w:szCs w:val="24"/>
        </w:rPr>
        <w:t>’</w:t>
      </w:r>
      <w:r>
        <w:rPr>
          <w:rFonts w:ascii="Times New Roman" w:hAnsi="Times New Roman" w:cs="Times New Roman"/>
          <w:sz w:val="24"/>
          <w:szCs w:val="24"/>
        </w:rPr>
        <w:t xml:space="preserve">s Academic Board’s decision to reverse the granting of the applicant exemption from undergoing or undertaking industrial attachment is grossly irregular and unreasonable in that it is </w:t>
      </w:r>
      <w:r w:rsidRPr="00994DE8">
        <w:rPr>
          <w:rFonts w:ascii="Times New Roman" w:hAnsi="Times New Roman" w:cs="Times New Roman"/>
          <w:i/>
          <w:sz w:val="24"/>
          <w:szCs w:val="24"/>
        </w:rPr>
        <w:t xml:space="preserve">ultra </w:t>
      </w:r>
      <w:proofErr w:type="spellStart"/>
      <w:r w:rsidRPr="00994DE8">
        <w:rPr>
          <w:rFonts w:ascii="Times New Roman" w:hAnsi="Times New Roman" w:cs="Times New Roman"/>
          <w:i/>
          <w:sz w:val="24"/>
          <w:szCs w:val="24"/>
        </w:rPr>
        <w:t>vires</w:t>
      </w:r>
      <w:proofErr w:type="spellEnd"/>
      <w:r>
        <w:rPr>
          <w:rFonts w:ascii="Times New Roman" w:hAnsi="Times New Roman" w:cs="Times New Roman"/>
          <w:sz w:val="24"/>
          <w:szCs w:val="24"/>
        </w:rPr>
        <w:t xml:space="preserve"> the respondent’s </w:t>
      </w:r>
      <w:r w:rsidR="00F3664E">
        <w:rPr>
          <w:rFonts w:ascii="Times New Roman" w:hAnsi="Times New Roman" w:cs="Times New Roman"/>
          <w:sz w:val="24"/>
          <w:szCs w:val="24"/>
        </w:rPr>
        <w:t xml:space="preserve">Guidelines </w:t>
      </w:r>
      <w:r w:rsidR="003B3D41">
        <w:rPr>
          <w:rFonts w:ascii="Times New Roman" w:hAnsi="Times New Roman" w:cs="Times New Roman"/>
          <w:sz w:val="24"/>
          <w:szCs w:val="24"/>
        </w:rPr>
        <w:t>on E</w:t>
      </w:r>
      <w:r>
        <w:rPr>
          <w:rFonts w:ascii="Times New Roman" w:hAnsi="Times New Roman" w:cs="Times New Roman"/>
          <w:sz w:val="24"/>
          <w:szCs w:val="24"/>
        </w:rPr>
        <w:t xml:space="preserve">xempting </w:t>
      </w:r>
      <w:r w:rsidR="003B3D41">
        <w:rPr>
          <w:rFonts w:ascii="Times New Roman" w:hAnsi="Times New Roman" w:cs="Times New Roman"/>
          <w:sz w:val="24"/>
          <w:szCs w:val="24"/>
        </w:rPr>
        <w:t>S</w:t>
      </w:r>
      <w:r>
        <w:rPr>
          <w:rFonts w:ascii="Times New Roman" w:hAnsi="Times New Roman" w:cs="Times New Roman"/>
          <w:sz w:val="24"/>
          <w:szCs w:val="24"/>
        </w:rPr>
        <w:t>tudents from attachment.</w:t>
      </w:r>
    </w:p>
    <w:p w:rsidR="00994DE8" w:rsidRDefault="00994DE8" w:rsidP="00F3664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relief sought in the Draft Order was</w:t>
      </w:r>
      <w:r w:rsidR="00DE1EB0">
        <w:rPr>
          <w:rFonts w:ascii="Times New Roman" w:hAnsi="Times New Roman" w:cs="Times New Roman"/>
          <w:sz w:val="24"/>
          <w:szCs w:val="24"/>
        </w:rPr>
        <w:t xml:space="preserve"> set out</w:t>
      </w:r>
      <w:r>
        <w:rPr>
          <w:rFonts w:ascii="Times New Roman" w:hAnsi="Times New Roman" w:cs="Times New Roman"/>
          <w:sz w:val="24"/>
          <w:szCs w:val="24"/>
        </w:rPr>
        <w:t xml:space="preserve"> in the following terms:</w:t>
      </w:r>
    </w:p>
    <w:p w:rsidR="00994DE8" w:rsidRPr="003B3D41" w:rsidRDefault="00994DE8" w:rsidP="003B3D41">
      <w:pPr>
        <w:pStyle w:val="NoSpacing"/>
        <w:ind w:firstLine="720"/>
        <w:rPr>
          <w:rFonts w:ascii="Times New Roman" w:hAnsi="Times New Roman" w:cs="Times New Roman"/>
          <w:sz w:val="24"/>
          <w:szCs w:val="24"/>
        </w:rPr>
      </w:pPr>
      <w:r w:rsidRPr="003B3D41">
        <w:rPr>
          <w:rFonts w:ascii="Times New Roman" w:hAnsi="Times New Roman" w:cs="Times New Roman"/>
          <w:sz w:val="24"/>
          <w:szCs w:val="24"/>
        </w:rPr>
        <w:t xml:space="preserve">“  </w:t>
      </w:r>
    </w:p>
    <w:p w:rsidR="00994DE8" w:rsidRPr="003B3D41" w:rsidRDefault="00994DE8" w:rsidP="003B3D41">
      <w:pPr>
        <w:pStyle w:val="NoSpacing"/>
        <w:numPr>
          <w:ilvl w:val="0"/>
          <w:numId w:val="4"/>
        </w:numPr>
        <w:rPr>
          <w:rFonts w:ascii="Times New Roman" w:hAnsi="Times New Roman" w:cs="Times New Roman"/>
          <w:sz w:val="24"/>
          <w:szCs w:val="24"/>
        </w:rPr>
      </w:pPr>
      <w:r w:rsidRPr="003B3D41">
        <w:rPr>
          <w:rFonts w:ascii="Times New Roman" w:hAnsi="Times New Roman" w:cs="Times New Roman"/>
          <w:sz w:val="24"/>
          <w:szCs w:val="24"/>
        </w:rPr>
        <w:t>The respondent’s Academic Board’s decision which appears in a letter dated 25 November 2017 to reverse the granting of applicant exemption to undergo or undertake industrial attachment be and is hereby set aside and substituted with an order confirming the granting of applicant exemption from undergoing or undertaking industrial attachment.</w:t>
      </w:r>
    </w:p>
    <w:p w:rsidR="00222CED" w:rsidRPr="003B3D41" w:rsidRDefault="00994DE8" w:rsidP="003B3D41">
      <w:pPr>
        <w:pStyle w:val="NoSpacing"/>
        <w:numPr>
          <w:ilvl w:val="0"/>
          <w:numId w:val="4"/>
        </w:numPr>
        <w:rPr>
          <w:rFonts w:ascii="Times New Roman" w:hAnsi="Times New Roman" w:cs="Times New Roman"/>
          <w:sz w:val="24"/>
          <w:szCs w:val="24"/>
        </w:rPr>
      </w:pPr>
      <w:r w:rsidRPr="003B3D41">
        <w:rPr>
          <w:rFonts w:ascii="Times New Roman" w:hAnsi="Times New Roman" w:cs="Times New Roman"/>
          <w:sz w:val="24"/>
          <w:szCs w:val="24"/>
        </w:rPr>
        <w:t xml:space="preserve">The respondent registers applicant for fourth year first semester courses on payment of the requisite registration fees, and that the </w:t>
      </w:r>
      <w:r w:rsidR="00222CED" w:rsidRPr="003B3D41">
        <w:rPr>
          <w:rFonts w:ascii="Times New Roman" w:hAnsi="Times New Roman" w:cs="Times New Roman"/>
          <w:sz w:val="24"/>
          <w:szCs w:val="24"/>
        </w:rPr>
        <w:t>respondent sets and applicant writes fourth year first semester examinations, and respondent marks and releases applicant’s results for the fourth year first semester examinations within fourteen (14) days of the granting of this order.</w:t>
      </w:r>
    </w:p>
    <w:p w:rsidR="00222CED" w:rsidRPr="003B3D41" w:rsidRDefault="00222CED" w:rsidP="003B3D41">
      <w:pPr>
        <w:pStyle w:val="NoSpacing"/>
        <w:numPr>
          <w:ilvl w:val="0"/>
          <w:numId w:val="4"/>
        </w:numPr>
        <w:rPr>
          <w:rFonts w:ascii="Times New Roman" w:hAnsi="Times New Roman" w:cs="Times New Roman"/>
          <w:sz w:val="24"/>
          <w:szCs w:val="24"/>
        </w:rPr>
      </w:pPr>
      <w:r w:rsidRPr="003B3D41">
        <w:rPr>
          <w:rFonts w:ascii="Times New Roman" w:hAnsi="Times New Roman" w:cs="Times New Roman"/>
          <w:sz w:val="24"/>
          <w:szCs w:val="24"/>
        </w:rPr>
        <w:t>The respondent pays the costs of this application on an attorney and client scale.”</w:t>
      </w:r>
    </w:p>
    <w:p w:rsidR="00FD61C8" w:rsidRPr="003B3D41" w:rsidRDefault="00222CED" w:rsidP="003B3D41">
      <w:pPr>
        <w:pStyle w:val="NoSpacing"/>
        <w:ind w:left="1080"/>
        <w:rPr>
          <w:rFonts w:ascii="Times New Roman" w:hAnsi="Times New Roman" w:cs="Times New Roman"/>
          <w:sz w:val="24"/>
          <w:szCs w:val="24"/>
        </w:rPr>
      </w:pPr>
      <w:r w:rsidRPr="003B3D41">
        <w:rPr>
          <w:rFonts w:ascii="Times New Roman" w:hAnsi="Times New Roman" w:cs="Times New Roman"/>
          <w:sz w:val="24"/>
          <w:szCs w:val="24"/>
        </w:rPr>
        <w:t>This application was opposed by the respondent who filed a detailed response</w:t>
      </w:r>
      <w:r w:rsidR="00FD61C8" w:rsidRPr="003B3D41">
        <w:rPr>
          <w:rFonts w:ascii="Times New Roman" w:hAnsi="Times New Roman" w:cs="Times New Roman"/>
          <w:sz w:val="24"/>
          <w:szCs w:val="24"/>
        </w:rPr>
        <w:t xml:space="preserve"> to the application.</w:t>
      </w:r>
      <w:r w:rsidR="003B3D41" w:rsidRPr="003B3D41">
        <w:rPr>
          <w:rFonts w:ascii="Times New Roman" w:hAnsi="Times New Roman" w:cs="Times New Roman"/>
          <w:sz w:val="24"/>
          <w:szCs w:val="24"/>
        </w:rPr>
        <w:t>”</w:t>
      </w:r>
    </w:p>
    <w:p w:rsidR="003B3D41" w:rsidRDefault="003B3D41" w:rsidP="00F3664E">
      <w:pPr>
        <w:spacing w:line="360" w:lineRule="auto"/>
        <w:jc w:val="both"/>
        <w:rPr>
          <w:rFonts w:ascii="Times New Roman" w:hAnsi="Times New Roman" w:cs="Times New Roman"/>
          <w:sz w:val="24"/>
          <w:szCs w:val="24"/>
        </w:rPr>
      </w:pPr>
    </w:p>
    <w:p w:rsidR="00FD61C8" w:rsidRPr="003B3D41" w:rsidRDefault="00FD61C8" w:rsidP="00F3664E">
      <w:pPr>
        <w:spacing w:line="360" w:lineRule="auto"/>
        <w:jc w:val="both"/>
        <w:rPr>
          <w:rFonts w:ascii="Times New Roman" w:hAnsi="Times New Roman" w:cs="Times New Roman"/>
          <w:b/>
          <w:sz w:val="24"/>
          <w:szCs w:val="24"/>
        </w:rPr>
      </w:pPr>
      <w:r w:rsidRPr="003B3D41">
        <w:rPr>
          <w:rFonts w:ascii="Times New Roman" w:hAnsi="Times New Roman" w:cs="Times New Roman"/>
          <w:b/>
          <w:sz w:val="24"/>
          <w:szCs w:val="24"/>
        </w:rPr>
        <w:t>Background</w:t>
      </w:r>
    </w:p>
    <w:p w:rsidR="00FB01B0" w:rsidRDefault="00FD61C8"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a student at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 xml:space="preserve"> State University, studying </w:t>
      </w:r>
      <w:r w:rsidR="003B3D41">
        <w:rPr>
          <w:rFonts w:ascii="Times New Roman" w:hAnsi="Times New Roman" w:cs="Times New Roman"/>
          <w:sz w:val="24"/>
          <w:szCs w:val="24"/>
        </w:rPr>
        <w:t>for a Bachelor of Science (</w:t>
      </w:r>
      <w:proofErr w:type="spellStart"/>
      <w:r w:rsidR="003B3D41">
        <w:rPr>
          <w:rFonts w:ascii="Times New Roman" w:hAnsi="Times New Roman" w:cs="Times New Roman"/>
          <w:sz w:val="24"/>
          <w:szCs w:val="24"/>
        </w:rPr>
        <w:t>Hono</w:t>
      </w:r>
      <w:r w:rsidR="00EF1ABA">
        <w:rPr>
          <w:rFonts w:ascii="Times New Roman" w:hAnsi="Times New Roman" w:cs="Times New Roman"/>
          <w:sz w:val="24"/>
          <w:szCs w:val="24"/>
        </w:rPr>
        <w:t>u</w:t>
      </w:r>
      <w:r>
        <w:rPr>
          <w:rFonts w:ascii="Times New Roman" w:hAnsi="Times New Roman" w:cs="Times New Roman"/>
          <w:sz w:val="24"/>
          <w:szCs w:val="24"/>
        </w:rPr>
        <w:t>rs</w:t>
      </w:r>
      <w:proofErr w:type="spellEnd"/>
      <w:r>
        <w:rPr>
          <w:rFonts w:ascii="Times New Roman" w:hAnsi="Times New Roman" w:cs="Times New Roman"/>
          <w:sz w:val="24"/>
          <w:szCs w:val="24"/>
        </w:rPr>
        <w:t>) D</w:t>
      </w:r>
      <w:r w:rsidR="00465CDB">
        <w:rPr>
          <w:rFonts w:ascii="Times New Roman" w:hAnsi="Times New Roman" w:cs="Times New Roman"/>
          <w:sz w:val="24"/>
          <w:szCs w:val="24"/>
        </w:rPr>
        <w:t>egree in Environmental Science.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programe</w:t>
      </w:r>
      <w:proofErr w:type="spellEnd"/>
      <w:r>
        <w:rPr>
          <w:rFonts w:ascii="Times New Roman" w:hAnsi="Times New Roman" w:cs="Times New Roman"/>
          <w:sz w:val="24"/>
          <w:szCs w:val="24"/>
        </w:rPr>
        <w:t xml:space="preserve"> of study is for a four year period.  At third year, if one has passed his first and second year, a student is required to undergo industrial attachment.  There is provision for one to apply for an exemption from undertaking such industrial </w:t>
      </w:r>
      <w:r w:rsidR="007017D2">
        <w:rPr>
          <w:rFonts w:ascii="Times New Roman" w:hAnsi="Times New Roman" w:cs="Times New Roman"/>
          <w:sz w:val="24"/>
          <w:szCs w:val="24"/>
        </w:rPr>
        <w:t>attachment.  If an application for exemption is granted, the student is then assessed by his or her Department using certain formal channels of assessment.  Towards the end of applicant’s second year of study he applied for an exemption to undertake industrial attachment.  Applicant made this application for exemption in accordance with respondent’s</w:t>
      </w:r>
      <w:r w:rsidR="003B3D41">
        <w:rPr>
          <w:rFonts w:ascii="Times New Roman" w:hAnsi="Times New Roman" w:cs="Times New Roman"/>
          <w:sz w:val="24"/>
          <w:szCs w:val="24"/>
        </w:rPr>
        <w:t xml:space="preserve"> Guidelines </w:t>
      </w:r>
      <w:r w:rsidR="007017D2">
        <w:rPr>
          <w:rFonts w:ascii="Times New Roman" w:hAnsi="Times New Roman" w:cs="Times New Roman"/>
          <w:sz w:val="24"/>
          <w:szCs w:val="24"/>
        </w:rPr>
        <w:t xml:space="preserve">on exempting students from attachment.  The guidelines provide that once a student is granted exemption the Department will proceed to assess the student using formal </w:t>
      </w:r>
      <w:r w:rsidR="00465CDB">
        <w:rPr>
          <w:rFonts w:ascii="Times New Roman" w:hAnsi="Times New Roman" w:cs="Times New Roman"/>
          <w:sz w:val="24"/>
          <w:szCs w:val="24"/>
        </w:rPr>
        <w:t>and normal channels of assessment for</w:t>
      </w:r>
      <w:r w:rsidR="007017D2">
        <w:rPr>
          <w:rFonts w:ascii="Times New Roman" w:hAnsi="Times New Roman" w:cs="Times New Roman"/>
          <w:sz w:val="24"/>
          <w:szCs w:val="24"/>
        </w:rPr>
        <w:t xml:space="preserve"> industrial attachment.  If the exemption is denied, such a student will proceed to do one full year of industrial attachment.  The respondent’s own interpretation of the guidelines is that once a preliminary decision is taken to grant an exempt</w:t>
      </w:r>
      <w:r w:rsidR="00CC3697">
        <w:rPr>
          <w:rFonts w:ascii="Times New Roman" w:hAnsi="Times New Roman" w:cs="Times New Roman"/>
          <w:sz w:val="24"/>
          <w:szCs w:val="24"/>
        </w:rPr>
        <w:t>ion, the relevant Department must</w:t>
      </w:r>
      <w:r w:rsidR="007017D2">
        <w:rPr>
          <w:rFonts w:ascii="Times New Roman" w:hAnsi="Times New Roman" w:cs="Times New Roman"/>
          <w:sz w:val="24"/>
          <w:szCs w:val="24"/>
        </w:rPr>
        <w:t xml:space="preserve"> proceed to assess the student.  As far as the respondent is concerned it would not make sense that the Department </w:t>
      </w:r>
      <w:r w:rsidR="00277478">
        <w:rPr>
          <w:rFonts w:ascii="Times New Roman" w:hAnsi="Times New Roman" w:cs="Times New Roman"/>
          <w:sz w:val="24"/>
          <w:szCs w:val="24"/>
        </w:rPr>
        <w:t xml:space="preserve">first approves the application for exemption and then after having given its approval, it proceeds to assess the student.  The respondent’s contention is that the initial assessment of the student is to enable the respondent to evaluate the application and make a decision on it.  The respondent admits that the applicant was assessed but disagreed with applicant’s </w:t>
      </w:r>
      <w:r w:rsidR="00277478">
        <w:rPr>
          <w:rFonts w:ascii="Times New Roman" w:hAnsi="Times New Roman" w:cs="Times New Roman"/>
          <w:sz w:val="24"/>
          <w:szCs w:val="24"/>
        </w:rPr>
        <w:lastRenderedPageBreak/>
        <w:t xml:space="preserve">contention that “assessments are only extended to students who have been granted exemption.” </w:t>
      </w:r>
      <w:r w:rsidR="003B3D41">
        <w:rPr>
          <w:rFonts w:ascii="Times New Roman" w:hAnsi="Times New Roman" w:cs="Times New Roman"/>
          <w:sz w:val="24"/>
          <w:szCs w:val="24"/>
        </w:rPr>
        <w:t xml:space="preserve"> </w:t>
      </w:r>
      <w:r w:rsidR="00277478">
        <w:rPr>
          <w:rFonts w:ascii="Times New Roman" w:hAnsi="Times New Roman" w:cs="Times New Roman"/>
          <w:sz w:val="24"/>
          <w:szCs w:val="24"/>
        </w:rPr>
        <w:t xml:space="preserve">Respondent further strenuously disputed that “Assessments are conducted after a student has been granted exemption.”   Respondent argued that the applicant was assessed after the Department made a preliminary decision to assess him for an exemption.  The respondent took the firm position that the applicant was never granted an exemption, and that what was granted was the right to be </w:t>
      </w:r>
      <w:r w:rsidR="00070205">
        <w:rPr>
          <w:rFonts w:ascii="Times New Roman" w:hAnsi="Times New Roman" w:cs="Times New Roman"/>
          <w:sz w:val="24"/>
          <w:szCs w:val="24"/>
        </w:rPr>
        <w:t>assessed.  The applicant went on to pay fees for the fourth year first semester courses and wrote assignments.  All this he did without the express approval of the University.  He was not registered as a fourth year student.  Having been advised that his application for exemption had not been approved by the Academic Board and that he was expected to proceed on industrial attachment (the third year of his course), applicant tried and failed to register for the fourth year.  Instead of overcoming that hurdle through legal process applicant took it upon himself to simply a</w:t>
      </w:r>
      <w:r w:rsidR="004B470D">
        <w:rPr>
          <w:rFonts w:ascii="Times New Roman" w:hAnsi="Times New Roman" w:cs="Times New Roman"/>
          <w:sz w:val="24"/>
          <w:szCs w:val="24"/>
        </w:rPr>
        <w:t xml:space="preserve">ttend fourth year classes and </w:t>
      </w:r>
      <w:proofErr w:type="spellStart"/>
      <w:r w:rsidR="004B470D">
        <w:rPr>
          <w:rFonts w:ascii="Times New Roman" w:hAnsi="Times New Roman" w:cs="Times New Roman"/>
          <w:sz w:val="24"/>
          <w:szCs w:val="24"/>
        </w:rPr>
        <w:t>udertake</w:t>
      </w:r>
      <w:proofErr w:type="spellEnd"/>
      <w:r w:rsidR="00070205">
        <w:rPr>
          <w:rFonts w:ascii="Times New Roman" w:hAnsi="Times New Roman" w:cs="Times New Roman"/>
          <w:sz w:val="24"/>
          <w:szCs w:val="24"/>
        </w:rPr>
        <w:t xml:space="preserve"> assignments.  At the end o</w:t>
      </w:r>
      <w:r w:rsidR="003B3D41">
        <w:rPr>
          <w:rFonts w:ascii="Times New Roman" w:hAnsi="Times New Roman" w:cs="Times New Roman"/>
          <w:sz w:val="24"/>
          <w:szCs w:val="24"/>
        </w:rPr>
        <w:t xml:space="preserve">f the first semester, applicant </w:t>
      </w:r>
      <w:proofErr w:type="spellStart"/>
      <w:r w:rsidR="00070205">
        <w:rPr>
          <w:rFonts w:ascii="Times New Roman" w:hAnsi="Times New Roman" w:cs="Times New Roman"/>
          <w:sz w:val="24"/>
          <w:szCs w:val="24"/>
        </w:rPr>
        <w:t>rea</w:t>
      </w:r>
      <w:r w:rsidR="00557D1D">
        <w:rPr>
          <w:rFonts w:ascii="Times New Roman" w:hAnsi="Times New Roman" w:cs="Times New Roman"/>
          <w:sz w:val="24"/>
          <w:szCs w:val="24"/>
        </w:rPr>
        <w:t>lised</w:t>
      </w:r>
      <w:proofErr w:type="spellEnd"/>
      <w:r w:rsidR="00557D1D">
        <w:rPr>
          <w:rFonts w:ascii="Times New Roman" w:hAnsi="Times New Roman" w:cs="Times New Roman"/>
          <w:sz w:val="24"/>
          <w:szCs w:val="24"/>
        </w:rPr>
        <w:t xml:space="preserve"> that his unilateral conduct had its own limitations. H</w:t>
      </w:r>
      <w:r w:rsidR="00070205">
        <w:rPr>
          <w:rFonts w:ascii="Times New Roman" w:hAnsi="Times New Roman" w:cs="Times New Roman"/>
          <w:sz w:val="24"/>
          <w:szCs w:val="24"/>
        </w:rPr>
        <w:t>e would not be able to enter the examination room for h</w:t>
      </w:r>
      <w:r w:rsidR="00F11A28">
        <w:rPr>
          <w:rFonts w:ascii="Times New Roman" w:hAnsi="Times New Roman" w:cs="Times New Roman"/>
          <w:sz w:val="24"/>
          <w:szCs w:val="24"/>
        </w:rPr>
        <w:t xml:space="preserve">is end of semester examinations </w:t>
      </w:r>
      <w:r w:rsidR="00FB01B0">
        <w:rPr>
          <w:rFonts w:ascii="Times New Roman" w:hAnsi="Times New Roman" w:cs="Times New Roman"/>
          <w:sz w:val="24"/>
          <w:szCs w:val="24"/>
        </w:rPr>
        <w:t xml:space="preserve">unless there was proof that he was a registered fourth year student.  Applicant made an Urgent Chamber Application under case number HC 2873/17 seeking an order that would have allowed him to write those examinations.  The Chamber Application did not find </w:t>
      </w:r>
      <w:proofErr w:type="spellStart"/>
      <w:r w:rsidR="00FB01B0">
        <w:rPr>
          <w:rFonts w:ascii="Times New Roman" w:hAnsi="Times New Roman" w:cs="Times New Roman"/>
          <w:sz w:val="24"/>
          <w:szCs w:val="24"/>
        </w:rPr>
        <w:t>favour</w:t>
      </w:r>
      <w:proofErr w:type="spellEnd"/>
      <w:r w:rsidR="00FB01B0">
        <w:rPr>
          <w:rFonts w:ascii="Times New Roman" w:hAnsi="Times New Roman" w:cs="Times New Roman"/>
          <w:sz w:val="24"/>
          <w:szCs w:val="24"/>
        </w:rPr>
        <w:t xml:space="preserve"> with the court and was dismissed.  T</w:t>
      </w:r>
      <w:r w:rsidR="00973D61">
        <w:rPr>
          <w:rFonts w:ascii="Times New Roman" w:hAnsi="Times New Roman" w:cs="Times New Roman"/>
          <w:sz w:val="24"/>
          <w:szCs w:val="24"/>
        </w:rPr>
        <w:t>his then is what led to this</w:t>
      </w:r>
      <w:r w:rsidR="00FB01B0">
        <w:rPr>
          <w:rFonts w:ascii="Times New Roman" w:hAnsi="Times New Roman" w:cs="Times New Roman"/>
          <w:sz w:val="24"/>
          <w:szCs w:val="24"/>
        </w:rPr>
        <w:t xml:space="preserve"> review application.</w:t>
      </w:r>
    </w:p>
    <w:p w:rsidR="00FB01B0" w:rsidRPr="001A606F" w:rsidRDefault="008600FE" w:rsidP="00F3664E">
      <w:pPr>
        <w:spacing w:line="360" w:lineRule="auto"/>
        <w:jc w:val="both"/>
        <w:rPr>
          <w:rFonts w:ascii="Times New Roman" w:hAnsi="Times New Roman" w:cs="Times New Roman"/>
          <w:b/>
          <w:sz w:val="24"/>
          <w:szCs w:val="24"/>
        </w:rPr>
      </w:pPr>
      <w:r>
        <w:rPr>
          <w:rFonts w:ascii="Times New Roman" w:hAnsi="Times New Roman" w:cs="Times New Roman"/>
          <w:b/>
          <w:sz w:val="24"/>
          <w:szCs w:val="24"/>
        </w:rPr>
        <w:t>Whether the applicant had made a case for the order s</w:t>
      </w:r>
      <w:r w:rsidR="00FB01B0" w:rsidRPr="001A606F">
        <w:rPr>
          <w:rFonts w:ascii="Times New Roman" w:hAnsi="Times New Roman" w:cs="Times New Roman"/>
          <w:b/>
          <w:sz w:val="24"/>
          <w:szCs w:val="24"/>
        </w:rPr>
        <w:t>ought</w:t>
      </w:r>
    </w:p>
    <w:p w:rsidR="00F7353B" w:rsidRDefault="00FB01B0"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issue for determination is whether the applicant made a proper case for the order sought in the Draft Order.  The applicant’s degree progra</w:t>
      </w:r>
      <w:r w:rsidR="00D2137A">
        <w:rPr>
          <w:rFonts w:ascii="Times New Roman" w:hAnsi="Times New Roman" w:cs="Times New Roman"/>
          <w:sz w:val="24"/>
          <w:szCs w:val="24"/>
        </w:rPr>
        <w:t>m</w:t>
      </w:r>
      <w:r>
        <w:rPr>
          <w:rFonts w:ascii="Times New Roman" w:hAnsi="Times New Roman" w:cs="Times New Roman"/>
          <w:sz w:val="24"/>
          <w:szCs w:val="24"/>
        </w:rPr>
        <w:t xml:space="preserve">me </w:t>
      </w:r>
      <w:r w:rsidR="001A606F">
        <w:rPr>
          <w:rFonts w:ascii="Times New Roman" w:hAnsi="Times New Roman" w:cs="Times New Roman"/>
          <w:sz w:val="24"/>
          <w:szCs w:val="24"/>
        </w:rPr>
        <w:t>for a Bachelor of Science (</w:t>
      </w:r>
      <w:proofErr w:type="spellStart"/>
      <w:r w:rsidR="001A606F">
        <w:rPr>
          <w:rFonts w:ascii="Times New Roman" w:hAnsi="Times New Roman" w:cs="Times New Roman"/>
          <w:sz w:val="24"/>
          <w:szCs w:val="24"/>
        </w:rPr>
        <w:t>Hono</w:t>
      </w:r>
      <w:r w:rsidR="00EF1ABA">
        <w:rPr>
          <w:rFonts w:ascii="Times New Roman" w:hAnsi="Times New Roman" w:cs="Times New Roman"/>
          <w:sz w:val="24"/>
          <w:szCs w:val="24"/>
        </w:rPr>
        <w:t>u</w:t>
      </w:r>
      <w:r>
        <w:rPr>
          <w:rFonts w:ascii="Times New Roman" w:hAnsi="Times New Roman" w:cs="Times New Roman"/>
          <w:sz w:val="24"/>
          <w:szCs w:val="24"/>
        </w:rPr>
        <w:t>rs</w:t>
      </w:r>
      <w:proofErr w:type="spellEnd"/>
      <w:r>
        <w:rPr>
          <w:rFonts w:ascii="Times New Roman" w:hAnsi="Times New Roman" w:cs="Times New Roman"/>
          <w:sz w:val="24"/>
          <w:szCs w:val="24"/>
        </w:rPr>
        <w:t xml:space="preserve">) Degree fell under the Department of Agriculture.  This is the department which made an assessment of the application for an exemption.  The applicant submitted his application for exemption and the department made a preliminary decision to assess him.  This preliminary decision was confirmed and the department instructed two lecturers to assess the applicant.  Applicant attained a 75% mark.  This mark was not supposed to have been disclosed to the applicant. </w:t>
      </w:r>
      <w:r w:rsidR="00D2137A">
        <w:rPr>
          <w:rFonts w:ascii="Times New Roman" w:hAnsi="Times New Roman" w:cs="Times New Roman"/>
          <w:sz w:val="24"/>
          <w:szCs w:val="24"/>
        </w:rPr>
        <w:t>Somehow applicant got to know his mark.</w:t>
      </w:r>
      <w:r w:rsidR="009447C2">
        <w:rPr>
          <w:rFonts w:ascii="Times New Roman" w:hAnsi="Times New Roman" w:cs="Times New Roman"/>
          <w:sz w:val="24"/>
          <w:szCs w:val="24"/>
        </w:rPr>
        <w:t xml:space="preserve"> According to procedure t</w:t>
      </w:r>
      <w:r>
        <w:rPr>
          <w:rFonts w:ascii="Times New Roman" w:hAnsi="Times New Roman" w:cs="Times New Roman"/>
          <w:sz w:val="24"/>
          <w:szCs w:val="24"/>
        </w:rPr>
        <w:t xml:space="preserve">he result of the assessment became applicant’s mark for the third year.  This is what would have appeared </w:t>
      </w:r>
      <w:r w:rsidR="00F77225">
        <w:rPr>
          <w:rFonts w:ascii="Times New Roman" w:hAnsi="Times New Roman" w:cs="Times New Roman"/>
          <w:sz w:val="24"/>
          <w:szCs w:val="24"/>
        </w:rPr>
        <w:t xml:space="preserve">in his final results.  This is what would have also appeared in his overall transcript of results that go towards his </w:t>
      </w:r>
      <w:r w:rsidR="00484040">
        <w:rPr>
          <w:rFonts w:ascii="Times New Roman" w:hAnsi="Times New Roman" w:cs="Times New Roman"/>
          <w:sz w:val="24"/>
          <w:szCs w:val="24"/>
        </w:rPr>
        <w:t>degree classification.  What</w:t>
      </w:r>
      <w:r w:rsidR="00F77225">
        <w:rPr>
          <w:rFonts w:ascii="Times New Roman" w:hAnsi="Times New Roman" w:cs="Times New Roman"/>
          <w:sz w:val="24"/>
          <w:szCs w:val="24"/>
        </w:rPr>
        <w:t xml:space="preserve"> applicant seemed to have missed is that</w:t>
      </w:r>
      <w:r w:rsidR="00484040">
        <w:rPr>
          <w:rFonts w:ascii="Times New Roman" w:hAnsi="Times New Roman" w:cs="Times New Roman"/>
          <w:sz w:val="24"/>
          <w:szCs w:val="24"/>
        </w:rPr>
        <w:t xml:space="preserve"> the application for exemption is considered by his department. The </w:t>
      </w:r>
      <w:r w:rsidR="00484040">
        <w:rPr>
          <w:rFonts w:ascii="Times New Roman" w:hAnsi="Times New Roman" w:cs="Times New Roman"/>
          <w:sz w:val="24"/>
          <w:szCs w:val="24"/>
        </w:rPr>
        <w:lastRenderedPageBreak/>
        <w:t>department</w:t>
      </w:r>
      <w:r w:rsidR="003E39A9">
        <w:rPr>
          <w:rFonts w:ascii="Times New Roman" w:hAnsi="Times New Roman" w:cs="Times New Roman"/>
          <w:sz w:val="24"/>
          <w:szCs w:val="24"/>
        </w:rPr>
        <w:t xml:space="preserve"> had to refer its findings</w:t>
      </w:r>
      <w:r w:rsidR="00FC321A">
        <w:rPr>
          <w:rFonts w:ascii="Times New Roman" w:hAnsi="Times New Roman" w:cs="Times New Roman"/>
          <w:sz w:val="24"/>
          <w:szCs w:val="24"/>
        </w:rPr>
        <w:t xml:space="preserve"> to the Fa</w:t>
      </w:r>
      <w:r w:rsidR="00F77225">
        <w:rPr>
          <w:rFonts w:ascii="Times New Roman" w:hAnsi="Times New Roman" w:cs="Times New Roman"/>
          <w:sz w:val="24"/>
          <w:szCs w:val="24"/>
        </w:rPr>
        <w:t xml:space="preserve">culty Board but only as a </w:t>
      </w:r>
      <w:r w:rsidR="00FC321A">
        <w:rPr>
          <w:rFonts w:ascii="Times New Roman" w:hAnsi="Times New Roman" w:cs="Times New Roman"/>
          <w:sz w:val="24"/>
          <w:szCs w:val="24"/>
        </w:rPr>
        <w:t>recommendation.  In turn, the Fa</w:t>
      </w:r>
      <w:r w:rsidR="00F77225">
        <w:rPr>
          <w:rFonts w:ascii="Times New Roman" w:hAnsi="Times New Roman" w:cs="Times New Roman"/>
          <w:sz w:val="24"/>
          <w:szCs w:val="24"/>
        </w:rPr>
        <w:t>culty Board would refer the results</w:t>
      </w:r>
      <w:r w:rsidR="003E39A9">
        <w:rPr>
          <w:rFonts w:ascii="Times New Roman" w:hAnsi="Times New Roman" w:cs="Times New Roman"/>
          <w:sz w:val="24"/>
          <w:szCs w:val="24"/>
        </w:rPr>
        <w:t xml:space="preserve"> and recommendations</w:t>
      </w:r>
      <w:r w:rsidR="00F77225">
        <w:rPr>
          <w:rFonts w:ascii="Times New Roman" w:hAnsi="Times New Roman" w:cs="Times New Roman"/>
          <w:sz w:val="24"/>
          <w:szCs w:val="24"/>
        </w:rPr>
        <w:t xml:space="preserve"> to the Academic B</w:t>
      </w:r>
      <w:r w:rsidR="003E39A9">
        <w:rPr>
          <w:rFonts w:ascii="Times New Roman" w:hAnsi="Times New Roman" w:cs="Times New Roman"/>
          <w:sz w:val="24"/>
          <w:szCs w:val="24"/>
        </w:rPr>
        <w:t xml:space="preserve">oard. </w:t>
      </w:r>
      <w:r w:rsidR="00CA570C">
        <w:rPr>
          <w:rFonts w:ascii="Times New Roman" w:hAnsi="Times New Roman" w:cs="Times New Roman"/>
          <w:sz w:val="24"/>
          <w:szCs w:val="24"/>
        </w:rPr>
        <w:t xml:space="preserve">  It is the Academic Board that </w:t>
      </w:r>
      <w:r w:rsidR="0094358A">
        <w:rPr>
          <w:rFonts w:ascii="Times New Roman" w:hAnsi="Times New Roman" w:cs="Times New Roman"/>
          <w:sz w:val="24"/>
          <w:szCs w:val="24"/>
        </w:rPr>
        <w:t>would have the final say.  It was</w:t>
      </w:r>
      <w:r w:rsidR="00CA570C">
        <w:rPr>
          <w:rFonts w:ascii="Times New Roman" w:hAnsi="Times New Roman" w:cs="Times New Roman"/>
          <w:sz w:val="24"/>
          <w:szCs w:val="24"/>
        </w:rPr>
        <w:t xml:space="preserve"> proper that applicant’s application in respect of the exemption ended up with the Academic Board.  It was the decision of the Board not to approve the application that becam</w:t>
      </w:r>
      <w:r w:rsidR="001A606F">
        <w:rPr>
          <w:rFonts w:ascii="Times New Roman" w:hAnsi="Times New Roman" w:cs="Times New Roman"/>
          <w:sz w:val="24"/>
          <w:szCs w:val="24"/>
        </w:rPr>
        <w:t xml:space="preserve">e the </w:t>
      </w:r>
      <w:r w:rsidR="00CA570C">
        <w:rPr>
          <w:rFonts w:ascii="Times New Roman" w:hAnsi="Times New Roman" w:cs="Times New Roman"/>
          <w:sz w:val="24"/>
          <w:szCs w:val="24"/>
        </w:rPr>
        <w:t>final outcome of the application for e</w:t>
      </w:r>
      <w:r w:rsidR="00EF1ABA">
        <w:rPr>
          <w:rFonts w:ascii="Times New Roman" w:hAnsi="Times New Roman" w:cs="Times New Roman"/>
          <w:sz w:val="24"/>
          <w:szCs w:val="24"/>
        </w:rPr>
        <w:t>xemption.  The Academic Board was</w:t>
      </w:r>
      <w:r w:rsidR="00CA570C">
        <w:rPr>
          <w:rFonts w:ascii="Times New Roman" w:hAnsi="Times New Roman" w:cs="Times New Roman"/>
          <w:sz w:val="24"/>
          <w:szCs w:val="24"/>
        </w:rPr>
        <w:t xml:space="preserve"> not required to accept without question t</w:t>
      </w:r>
      <w:r w:rsidR="00FC321A">
        <w:rPr>
          <w:rFonts w:ascii="Times New Roman" w:hAnsi="Times New Roman" w:cs="Times New Roman"/>
          <w:sz w:val="24"/>
          <w:szCs w:val="24"/>
        </w:rPr>
        <w:t>he recommendations of the Fa</w:t>
      </w:r>
      <w:r w:rsidR="001A606F">
        <w:rPr>
          <w:rFonts w:ascii="Times New Roman" w:hAnsi="Times New Roman" w:cs="Times New Roman"/>
          <w:sz w:val="24"/>
          <w:szCs w:val="24"/>
        </w:rPr>
        <w:t>cul</w:t>
      </w:r>
      <w:r w:rsidR="00CA570C">
        <w:rPr>
          <w:rFonts w:ascii="Times New Roman" w:hAnsi="Times New Roman" w:cs="Times New Roman"/>
          <w:sz w:val="24"/>
          <w:szCs w:val="24"/>
        </w:rPr>
        <w:t>ty Board.  All these procedures were followed by the respondent.  The applicant did not pass his third year because the exemption application was not confirmed by the Academic Board.  The unilateral attendance of classes by the applicant when he was fully aware that he was not a r</w:t>
      </w:r>
      <w:r w:rsidR="00B4691F">
        <w:rPr>
          <w:rFonts w:ascii="Times New Roman" w:hAnsi="Times New Roman" w:cs="Times New Roman"/>
          <w:sz w:val="24"/>
          <w:szCs w:val="24"/>
        </w:rPr>
        <w:t>egistered fourth year student was</w:t>
      </w:r>
      <w:r w:rsidR="00CA570C">
        <w:rPr>
          <w:rFonts w:ascii="Times New Roman" w:hAnsi="Times New Roman" w:cs="Times New Roman"/>
          <w:sz w:val="24"/>
          <w:szCs w:val="24"/>
        </w:rPr>
        <w:t xml:space="preserve"> therefore of no force and effect.  The applicant placed himself in a difficult situation.  The applicant placed reliance on the guideline</w:t>
      </w:r>
      <w:r w:rsidR="00A7420B">
        <w:rPr>
          <w:rFonts w:ascii="Times New Roman" w:hAnsi="Times New Roman" w:cs="Times New Roman"/>
          <w:sz w:val="24"/>
          <w:szCs w:val="24"/>
        </w:rPr>
        <w:t>s</w:t>
      </w:r>
      <w:r w:rsidR="00CA570C">
        <w:rPr>
          <w:rFonts w:ascii="Times New Roman" w:hAnsi="Times New Roman" w:cs="Times New Roman"/>
          <w:sz w:val="24"/>
          <w:szCs w:val="24"/>
        </w:rPr>
        <w:t xml:space="preserve">, on exemptions and </w:t>
      </w:r>
      <w:r w:rsidR="00A7420B">
        <w:rPr>
          <w:rFonts w:ascii="Times New Roman" w:hAnsi="Times New Roman" w:cs="Times New Roman"/>
          <w:sz w:val="24"/>
          <w:szCs w:val="24"/>
        </w:rPr>
        <w:t>rea</w:t>
      </w:r>
      <w:r w:rsidR="00F7353B">
        <w:rPr>
          <w:rFonts w:ascii="Times New Roman" w:hAnsi="Times New Roman" w:cs="Times New Roman"/>
          <w:sz w:val="24"/>
          <w:szCs w:val="24"/>
        </w:rPr>
        <w:t>d them in isolation</w:t>
      </w:r>
      <w:r w:rsidR="00A7420B">
        <w:rPr>
          <w:rFonts w:ascii="Times New Roman" w:hAnsi="Times New Roman" w:cs="Times New Roman"/>
          <w:sz w:val="24"/>
          <w:szCs w:val="24"/>
        </w:rPr>
        <w:t>. Critically the assessment he relied</w:t>
      </w:r>
      <w:r w:rsidR="00F7353B">
        <w:rPr>
          <w:rFonts w:ascii="Times New Roman" w:hAnsi="Times New Roman" w:cs="Times New Roman"/>
          <w:sz w:val="24"/>
          <w:szCs w:val="24"/>
        </w:rPr>
        <w:t xml:space="preserve"> on cons</w:t>
      </w:r>
      <w:r w:rsidR="00A7420B">
        <w:rPr>
          <w:rFonts w:ascii="Times New Roman" w:hAnsi="Times New Roman" w:cs="Times New Roman"/>
          <w:sz w:val="24"/>
          <w:szCs w:val="24"/>
        </w:rPr>
        <w:t>tituted an examination result that would</w:t>
      </w:r>
      <w:r w:rsidR="00F7353B">
        <w:rPr>
          <w:rFonts w:ascii="Times New Roman" w:hAnsi="Times New Roman" w:cs="Times New Roman"/>
          <w:sz w:val="24"/>
          <w:szCs w:val="24"/>
        </w:rPr>
        <w:t xml:space="preserve"> be taken</w:t>
      </w:r>
      <w:r w:rsidR="00A7420B">
        <w:rPr>
          <w:rFonts w:ascii="Times New Roman" w:hAnsi="Times New Roman" w:cs="Times New Roman"/>
          <w:sz w:val="24"/>
          <w:szCs w:val="24"/>
        </w:rPr>
        <w:t xml:space="preserve"> into account by the University in his final results.</w:t>
      </w:r>
    </w:p>
    <w:p w:rsidR="00F7353B" w:rsidRDefault="00F7353B"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 application for review was wrongly premised and there was no legal basis to grant the order sought in the Draft Order.</w:t>
      </w:r>
    </w:p>
    <w:p w:rsidR="00F7353B" w:rsidRPr="006A111E" w:rsidRDefault="00F7353B" w:rsidP="00F3664E">
      <w:pPr>
        <w:spacing w:line="360" w:lineRule="auto"/>
        <w:jc w:val="both"/>
        <w:rPr>
          <w:rFonts w:ascii="Times New Roman" w:hAnsi="Times New Roman" w:cs="Times New Roman"/>
          <w:b/>
          <w:sz w:val="24"/>
          <w:szCs w:val="24"/>
        </w:rPr>
      </w:pPr>
      <w:r w:rsidRPr="006A111E">
        <w:rPr>
          <w:rFonts w:ascii="Times New Roman" w:hAnsi="Times New Roman" w:cs="Times New Roman"/>
          <w:b/>
          <w:sz w:val="24"/>
          <w:szCs w:val="24"/>
        </w:rPr>
        <w:t>Conclusion</w:t>
      </w:r>
    </w:p>
    <w:p w:rsidR="00F7353B" w:rsidRDefault="00F7353B"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perusal of the papers filed by the applicant and the opposing affidavits there can be no doubt that the processes and procedures outlined in respect of the manner in which the applicant’s application for exemption was handled by the University was correct.  The Academic Board </w:t>
      </w:r>
      <w:r w:rsidR="000238D4">
        <w:rPr>
          <w:rFonts w:ascii="Times New Roman" w:hAnsi="Times New Roman" w:cs="Times New Roman"/>
          <w:sz w:val="24"/>
          <w:szCs w:val="24"/>
        </w:rPr>
        <w:t>received recommendations and had</w:t>
      </w:r>
      <w:r>
        <w:rPr>
          <w:rFonts w:ascii="Times New Roman" w:hAnsi="Times New Roman" w:cs="Times New Roman"/>
          <w:sz w:val="24"/>
          <w:szCs w:val="24"/>
        </w:rPr>
        <w:t xml:space="preserve"> the final say on the outcome.  The Board </w:t>
      </w:r>
      <w:r w:rsidR="00EA45A2">
        <w:rPr>
          <w:rFonts w:ascii="Times New Roman" w:hAnsi="Times New Roman" w:cs="Times New Roman"/>
          <w:sz w:val="24"/>
          <w:szCs w:val="24"/>
        </w:rPr>
        <w:t>had</w:t>
      </w:r>
      <w:r>
        <w:rPr>
          <w:rFonts w:ascii="Times New Roman" w:hAnsi="Times New Roman" w:cs="Times New Roman"/>
          <w:sz w:val="24"/>
          <w:szCs w:val="24"/>
        </w:rPr>
        <w:t xml:space="preserve"> the right to agree or disagree with the recommendations.  It was the decision of the Board that</w:t>
      </w:r>
      <w:r w:rsidR="00EA45A2">
        <w:rPr>
          <w:rFonts w:ascii="Times New Roman" w:hAnsi="Times New Roman" w:cs="Times New Roman"/>
          <w:sz w:val="24"/>
          <w:szCs w:val="24"/>
        </w:rPr>
        <w:t xml:space="preserve"> applicant’s work experience in</w:t>
      </w:r>
      <w:r>
        <w:rPr>
          <w:rFonts w:ascii="Times New Roman" w:hAnsi="Times New Roman" w:cs="Times New Roman"/>
          <w:sz w:val="24"/>
          <w:szCs w:val="24"/>
        </w:rPr>
        <w:t>sofar as it related to the area of Environmental Science, was not sufficient to exempt him from going for industrial attachment.</w:t>
      </w:r>
    </w:p>
    <w:p w:rsidR="005B7E21" w:rsidRDefault="00F7353B" w:rsidP="00F3664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w:t>
      </w:r>
      <w:r w:rsidR="005B7E21">
        <w:rPr>
          <w:rFonts w:ascii="Times New Roman" w:hAnsi="Times New Roman" w:cs="Times New Roman"/>
          <w:sz w:val="24"/>
          <w:szCs w:val="24"/>
        </w:rPr>
        <w:t xml:space="preserve"> has the discretion to review the decisions of all inferior courts of justice, tribunals and administrative authorities in terms of section 26 of the High Court Act.  The grounds for review are set out in section 27 of the Act.  These are:</w:t>
      </w:r>
    </w:p>
    <w:p w:rsidR="005B7E21" w:rsidRDefault="00707812" w:rsidP="00F3664E">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5B7E21">
        <w:rPr>
          <w:rFonts w:ascii="Times New Roman" w:hAnsi="Times New Roman" w:cs="Times New Roman"/>
          <w:sz w:val="24"/>
          <w:szCs w:val="24"/>
        </w:rPr>
        <w:t>bsence</w:t>
      </w:r>
      <w:proofErr w:type="gramEnd"/>
      <w:r w:rsidR="005B7E21">
        <w:rPr>
          <w:rFonts w:ascii="Times New Roman" w:hAnsi="Times New Roman" w:cs="Times New Roman"/>
          <w:sz w:val="24"/>
          <w:szCs w:val="24"/>
        </w:rPr>
        <w:t xml:space="preserve"> of jurisdiction</w:t>
      </w:r>
      <w:r>
        <w:rPr>
          <w:rFonts w:ascii="Times New Roman" w:hAnsi="Times New Roman" w:cs="Times New Roman"/>
          <w:sz w:val="24"/>
          <w:szCs w:val="24"/>
        </w:rPr>
        <w:t>.</w:t>
      </w:r>
    </w:p>
    <w:p w:rsidR="005B7E21" w:rsidRDefault="005B7E21" w:rsidP="00F3664E">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in the cause, or bias, malice or corruption</w:t>
      </w:r>
      <w:r w:rsidR="00707812">
        <w:rPr>
          <w:rFonts w:ascii="Times New Roman" w:hAnsi="Times New Roman" w:cs="Times New Roman"/>
          <w:sz w:val="24"/>
          <w:szCs w:val="24"/>
        </w:rPr>
        <w:t>.</w:t>
      </w:r>
      <w:r w:rsidR="00F7353B" w:rsidRPr="005B7E21">
        <w:rPr>
          <w:rFonts w:ascii="Times New Roman" w:hAnsi="Times New Roman" w:cs="Times New Roman"/>
          <w:sz w:val="24"/>
          <w:szCs w:val="24"/>
        </w:rPr>
        <w:t xml:space="preserve">  </w:t>
      </w:r>
      <w:r w:rsidR="00CA570C" w:rsidRPr="005B7E21">
        <w:rPr>
          <w:rFonts w:ascii="Times New Roman" w:hAnsi="Times New Roman" w:cs="Times New Roman"/>
          <w:sz w:val="24"/>
          <w:szCs w:val="24"/>
        </w:rPr>
        <w:t xml:space="preserve"> </w:t>
      </w:r>
      <w:r w:rsidR="00F77225" w:rsidRPr="005B7E21">
        <w:rPr>
          <w:rFonts w:ascii="Times New Roman" w:hAnsi="Times New Roman" w:cs="Times New Roman"/>
          <w:sz w:val="24"/>
          <w:szCs w:val="24"/>
        </w:rPr>
        <w:t xml:space="preserve"> </w:t>
      </w:r>
    </w:p>
    <w:p w:rsidR="005B7E21" w:rsidRDefault="00707812" w:rsidP="00F3664E">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gross</w:t>
      </w:r>
      <w:proofErr w:type="gramEnd"/>
      <w:r>
        <w:rPr>
          <w:rFonts w:ascii="Times New Roman" w:hAnsi="Times New Roman" w:cs="Times New Roman"/>
          <w:sz w:val="24"/>
          <w:szCs w:val="24"/>
        </w:rPr>
        <w:t xml:space="preserve"> </w:t>
      </w:r>
      <w:r w:rsidR="005B7E21">
        <w:rPr>
          <w:rFonts w:ascii="Times New Roman" w:hAnsi="Times New Roman" w:cs="Times New Roman"/>
          <w:sz w:val="24"/>
          <w:szCs w:val="24"/>
        </w:rPr>
        <w:t>irregularity in the proceedings or the decision.</w:t>
      </w:r>
    </w:p>
    <w:p w:rsidR="005B7E21" w:rsidRDefault="005B7E21" w:rsidP="00F3664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Nothing in the applicant’s papers justified the granting of the relief sought.  The point must be made that the fact that someone does not like the outcome of an administrative decision does not give rise to grounds for review.  The respondent in this matter set out the processes leading to the ou</w:t>
      </w:r>
      <w:r w:rsidR="00707812">
        <w:rPr>
          <w:rFonts w:ascii="Times New Roman" w:hAnsi="Times New Roman" w:cs="Times New Roman"/>
          <w:sz w:val="24"/>
          <w:szCs w:val="24"/>
        </w:rPr>
        <w:t>tcome of their decision.  It is</w:t>
      </w:r>
      <w:r>
        <w:rPr>
          <w:rFonts w:ascii="Times New Roman" w:hAnsi="Times New Roman" w:cs="Times New Roman"/>
          <w:sz w:val="24"/>
          <w:szCs w:val="24"/>
        </w:rPr>
        <w:t xml:space="preserve"> a trite principle of our law that the onus is on the party alleging irregularity in a</w:t>
      </w:r>
      <w:r w:rsidR="007C1A97">
        <w:rPr>
          <w:rFonts w:ascii="Times New Roman" w:hAnsi="Times New Roman" w:cs="Times New Roman"/>
          <w:sz w:val="24"/>
          <w:szCs w:val="24"/>
        </w:rPr>
        <w:t>ny</w:t>
      </w:r>
      <w:r>
        <w:rPr>
          <w:rFonts w:ascii="Times New Roman" w:hAnsi="Times New Roman" w:cs="Times New Roman"/>
          <w:sz w:val="24"/>
          <w:szCs w:val="24"/>
        </w:rPr>
        <w:t xml:space="preserve"> decision or proceedings to establish such irregularity.</w:t>
      </w:r>
      <w:r w:rsidR="007C1A97">
        <w:rPr>
          <w:rFonts w:ascii="Times New Roman" w:hAnsi="Times New Roman" w:cs="Times New Roman"/>
          <w:sz w:val="24"/>
          <w:szCs w:val="24"/>
        </w:rPr>
        <w:t xml:space="preserve"> It is not the function of the court to interfere with processes of tribunals or administrative bodies unless gross irregularity can be established.</w:t>
      </w:r>
    </w:p>
    <w:p w:rsidR="00877773" w:rsidRDefault="005B7E21" w:rsidP="00F366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C5104">
        <w:rPr>
          <w:rFonts w:ascii="Times New Roman" w:hAnsi="Times New Roman" w:cs="Times New Roman"/>
          <w:i/>
          <w:sz w:val="24"/>
          <w:szCs w:val="24"/>
        </w:rPr>
        <w:t>Bailey</w:t>
      </w:r>
      <w:r>
        <w:rPr>
          <w:rFonts w:ascii="Times New Roman" w:hAnsi="Times New Roman" w:cs="Times New Roman"/>
          <w:sz w:val="24"/>
          <w:szCs w:val="24"/>
        </w:rPr>
        <w:t xml:space="preserve"> v </w:t>
      </w:r>
      <w:r w:rsidRPr="00EC5104">
        <w:rPr>
          <w:rFonts w:ascii="Times New Roman" w:hAnsi="Times New Roman" w:cs="Times New Roman"/>
          <w:i/>
          <w:sz w:val="24"/>
          <w:szCs w:val="24"/>
        </w:rPr>
        <w:t>Heath Professions Council</w:t>
      </w:r>
      <w:r>
        <w:rPr>
          <w:rFonts w:ascii="Times New Roman" w:hAnsi="Times New Roman" w:cs="Times New Roman"/>
          <w:sz w:val="24"/>
          <w:szCs w:val="24"/>
        </w:rPr>
        <w:t xml:space="preserve"> 1993 (2) ZLR (S).  In </w:t>
      </w:r>
      <w:r w:rsidR="00877773">
        <w:rPr>
          <w:rFonts w:ascii="Times New Roman" w:hAnsi="Times New Roman" w:cs="Times New Roman"/>
          <w:sz w:val="24"/>
          <w:szCs w:val="24"/>
        </w:rPr>
        <w:t>this</w:t>
      </w:r>
      <w:r w:rsidR="00E93222">
        <w:rPr>
          <w:rFonts w:ascii="Times New Roman" w:hAnsi="Times New Roman" w:cs="Times New Roman"/>
          <w:sz w:val="24"/>
          <w:szCs w:val="24"/>
        </w:rPr>
        <w:t xml:space="preserve"> cited</w:t>
      </w:r>
      <w:r w:rsidR="00877773">
        <w:rPr>
          <w:rFonts w:ascii="Times New Roman" w:hAnsi="Times New Roman" w:cs="Times New Roman"/>
          <w:sz w:val="24"/>
          <w:szCs w:val="24"/>
        </w:rPr>
        <w:t xml:space="preserve"> case the court adopted the test whether there was real bias on the decision maker.  The court adopted the</w:t>
      </w:r>
      <w:r w:rsidR="00E93222">
        <w:rPr>
          <w:rFonts w:ascii="Times New Roman" w:hAnsi="Times New Roman" w:cs="Times New Roman"/>
          <w:sz w:val="24"/>
          <w:szCs w:val="24"/>
        </w:rPr>
        <w:t>”</w:t>
      </w:r>
      <w:r w:rsidR="00877773">
        <w:rPr>
          <w:rFonts w:ascii="Times New Roman" w:hAnsi="Times New Roman" w:cs="Times New Roman"/>
          <w:sz w:val="24"/>
          <w:szCs w:val="24"/>
        </w:rPr>
        <w:t xml:space="preserve"> reasonable danger</w:t>
      </w:r>
      <w:r w:rsidR="00E93222">
        <w:rPr>
          <w:rFonts w:ascii="Times New Roman" w:hAnsi="Times New Roman" w:cs="Times New Roman"/>
          <w:sz w:val="24"/>
          <w:szCs w:val="24"/>
        </w:rPr>
        <w:t>”</w:t>
      </w:r>
      <w:r w:rsidR="00877773">
        <w:rPr>
          <w:rFonts w:ascii="Times New Roman" w:hAnsi="Times New Roman" w:cs="Times New Roman"/>
          <w:sz w:val="24"/>
          <w:szCs w:val="24"/>
        </w:rPr>
        <w:t xml:space="preserve"> test in assessing whether the review was merited.</w:t>
      </w:r>
      <w:r w:rsidR="007017D2" w:rsidRPr="005B7E21">
        <w:rPr>
          <w:rFonts w:ascii="Times New Roman" w:hAnsi="Times New Roman" w:cs="Times New Roman"/>
          <w:sz w:val="24"/>
          <w:szCs w:val="24"/>
        </w:rPr>
        <w:t xml:space="preserve"> </w:t>
      </w:r>
      <w:r w:rsidR="00994DE8" w:rsidRPr="005B7E21">
        <w:rPr>
          <w:rFonts w:ascii="Times New Roman" w:hAnsi="Times New Roman" w:cs="Times New Roman"/>
          <w:sz w:val="24"/>
          <w:szCs w:val="24"/>
        </w:rPr>
        <w:t xml:space="preserve">    </w:t>
      </w:r>
    </w:p>
    <w:p w:rsidR="00877773" w:rsidRDefault="00877773" w:rsidP="00F366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w:t>
      </w:r>
      <w:r w:rsidR="00F37306">
        <w:rPr>
          <w:rFonts w:ascii="Times New Roman" w:hAnsi="Times New Roman" w:cs="Times New Roman"/>
          <w:sz w:val="24"/>
          <w:szCs w:val="24"/>
        </w:rPr>
        <w:t>,</w:t>
      </w:r>
      <w:r>
        <w:rPr>
          <w:rFonts w:ascii="Times New Roman" w:hAnsi="Times New Roman" w:cs="Times New Roman"/>
          <w:sz w:val="24"/>
          <w:szCs w:val="24"/>
        </w:rPr>
        <w:t xml:space="preserve"> I did not detect any irregularity in the pr</w:t>
      </w:r>
      <w:r w:rsidR="00266A81">
        <w:rPr>
          <w:rFonts w:ascii="Times New Roman" w:hAnsi="Times New Roman" w:cs="Times New Roman"/>
          <w:sz w:val="24"/>
          <w:szCs w:val="24"/>
        </w:rPr>
        <w:t>oceedings or the decision by the</w:t>
      </w:r>
      <w:r>
        <w:rPr>
          <w:rFonts w:ascii="Times New Roman" w:hAnsi="Times New Roman" w:cs="Times New Roman"/>
          <w:sz w:val="24"/>
          <w:szCs w:val="24"/>
        </w:rPr>
        <w:t xml:space="preserve"> respondent.  There was no allegation of bias.</w:t>
      </w:r>
    </w:p>
    <w:p w:rsidR="00F3664E" w:rsidRDefault="00877773" w:rsidP="00F366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and for the </w:t>
      </w:r>
      <w:proofErr w:type="spellStart"/>
      <w:r>
        <w:rPr>
          <w:rFonts w:ascii="Times New Roman" w:hAnsi="Times New Roman" w:cs="Times New Roman"/>
          <w:sz w:val="24"/>
          <w:szCs w:val="24"/>
        </w:rPr>
        <w:t>aforegoing</w:t>
      </w:r>
      <w:proofErr w:type="spellEnd"/>
      <w:r>
        <w:rPr>
          <w:rFonts w:ascii="Times New Roman" w:hAnsi="Times New Roman" w:cs="Times New Roman"/>
          <w:sz w:val="24"/>
          <w:szCs w:val="24"/>
        </w:rPr>
        <w:t xml:space="preserve"> reasons, I dismissed the application with costs.</w:t>
      </w:r>
    </w:p>
    <w:p w:rsidR="00F3664E" w:rsidRDefault="00F3664E" w:rsidP="00F3664E">
      <w:pPr>
        <w:spacing w:line="360" w:lineRule="auto"/>
        <w:jc w:val="both"/>
        <w:rPr>
          <w:rFonts w:ascii="Times New Roman" w:hAnsi="Times New Roman" w:cs="Times New Roman"/>
          <w:sz w:val="24"/>
          <w:szCs w:val="24"/>
        </w:rPr>
      </w:pPr>
    </w:p>
    <w:p w:rsidR="00F3664E" w:rsidRPr="00F3664E" w:rsidRDefault="00F3664E" w:rsidP="00F3664E">
      <w:pPr>
        <w:pStyle w:val="NoSpacing"/>
        <w:jc w:val="both"/>
        <w:rPr>
          <w:rFonts w:ascii="Times New Roman" w:hAnsi="Times New Roman" w:cs="Times New Roman"/>
          <w:sz w:val="24"/>
          <w:szCs w:val="24"/>
        </w:rPr>
      </w:pPr>
    </w:p>
    <w:p w:rsidR="00116180" w:rsidRDefault="00116180" w:rsidP="00F3664E">
      <w:pPr>
        <w:pStyle w:val="NoSpacing"/>
        <w:jc w:val="both"/>
        <w:rPr>
          <w:rFonts w:ascii="Times New Roman" w:hAnsi="Times New Roman" w:cs="Times New Roman"/>
          <w:i/>
          <w:sz w:val="24"/>
          <w:szCs w:val="24"/>
        </w:rPr>
      </w:pPr>
    </w:p>
    <w:p w:rsidR="00116180" w:rsidRDefault="00116180" w:rsidP="00F3664E">
      <w:pPr>
        <w:pStyle w:val="NoSpacing"/>
        <w:jc w:val="both"/>
        <w:rPr>
          <w:rFonts w:ascii="Times New Roman" w:hAnsi="Times New Roman" w:cs="Times New Roman"/>
          <w:i/>
          <w:sz w:val="24"/>
          <w:szCs w:val="24"/>
        </w:rPr>
      </w:pPr>
    </w:p>
    <w:p w:rsidR="00116180" w:rsidRDefault="00116180" w:rsidP="00F3664E">
      <w:pPr>
        <w:pStyle w:val="NoSpacing"/>
        <w:jc w:val="both"/>
        <w:rPr>
          <w:rFonts w:ascii="Times New Roman" w:hAnsi="Times New Roman" w:cs="Times New Roman"/>
          <w:i/>
          <w:sz w:val="24"/>
          <w:szCs w:val="24"/>
        </w:rPr>
      </w:pPr>
    </w:p>
    <w:p w:rsidR="00F3664E" w:rsidRPr="00F3664E" w:rsidRDefault="00F3664E" w:rsidP="00F3664E">
      <w:pPr>
        <w:pStyle w:val="NoSpacing"/>
        <w:jc w:val="both"/>
        <w:rPr>
          <w:rFonts w:ascii="Times New Roman" w:hAnsi="Times New Roman" w:cs="Times New Roman"/>
          <w:sz w:val="24"/>
          <w:szCs w:val="24"/>
        </w:rPr>
      </w:pPr>
      <w:r w:rsidRPr="00F3664E">
        <w:rPr>
          <w:rFonts w:ascii="Times New Roman" w:hAnsi="Times New Roman" w:cs="Times New Roman"/>
          <w:i/>
          <w:sz w:val="24"/>
          <w:szCs w:val="24"/>
        </w:rPr>
        <w:t xml:space="preserve">T J </w:t>
      </w:r>
      <w:proofErr w:type="spellStart"/>
      <w:r w:rsidRPr="00F3664E">
        <w:rPr>
          <w:rFonts w:ascii="Times New Roman" w:hAnsi="Times New Roman" w:cs="Times New Roman"/>
          <w:i/>
          <w:sz w:val="24"/>
          <w:szCs w:val="24"/>
        </w:rPr>
        <w:t>Mabhikwa</w:t>
      </w:r>
      <w:proofErr w:type="spellEnd"/>
      <w:r w:rsidRPr="00F3664E">
        <w:rPr>
          <w:rFonts w:ascii="Times New Roman" w:hAnsi="Times New Roman" w:cs="Times New Roman"/>
          <w:i/>
          <w:sz w:val="24"/>
          <w:szCs w:val="24"/>
        </w:rPr>
        <w:t xml:space="preserve"> &amp; Partners</w:t>
      </w:r>
      <w:r w:rsidRPr="00F3664E">
        <w:rPr>
          <w:rFonts w:ascii="Times New Roman" w:hAnsi="Times New Roman" w:cs="Times New Roman"/>
          <w:sz w:val="24"/>
          <w:szCs w:val="24"/>
        </w:rPr>
        <w:t>, applicant’s legal practitioners</w:t>
      </w:r>
    </w:p>
    <w:p w:rsidR="00994DE8" w:rsidRPr="005B7E21" w:rsidRDefault="00F3664E" w:rsidP="00F3664E">
      <w:pPr>
        <w:pStyle w:val="NoSpacing"/>
        <w:jc w:val="both"/>
      </w:pPr>
      <w:r w:rsidRPr="00F3664E">
        <w:rPr>
          <w:rFonts w:ascii="Times New Roman" w:hAnsi="Times New Roman" w:cs="Times New Roman"/>
          <w:i/>
          <w:sz w:val="24"/>
          <w:szCs w:val="24"/>
        </w:rPr>
        <w:t xml:space="preserve">Calderwood, Bryce </w:t>
      </w:r>
      <w:proofErr w:type="spellStart"/>
      <w:r w:rsidRPr="00F3664E">
        <w:rPr>
          <w:rFonts w:ascii="Times New Roman" w:hAnsi="Times New Roman" w:cs="Times New Roman"/>
          <w:i/>
          <w:sz w:val="24"/>
          <w:szCs w:val="24"/>
        </w:rPr>
        <w:t>Hendrie</w:t>
      </w:r>
      <w:proofErr w:type="spellEnd"/>
      <w:r w:rsidRPr="00F3664E">
        <w:rPr>
          <w:rFonts w:ascii="Times New Roman" w:hAnsi="Times New Roman" w:cs="Times New Roman"/>
          <w:i/>
          <w:sz w:val="24"/>
          <w:szCs w:val="24"/>
        </w:rPr>
        <w:t xml:space="preserve"> &amp; Partners</w:t>
      </w:r>
      <w:r w:rsidRPr="00F3664E">
        <w:rPr>
          <w:rFonts w:ascii="Times New Roman" w:hAnsi="Times New Roman" w:cs="Times New Roman"/>
          <w:sz w:val="24"/>
          <w:szCs w:val="24"/>
        </w:rPr>
        <w:t>, respondent’s legal pr</w:t>
      </w:r>
      <w:r>
        <w:rPr>
          <w:rFonts w:ascii="Times New Roman" w:hAnsi="Times New Roman" w:cs="Times New Roman"/>
          <w:sz w:val="24"/>
          <w:szCs w:val="24"/>
        </w:rPr>
        <w:t>ac</w:t>
      </w:r>
      <w:r w:rsidRPr="00F3664E">
        <w:rPr>
          <w:rFonts w:ascii="Times New Roman" w:hAnsi="Times New Roman" w:cs="Times New Roman"/>
          <w:sz w:val="24"/>
          <w:szCs w:val="24"/>
        </w:rPr>
        <w:t>titioners</w:t>
      </w:r>
      <w:r w:rsidR="00994DE8" w:rsidRPr="00F3664E">
        <w:rPr>
          <w:rFonts w:ascii="Times New Roman" w:hAnsi="Times New Roman" w:cs="Times New Roman"/>
          <w:sz w:val="24"/>
          <w:szCs w:val="24"/>
        </w:rPr>
        <w:t xml:space="preserve">                                                                                                                                                             </w:t>
      </w:r>
    </w:p>
    <w:p w:rsidR="00994DE8" w:rsidRPr="00994DE8" w:rsidRDefault="00994DE8" w:rsidP="00994DE8">
      <w:pPr>
        <w:spacing w:line="360" w:lineRule="auto"/>
        <w:ind w:left="720"/>
        <w:rPr>
          <w:rFonts w:ascii="Times New Roman" w:hAnsi="Times New Roman" w:cs="Times New Roman"/>
          <w:sz w:val="24"/>
          <w:szCs w:val="24"/>
        </w:rPr>
      </w:pPr>
    </w:p>
    <w:p w:rsidR="00994DE8" w:rsidRPr="00B95188" w:rsidRDefault="00994DE8" w:rsidP="00994DE8">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p>
    <w:sectPr w:rsidR="00994DE8" w:rsidRPr="00B95188"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AB" w:rsidRDefault="00CA74AB" w:rsidP="00F3664E">
      <w:pPr>
        <w:spacing w:after="0" w:line="240" w:lineRule="auto"/>
      </w:pPr>
      <w:r>
        <w:separator/>
      </w:r>
    </w:p>
  </w:endnote>
  <w:endnote w:type="continuationSeparator" w:id="0">
    <w:p w:rsidR="00CA74AB" w:rsidRDefault="00CA74AB" w:rsidP="00F36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AB" w:rsidRDefault="00CA74AB" w:rsidP="00F3664E">
      <w:pPr>
        <w:spacing w:after="0" w:line="240" w:lineRule="auto"/>
      </w:pPr>
      <w:r>
        <w:separator/>
      </w:r>
    </w:p>
  </w:footnote>
  <w:footnote w:type="continuationSeparator" w:id="0">
    <w:p w:rsidR="00CA74AB" w:rsidRDefault="00CA74AB" w:rsidP="00F366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8649"/>
      <w:docPartObj>
        <w:docPartGallery w:val="Page Numbers (Top of Page)"/>
        <w:docPartUnique/>
      </w:docPartObj>
    </w:sdtPr>
    <w:sdtEndPr>
      <w:rPr>
        <w:rFonts w:ascii="Times New Roman" w:hAnsi="Times New Roman" w:cs="Times New Roman"/>
        <w:sz w:val="24"/>
        <w:szCs w:val="24"/>
      </w:rPr>
    </w:sdtEndPr>
    <w:sdtContent>
      <w:p w:rsidR="00F3664E" w:rsidRPr="00F3664E" w:rsidRDefault="00C84528">
        <w:pPr>
          <w:pStyle w:val="Header"/>
          <w:jc w:val="right"/>
          <w:rPr>
            <w:rFonts w:ascii="Times New Roman" w:hAnsi="Times New Roman" w:cs="Times New Roman"/>
            <w:sz w:val="24"/>
            <w:szCs w:val="24"/>
          </w:rPr>
        </w:pPr>
        <w:r w:rsidRPr="00F3664E">
          <w:rPr>
            <w:rFonts w:ascii="Times New Roman" w:hAnsi="Times New Roman" w:cs="Times New Roman"/>
            <w:sz w:val="24"/>
            <w:szCs w:val="24"/>
          </w:rPr>
          <w:fldChar w:fldCharType="begin"/>
        </w:r>
        <w:r w:rsidR="00F3664E" w:rsidRPr="00F3664E">
          <w:rPr>
            <w:rFonts w:ascii="Times New Roman" w:hAnsi="Times New Roman" w:cs="Times New Roman"/>
            <w:sz w:val="24"/>
            <w:szCs w:val="24"/>
          </w:rPr>
          <w:instrText xml:space="preserve"> PAGE   \* MERGEFORMAT </w:instrText>
        </w:r>
        <w:r w:rsidRPr="00F3664E">
          <w:rPr>
            <w:rFonts w:ascii="Times New Roman" w:hAnsi="Times New Roman" w:cs="Times New Roman"/>
            <w:sz w:val="24"/>
            <w:szCs w:val="24"/>
          </w:rPr>
          <w:fldChar w:fldCharType="separate"/>
        </w:r>
        <w:r w:rsidR="00266A81">
          <w:rPr>
            <w:rFonts w:ascii="Times New Roman" w:hAnsi="Times New Roman" w:cs="Times New Roman"/>
            <w:noProof/>
            <w:sz w:val="24"/>
            <w:szCs w:val="24"/>
          </w:rPr>
          <w:t>5</w:t>
        </w:r>
        <w:r w:rsidRPr="00F3664E">
          <w:rPr>
            <w:rFonts w:ascii="Times New Roman" w:hAnsi="Times New Roman" w:cs="Times New Roman"/>
            <w:sz w:val="24"/>
            <w:szCs w:val="24"/>
          </w:rPr>
          <w:fldChar w:fldCharType="end"/>
        </w:r>
      </w:p>
      <w:p w:rsidR="00F3664E" w:rsidRPr="00F3664E" w:rsidRDefault="00F3664E">
        <w:pPr>
          <w:pStyle w:val="Header"/>
          <w:jc w:val="right"/>
          <w:rPr>
            <w:rFonts w:ascii="Times New Roman" w:hAnsi="Times New Roman" w:cs="Times New Roman"/>
            <w:sz w:val="24"/>
            <w:szCs w:val="24"/>
          </w:rPr>
        </w:pPr>
        <w:r w:rsidRPr="00F3664E">
          <w:rPr>
            <w:rFonts w:ascii="Times New Roman" w:hAnsi="Times New Roman" w:cs="Times New Roman"/>
            <w:sz w:val="24"/>
            <w:szCs w:val="24"/>
          </w:rPr>
          <w:t>HB 10.10</w:t>
        </w:r>
      </w:p>
      <w:p w:rsidR="00F3664E" w:rsidRPr="00F3664E" w:rsidRDefault="00F3664E">
        <w:pPr>
          <w:pStyle w:val="Header"/>
          <w:jc w:val="right"/>
          <w:rPr>
            <w:rFonts w:ascii="Times New Roman" w:hAnsi="Times New Roman" w:cs="Times New Roman"/>
            <w:sz w:val="24"/>
            <w:szCs w:val="24"/>
          </w:rPr>
        </w:pPr>
        <w:r w:rsidRPr="00F3664E">
          <w:rPr>
            <w:rFonts w:ascii="Times New Roman" w:hAnsi="Times New Roman" w:cs="Times New Roman"/>
            <w:sz w:val="24"/>
            <w:szCs w:val="24"/>
          </w:rPr>
          <w:t>HC 127/18</w:t>
        </w:r>
      </w:p>
    </w:sdtContent>
  </w:sdt>
  <w:p w:rsidR="00F3664E" w:rsidRDefault="00F366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070F"/>
    <w:multiLevelType w:val="hybridMultilevel"/>
    <w:tmpl w:val="B5AE49A2"/>
    <w:lvl w:ilvl="0" w:tplc="5CA20B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22080C"/>
    <w:multiLevelType w:val="hybridMultilevel"/>
    <w:tmpl w:val="35E84DEE"/>
    <w:lvl w:ilvl="0" w:tplc="4EC695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C612A6"/>
    <w:multiLevelType w:val="hybridMultilevel"/>
    <w:tmpl w:val="973E89A2"/>
    <w:lvl w:ilvl="0" w:tplc="D8A25D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5CD0156"/>
    <w:multiLevelType w:val="hybridMultilevel"/>
    <w:tmpl w:val="53405302"/>
    <w:lvl w:ilvl="0" w:tplc="16F6302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5188"/>
    <w:rsid w:val="000238D4"/>
    <w:rsid w:val="00070205"/>
    <w:rsid w:val="000F3B94"/>
    <w:rsid w:val="00101B8D"/>
    <w:rsid w:val="00116180"/>
    <w:rsid w:val="001A606F"/>
    <w:rsid w:val="001D08C3"/>
    <w:rsid w:val="001E7B5E"/>
    <w:rsid w:val="00222CED"/>
    <w:rsid w:val="00245715"/>
    <w:rsid w:val="00266A81"/>
    <w:rsid w:val="00273A11"/>
    <w:rsid w:val="00277478"/>
    <w:rsid w:val="002B369D"/>
    <w:rsid w:val="00325AF5"/>
    <w:rsid w:val="00371690"/>
    <w:rsid w:val="00374A2D"/>
    <w:rsid w:val="003829EE"/>
    <w:rsid w:val="003B3D41"/>
    <w:rsid w:val="003E39A9"/>
    <w:rsid w:val="00401A1B"/>
    <w:rsid w:val="004151E4"/>
    <w:rsid w:val="00465CDB"/>
    <w:rsid w:val="00484040"/>
    <w:rsid w:val="004B470D"/>
    <w:rsid w:val="00537CA0"/>
    <w:rsid w:val="00557D1D"/>
    <w:rsid w:val="005B7E21"/>
    <w:rsid w:val="00642462"/>
    <w:rsid w:val="006A111E"/>
    <w:rsid w:val="007017D2"/>
    <w:rsid w:val="00707812"/>
    <w:rsid w:val="007C1A97"/>
    <w:rsid w:val="007C5505"/>
    <w:rsid w:val="008509CF"/>
    <w:rsid w:val="008600FE"/>
    <w:rsid w:val="00877773"/>
    <w:rsid w:val="00894610"/>
    <w:rsid w:val="008E388E"/>
    <w:rsid w:val="009051F5"/>
    <w:rsid w:val="0094358A"/>
    <w:rsid w:val="009447C2"/>
    <w:rsid w:val="00973D61"/>
    <w:rsid w:val="00994DE8"/>
    <w:rsid w:val="00A7420B"/>
    <w:rsid w:val="00A97786"/>
    <w:rsid w:val="00AC540E"/>
    <w:rsid w:val="00B015F2"/>
    <w:rsid w:val="00B4691F"/>
    <w:rsid w:val="00B95188"/>
    <w:rsid w:val="00C84528"/>
    <w:rsid w:val="00CA570C"/>
    <w:rsid w:val="00CA74AB"/>
    <w:rsid w:val="00CC3697"/>
    <w:rsid w:val="00D07B1C"/>
    <w:rsid w:val="00D20C47"/>
    <w:rsid w:val="00D2137A"/>
    <w:rsid w:val="00D71DB4"/>
    <w:rsid w:val="00DB5D77"/>
    <w:rsid w:val="00DD06F9"/>
    <w:rsid w:val="00DE1EB0"/>
    <w:rsid w:val="00E22049"/>
    <w:rsid w:val="00E45311"/>
    <w:rsid w:val="00E93222"/>
    <w:rsid w:val="00EA45A2"/>
    <w:rsid w:val="00EC5104"/>
    <w:rsid w:val="00EF1ABA"/>
    <w:rsid w:val="00F11A28"/>
    <w:rsid w:val="00F3664E"/>
    <w:rsid w:val="00F37306"/>
    <w:rsid w:val="00F7353B"/>
    <w:rsid w:val="00F77225"/>
    <w:rsid w:val="00FB01B0"/>
    <w:rsid w:val="00FC321A"/>
    <w:rsid w:val="00FD61C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188"/>
    <w:pPr>
      <w:spacing w:after="0" w:line="240" w:lineRule="auto"/>
    </w:pPr>
    <w:rPr>
      <w:lang w:val="en-US"/>
    </w:rPr>
  </w:style>
  <w:style w:type="paragraph" w:styleId="ListParagraph">
    <w:name w:val="List Paragraph"/>
    <w:basedOn w:val="Normal"/>
    <w:uiPriority w:val="34"/>
    <w:qFormat/>
    <w:rsid w:val="00B95188"/>
    <w:pPr>
      <w:ind w:left="720"/>
      <w:contextualSpacing/>
    </w:pPr>
  </w:style>
  <w:style w:type="paragraph" w:styleId="Header">
    <w:name w:val="header"/>
    <w:basedOn w:val="Normal"/>
    <w:link w:val="HeaderChar"/>
    <w:uiPriority w:val="99"/>
    <w:unhideWhenUsed/>
    <w:rsid w:val="00F36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64E"/>
    <w:rPr>
      <w:lang w:val="en-US"/>
    </w:rPr>
  </w:style>
  <w:style w:type="paragraph" w:styleId="Footer">
    <w:name w:val="footer"/>
    <w:basedOn w:val="Normal"/>
    <w:link w:val="FooterChar"/>
    <w:uiPriority w:val="99"/>
    <w:semiHidden/>
    <w:unhideWhenUsed/>
    <w:rsid w:val="00F366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664E"/>
    <w:rPr>
      <w:lang w:val="en-US"/>
    </w:rPr>
  </w:style>
</w:styles>
</file>

<file path=word/webSettings.xml><?xml version="1.0" encoding="utf-8"?>
<w:webSettings xmlns:r="http://schemas.openxmlformats.org/officeDocument/2006/relationships" xmlns:w="http://schemas.openxmlformats.org/wordprocessingml/2006/main">
  <w:divs>
    <w:div w:id="6864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User</cp:lastModifiedBy>
  <cp:revision>33</cp:revision>
  <cp:lastPrinted>2020-01-22T16:23:00Z</cp:lastPrinted>
  <dcterms:created xsi:type="dcterms:W3CDTF">2020-01-22T08:32:00Z</dcterms:created>
  <dcterms:modified xsi:type="dcterms:W3CDTF">2020-01-22T16:58:00Z</dcterms:modified>
</cp:coreProperties>
</file>