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B74" w:rsidRPr="009310CD" w:rsidRDefault="00DC6B74" w:rsidP="00DC6B74">
      <w:pPr>
        <w:spacing w:line="360" w:lineRule="auto"/>
        <w:jc w:val="both"/>
        <w:rPr>
          <w:b/>
        </w:rPr>
      </w:pPr>
      <w:bookmarkStart w:id="0" w:name="_GoBack"/>
      <w:bookmarkEnd w:id="0"/>
      <w:proofErr w:type="gramStart"/>
      <w:r w:rsidRPr="009310CD">
        <w:rPr>
          <w:b/>
        </w:rPr>
        <w:t>IN THE LABOUR COURT OF ZIMBABWE</w:t>
      </w:r>
      <w:r w:rsidRPr="009310CD">
        <w:rPr>
          <w:b/>
        </w:rPr>
        <w:tab/>
      </w:r>
      <w:r>
        <w:rPr>
          <w:b/>
        </w:rPr>
        <w:t xml:space="preserve"> </w:t>
      </w:r>
      <w:r w:rsidRPr="009310CD">
        <w:rPr>
          <w:b/>
        </w:rPr>
        <w:t>JUDGMENT NO.</w:t>
      </w:r>
      <w:proofErr w:type="gramEnd"/>
      <w:r w:rsidRPr="009310CD">
        <w:rPr>
          <w:b/>
        </w:rPr>
        <w:t xml:space="preserve"> LC/H/</w:t>
      </w:r>
      <w:r w:rsidR="00635EB7">
        <w:rPr>
          <w:b/>
        </w:rPr>
        <w:t>699</w:t>
      </w:r>
      <w:r w:rsidRPr="009310CD">
        <w:rPr>
          <w:b/>
        </w:rPr>
        <w:t>/2014</w:t>
      </w:r>
    </w:p>
    <w:p w:rsidR="00DC6B74" w:rsidRDefault="00DC6B74" w:rsidP="00DC6B74">
      <w:pPr>
        <w:spacing w:line="360" w:lineRule="auto"/>
        <w:jc w:val="both"/>
        <w:rPr>
          <w:b/>
        </w:rPr>
      </w:pPr>
      <w:r w:rsidRPr="009310CD">
        <w:rPr>
          <w:b/>
        </w:rPr>
        <w:t>HARARE,</w:t>
      </w:r>
      <w:r>
        <w:rPr>
          <w:b/>
        </w:rPr>
        <w:t xml:space="preserve"> 18 SEPTEMBER 2014</w:t>
      </w:r>
      <w:r>
        <w:rPr>
          <w:b/>
        </w:rPr>
        <w:tab/>
        <w:t xml:space="preserve">                         CASE NO. LC/</w:t>
      </w:r>
      <w:r w:rsidRPr="009310CD">
        <w:rPr>
          <w:b/>
        </w:rPr>
        <w:t>H/</w:t>
      </w:r>
      <w:r>
        <w:rPr>
          <w:b/>
        </w:rPr>
        <w:t>289/14</w:t>
      </w:r>
    </w:p>
    <w:p w:rsidR="00635EB7" w:rsidRDefault="00635EB7" w:rsidP="00DC6B74">
      <w:pPr>
        <w:spacing w:line="360" w:lineRule="auto"/>
        <w:jc w:val="both"/>
        <w:rPr>
          <w:b/>
        </w:rPr>
      </w:pPr>
      <w:r>
        <w:rPr>
          <w:b/>
        </w:rPr>
        <w:t>AND 24 OCTOBER 2014</w:t>
      </w:r>
    </w:p>
    <w:p w:rsidR="00DC6B74" w:rsidRPr="009310CD" w:rsidRDefault="00DC6B74" w:rsidP="00DC6B74">
      <w:pPr>
        <w:spacing w:line="360" w:lineRule="auto"/>
        <w:jc w:val="both"/>
      </w:pPr>
      <w:r w:rsidRPr="009310CD">
        <w:t>In the matter between</w:t>
      </w:r>
    </w:p>
    <w:p w:rsidR="00DC6B74" w:rsidRPr="009310CD" w:rsidRDefault="00DC6B74" w:rsidP="00A6519C">
      <w:pPr>
        <w:jc w:val="both"/>
      </w:pPr>
    </w:p>
    <w:p w:rsidR="00DC6B74" w:rsidRPr="009310CD" w:rsidRDefault="00DC6B74" w:rsidP="00DC6B74">
      <w:pPr>
        <w:spacing w:line="360" w:lineRule="auto"/>
        <w:jc w:val="both"/>
        <w:rPr>
          <w:b/>
        </w:rPr>
      </w:pPr>
      <w:r>
        <w:rPr>
          <w:b/>
        </w:rPr>
        <w:t>A MUSONZA</w:t>
      </w:r>
      <w:r>
        <w:rPr>
          <w:b/>
        </w:rPr>
        <w:tab/>
      </w:r>
      <w:r>
        <w:rPr>
          <w:b/>
        </w:rPr>
        <w:tab/>
      </w:r>
      <w:r>
        <w:rPr>
          <w:b/>
        </w:rPr>
        <w:tab/>
      </w:r>
      <w:r>
        <w:rPr>
          <w:b/>
        </w:rPr>
        <w:tab/>
      </w:r>
      <w:r>
        <w:rPr>
          <w:b/>
        </w:rPr>
        <w:tab/>
      </w:r>
      <w:r>
        <w:rPr>
          <w:b/>
        </w:rPr>
        <w:tab/>
      </w:r>
      <w:r>
        <w:rPr>
          <w:b/>
        </w:rPr>
        <w:tab/>
        <w:t>Appellant</w:t>
      </w:r>
    </w:p>
    <w:p w:rsidR="00DC6B74" w:rsidRPr="009310CD" w:rsidRDefault="00DC6B74" w:rsidP="00DC6B74">
      <w:pPr>
        <w:spacing w:line="360" w:lineRule="auto"/>
        <w:jc w:val="both"/>
        <w:outlineLvl w:val="0"/>
      </w:pPr>
      <w:r w:rsidRPr="009310CD">
        <w:t>And</w:t>
      </w:r>
    </w:p>
    <w:p w:rsidR="00DC6B74" w:rsidRDefault="00DC6B74" w:rsidP="00DC6B74">
      <w:pPr>
        <w:spacing w:line="360" w:lineRule="auto"/>
        <w:jc w:val="both"/>
        <w:rPr>
          <w:b/>
        </w:rPr>
      </w:pPr>
      <w:r>
        <w:rPr>
          <w:b/>
        </w:rPr>
        <w:t>PERMANENT SECRETARY OF PRIMARY</w:t>
      </w:r>
      <w:r>
        <w:rPr>
          <w:b/>
        </w:rPr>
        <w:tab/>
      </w:r>
      <w:r>
        <w:rPr>
          <w:b/>
        </w:rPr>
        <w:tab/>
      </w:r>
      <w:r>
        <w:rPr>
          <w:b/>
        </w:rPr>
        <w:tab/>
      </w:r>
      <w:r w:rsidRPr="009310CD">
        <w:rPr>
          <w:b/>
        </w:rPr>
        <w:t>Respondent</w:t>
      </w:r>
    </w:p>
    <w:p w:rsidR="00DC6B74" w:rsidRDefault="00DC6B74" w:rsidP="00DC6B74">
      <w:pPr>
        <w:spacing w:line="360" w:lineRule="auto"/>
        <w:jc w:val="both"/>
        <w:rPr>
          <w:b/>
        </w:rPr>
      </w:pPr>
      <w:r>
        <w:rPr>
          <w:b/>
        </w:rPr>
        <w:t>&amp; SECONDARY EDUCATION</w:t>
      </w:r>
    </w:p>
    <w:p w:rsidR="00DC6B74" w:rsidRPr="009310CD" w:rsidRDefault="00DC6B74" w:rsidP="00A6519C">
      <w:pPr>
        <w:jc w:val="both"/>
        <w:rPr>
          <w:b/>
        </w:rPr>
      </w:pPr>
    </w:p>
    <w:p w:rsidR="00DC6B74" w:rsidRPr="009310CD" w:rsidRDefault="00DC6B74" w:rsidP="00DC6B74">
      <w:pPr>
        <w:spacing w:line="360" w:lineRule="auto"/>
        <w:jc w:val="both"/>
        <w:outlineLvl w:val="0"/>
      </w:pPr>
      <w:r w:rsidRPr="009310CD">
        <w:t xml:space="preserve">Before The Honourable P. </w:t>
      </w:r>
      <w:proofErr w:type="spellStart"/>
      <w:r w:rsidRPr="009310CD">
        <w:t>Muzofa</w:t>
      </w:r>
      <w:proofErr w:type="spellEnd"/>
      <w:r w:rsidRPr="009310CD">
        <w:t>, Judge</w:t>
      </w:r>
    </w:p>
    <w:p w:rsidR="00DC6B74" w:rsidRPr="009310CD" w:rsidRDefault="00DC6B74" w:rsidP="00A6519C">
      <w:pPr>
        <w:jc w:val="both"/>
      </w:pPr>
    </w:p>
    <w:p w:rsidR="00DC6B74" w:rsidRPr="009310CD" w:rsidRDefault="00DC6B74" w:rsidP="00DC6B74">
      <w:pPr>
        <w:jc w:val="both"/>
        <w:rPr>
          <w:b/>
        </w:rPr>
      </w:pPr>
      <w:r>
        <w:rPr>
          <w:b/>
        </w:rPr>
        <w:t>For Appellant</w:t>
      </w:r>
      <w:r w:rsidRPr="009310CD">
        <w:rPr>
          <w:b/>
        </w:rPr>
        <w:tab/>
        <w:t>-</w:t>
      </w:r>
      <w:r w:rsidRPr="009310CD">
        <w:rPr>
          <w:b/>
        </w:rPr>
        <w:tab/>
      </w:r>
      <w:r>
        <w:rPr>
          <w:b/>
        </w:rPr>
        <w:t xml:space="preserve">E. E. </w:t>
      </w:r>
      <w:proofErr w:type="spellStart"/>
      <w:r>
        <w:rPr>
          <w:b/>
        </w:rPr>
        <w:t>Matika</w:t>
      </w:r>
      <w:proofErr w:type="spellEnd"/>
      <w:r w:rsidRPr="009310CD">
        <w:rPr>
          <w:b/>
        </w:rPr>
        <w:t xml:space="preserve"> (Legal Practitioner)</w:t>
      </w:r>
    </w:p>
    <w:p w:rsidR="00DC6B74" w:rsidRPr="009310CD" w:rsidRDefault="00DC6B74" w:rsidP="00DC6B74">
      <w:pPr>
        <w:jc w:val="both"/>
        <w:rPr>
          <w:b/>
        </w:rPr>
      </w:pPr>
      <w:r w:rsidRPr="009310CD">
        <w:rPr>
          <w:b/>
        </w:rPr>
        <w:tab/>
      </w:r>
      <w:r w:rsidRPr="009310CD">
        <w:rPr>
          <w:b/>
        </w:rPr>
        <w:tab/>
      </w:r>
      <w:r w:rsidRPr="009310CD">
        <w:rPr>
          <w:b/>
        </w:rPr>
        <w:tab/>
      </w:r>
      <w:r w:rsidRPr="009310CD">
        <w:rPr>
          <w:b/>
        </w:rPr>
        <w:tab/>
      </w:r>
    </w:p>
    <w:p w:rsidR="00DC6B74" w:rsidRDefault="00DC6B74" w:rsidP="00DC6B74">
      <w:pPr>
        <w:jc w:val="both"/>
        <w:rPr>
          <w:b/>
        </w:rPr>
      </w:pPr>
      <w:r w:rsidRPr="009310CD">
        <w:rPr>
          <w:b/>
        </w:rPr>
        <w:t>For Respondent</w:t>
      </w:r>
      <w:r w:rsidRPr="009310CD">
        <w:rPr>
          <w:b/>
        </w:rPr>
        <w:tab/>
        <w:t>-</w:t>
      </w:r>
      <w:r w:rsidRPr="009310CD">
        <w:rPr>
          <w:b/>
        </w:rPr>
        <w:tab/>
      </w:r>
      <w:proofErr w:type="spellStart"/>
      <w:r>
        <w:rPr>
          <w:b/>
        </w:rPr>
        <w:t>Kasere</w:t>
      </w:r>
      <w:proofErr w:type="spellEnd"/>
      <w:r w:rsidRPr="009310CD">
        <w:rPr>
          <w:b/>
        </w:rPr>
        <w:t xml:space="preserve"> (</w:t>
      </w:r>
      <w:r>
        <w:rPr>
          <w:b/>
        </w:rPr>
        <w:t>Civil Division</w:t>
      </w:r>
      <w:r w:rsidRPr="009310CD">
        <w:rPr>
          <w:b/>
        </w:rPr>
        <w:t>)</w:t>
      </w:r>
    </w:p>
    <w:p w:rsidR="00DC6B74" w:rsidRPr="009310CD" w:rsidRDefault="00DC6B74" w:rsidP="00DC6B74">
      <w:pPr>
        <w:jc w:val="both"/>
        <w:rPr>
          <w:b/>
        </w:rPr>
      </w:pPr>
    </w:p>
    <w:p w:rsidR="00DC6B74" w:rsidRPr="009310CD" w:rsidRDefault="00DC6B74" w:rsidP="00DC6B74">
      <w:pPr>
        <w:jc w:val="both"/>
        <w:rPr>
          <w:b/>
        </w:rPr>
      </w:pPr>
    </w:p>
    <w:p w:rsidR="00DC6B74" w:rsidRPr="009310CD" w:rsidRDefault="00DC6B74" w:rsidP="00DC6B74">
      <w:pPr>
        <w:spacing w:line="360" w:lineRule="auto"/>
        <w:jc w:val="both"/>
        <w:outlineLvl w:val="0"/>
        <w:rPr>
          <w:b/>
        </w:rPr>
      </w:pPr>
      <w:r w:rsidRPr="009310CD">
        <w:rPr>
          <w:b/>
        </w:rPr>
        <w:t>MUZOFA</w:t>
      </w:r>
      <w:r>
        <w:rPr>
          <w:b/>
        </w:rPr>
        <w:t>,</w:t>
      </w:r>
      <w:r w:rsidRPr="009310CD">
        <w:rPr>
          <w:b/>
        </w:rPr>
        <w:t xml:space="preserve"> J:</w:t>
      </w:r>
    </w:p>
    <w:p w:rsidR="00DC6B74" w:rsidRDefault="00DC6B74" w:rsidP="00DC6B74">
      <w:pPr>
        <w:jc w:val="both"/>
      </w:pPr>
    </w:p>
    <w:p w:rsidR="003C4620" w:rsidRDefault="003C4620" w:rsidP="00A6519C"/>
    <w:p w:rsidR="00DC6B74" w:rsidRDefault="00DC6B74" w:rsidP="00DC6B74">
      <w:pPr>
        <w:spacing w:line="360" w:lineRule="auto"/>
        <w:jc w:val="both"/>
      </w:pPr>
      <w:r>
        <w:tab/>
        <w:t xml:space="preserve">The appellant was employed by the respondent as a teacher at </w:t>
      </w:r>
      <w:proofErr w:type="spellStart"/>
      <w:r>
        <w:t>Madziwa</w:t>
      </w:r>
      <w:proofErr w:type="spellEnd"/>
      <w:r>
        <w:t xml:space="preserve"> Mine Secondary School.  Following allegations of improper association with two female students, appellant was charged in terms of paragraphs 4, 7 and 24 of schedule (1) of the Public Service Regulations, Statutory Instrument 1 of 2000.  Appellant was found</w:t>
      </w:r>
      <w:r w:rsidR="0051422B">
        <w:t xml:space="preserve"> liable for improper association with one of the students and in respect of the second student he was found not liable.  Appellant was discharged from service.  Appellant then noted an appeal to this court.  I will address the student as the complainant for convenience.</w:t>
      </w:r>
    </w:p>
    <w:p w:rsidR="0051422B" w:rsidRDefault="0051422B" w:rsidP="002E00DD">
      <w:pPr>
        <w:jc w:val="both"/>
      </w:pPr>
    </w:p>
    <w:p w:rsidR="0051422B" w:rsidRDefault="0051422B" w:rsidP="00DC6B74">
      <w:pPr>
        <w:spacing w:line="360" w:lineRule="auto"/>
        <w:jc w:val="both"/>
      </w:pPr>
      <w:r>
        <w:tab/>
        <w:t>The two grounds of appeal c</w:t>
      </w:r>
      <w:r w:rsidR="00C549E8">
        <w:t xml:space="preserve">hallenge the </w:t>
      </w:r>
      <w:proofErr w:type="spellStart"/>
      <w:r w:rsidR="00C549E8">
        <w:t>adequancy</w:t>
      </w:r>
      <w:proofErr w:type="spellEnd"/>
      <w:r w:rsidR="00C549E8">
        <w:t xml:space="preserve"> of evide</w:t>
      </w:r>
      <w:r>
        <w:t>nce and the penalty meted by the committee.  I will address the grounds of appeal in turn.</w:t>
      </w:r>
    </w:p>
    <w:p w:rsidR="0051422B" w:rsidRDefault="0051422B" w:rsidP="002E00DD">
      <w:pPr>
        <w:jc w:val="both"/>
      </w:pPr>
    </w:p>
    <w:p w:rsidR="0051422B" w:rsidRPr="002E00DD" w:rsidRDefault="0051422B" w:rsidP="00DC6B74">
      <w:pPr>
        <w:spacing w:line="360" w:lineRule="auto"/>
        <w:jc w:val="both"/>
        <w:rPr>
          <w:u w:val="single"/>
        </w:rPr>
      </w:pPr>
      <w:proofErr w:type="spellStart"/>
      <w:r w:rsidRPr="002E00DD">
        <w:rPr>
          <w:u w:val="single"/>
        </w:rPr>
        <w:t>Adequancy</w:t>
      </w:r>
      <w:proofErr w:type="spellEnd"/>
      <w:r w:rsidRPr="002E00DD">
        <w:rPr>
          <w:u w:val="single"/>
        </w:rPr>
        <w:t xml:space="preserve"> of evidence</w:t>
      </w:r>
    </w:p>
    <w:p w:rsidR="0051422B" w:rsidRDefault="0051422B" w:rsidP="002E00DD">
      <w:pPr>
        <w:jc w:val="both"/>
      </w:pPr>
    </w:p>
    <w:p w:rsidR="0051422B" w:rsidRDefault="0051422B" w:rsidP="00DC6B74">
      <w:pPr>
        <w:spacing w:line="360" w:lineRule="auto"/>
        <w:jc w:val="both"/>
      </w:pPr>
      <w:r>
        <w:tab/>
        <w:t xml:space="preserve">It is a </w:t>
      </w:r>
      <w:proofErr w:type="spellStart"/>
      <w:r>
        <w:t>well established</w:t>
      </w:r>
      <w:proofErr w:type="spellEnd"/>
      <w:r>
        <w:t xml:space="preserve"> principle of law that in civil matters wherein labour matters fall within the standard of proof is on a balance of probabilities.  </w:t>
      </w:r>
      <w:proofErr w:type="gramStart"/>
      <w:r>
        <w:t xml:space="preserve">See </w:t>
      </w:r>
      <w:r>
        <w:lastRenderedPageBreak/>
        <w:t xml:space="preserve">generally </w:t>
      </w:r>
      <w:r w:rsidRPr="00EF3DF7">
        <w:rPr>
          <w:i/>
        </w:rPr>
        <w:t>ZESA</w:t>
      </w:r>
      <w:r>
        <w:t xml:space="preserve"> v </w:t>
      </w:r>
      <w:r w:rsidRPr="00EF3DF7">
        <w:rPr>
          <w:i/>
        </w:rPr>
        <w:t xml:space="preserve">DERA </w:t>
      </w:r>
      <w:r>
        <w:t>1998 (1) ZLR 452 (S).</w:t>
      </w:r>
      <w:proofErr w:type="gramEnd"/>
      <w:r w:rsidR="00EF3DF7">
        <w:t xml:space="preserve"> </w:t>
      </w:r>
      <w:r w:rsidR="00C549E8">
        <w:t xml:space="preserve"> In ass</w:t>
      </w:r>
      <w:r w:rsidR="00404735">
        <w:t xml:space="preserve">essing circumstantial evidence this </w:t>
      </w:r>
      <w:proofErr w:type="spellStart"/>
      <w:r w:rsidR="00404735">
        <w:t>court</w:t>
      </w:r>
      <w:r w:rsidR="00EF3DF7">
        <w:t>`</w:t>
      </w:r>
      <w:r w:rsidR="00404735">
        <w:t>can</w:t>
      </w:r>
      <w:proofErr w:type="spellEnd"/>
      <w:r w:rsidR="00404735">
        <w:t xml:space="preserve"> do no better than be guided by the dictum in the case of </w:t>
      </w:r>
      <w:proofErr w:type="spellStart"/>
      <w:r w:rsidR="00404735" w:rsidRPr="002E00DD">
        <w:rPr>
          <w:i/>
        </w:rPr>
        <w:t>Ebrahim</w:t>
      </w:r>
      <w:proofErr w:type="spellEnd"/>
      <w:r w:rsidR="00404735">
        <w:t xml:space="preserve"> v </w:t>
      </w:r>
      <w:r w:rsidR="00404735" w:rsidRPr="002E00DD">
        <w:rPr>
          <w:i/>
        </w:rPr>
        <w:t xml:space="preserve">Pittman </w:t>
      </w:r>
      <w:r w:rsidR="00404735">
        <w:t xml:space="preserve">No. 1995 (1) ZLR 176 </w:t>
      </w:r>
      <w:r w:rsidR="00810F33">
        <w:t xml:space="preserve">HC.  In that case the court cited the case </w:t>
      </w:r>
      <w:r w:rsidR="00C60AAD">
        <w:t xml:space="preserve">of </w:t>
      </w:r>
      <w:proofErr w:type="spellStart"/>
      <w:r w:rsidR="00C549E8">
        <w:rPr>
          <w:i/>
        </w:rPr>
        <w:t>Go</w:t>
      </w:r>
      <w:r w:rsidR="00C60AAD" w:rsidRPr="002E00DD">
        <w:rPr>
          <w:i/>
        </w:rPr>
        <w:t>van</w:t>
      </w:r>
      <w:proofErr w:type="spellEnd"/>
      <w:r w:rsidR="00C60AAD">
        <w:t xml:space="preserve"> v </w:t>
      </w:r>
      <w:r w:rsidR="00C60AAD" w:rsidRPr="002E00DD">
        <w:rPr>
          <w:i/>
        </w:rPr>
        <w:t xml:space="preserve">Skidmore </w:t>
      </w:r>
      <w:r w:rsidR="00C60AAD">
        <w:t>1952 (1) SA 732 at 734B:</w:t>
      </w:r>
    </w:p>
    <w:p w:rsidR="00C60AAD" w:rsidRDefault="00C60AAD" w:rsidP="002E00DD">
      <w:pPr>
        <w:jc w:val="both"/>
      </w:pPr>
    </w:p>
    <w:p w:rsidR="00C60AAD" w:rsidRPr="002E00DD" w:rsidRDefault="00C60AAD" w:rsidP="002E00DD">
      <w:pPr>
        <w:spacing w:line="276" w:lineRule="auto"/>
        <w:ind w:left="720"/>
        <w:jc w:val="both"/>
        <w:rPr>
          <w:sz w:val="22"/>
          <w:szCs w:val="22"/>
        </w:rPr>
      </w:pPr>
      <w:r w:rsidRPr="002E00DD">
        <w:rPr>
          <w:sz w:val="22"/>
          <w:szCs w:val="22"/>
        </w:rPr>
        <w:t xml:space="preserve">“… in a civil case, for, in finding facts or making inferences in a civil case, it seems to me that one may, as </w:t>
      </w:r>
      <w:proofErr w:type="spellStart"/>
      <w:r w:rsidRPr="002E00DD">
        <w:rPr>
          <w:sz w:val="22"/>
          <w:szCs w:val="22"/>
        </w:rPr>
        <w:t>Wigmore</w:t>
      </w:r>
      <w:proofErr w:type="spellEnd"/>
      <w:r w:rsidRPr="002E00DD">
        <w:rPr>
          <w:sz w:val="22"/>
          <w:szCs w:val="22"/>
        </w:rPr>
        <w:t xml:space="preserve"> conveys in his work on evidence 3 </w:t>
      </w:r>
      <w:proofErr w:type="spellStart"/>
      <w:r w:rsidRPr="002E00DD">
        <w:rPr>
          <w:sz w:val="22"/>
          <w:szCs w:val="22"/>
        </w:rPr>
        <w:t>ed</w:t>
      </w:r>
      <w:proofErr w:type="spellEnd"/>
      <w:r w:rsidRPr="002E00DD">
        <w:rPr>
          <w:sz w:val="22"/>
          <w:szCs w:val="22"/>
        </w:rPr>
        <w:t xml:space="preserve"> </w:t>
      </w:r>
      <w:proofErr w:type="spellStart"/>
      <w:r w:rsidRPr="002E00DD">
        <w:rPr>
          <w:sz w:val="22"/>
          <w:szCs w:val="22"/>
        </w:rPr>
        <w:t>para</w:t>
      </w:r>
      <w:proofErr w:type="spellEnd"/>
      <w:r w:rsidRPr="002E00DD">
        <w:rPr>
          <w:sz w:val="22"/>
          <w:szCs w:val="22"/>
        </w:rPr>
        <w:t xml:space="preserve"> 32, by balancing probabilities select a conclusion which seems to be the more natural, or plausible, conclusion from amongst several conceivable ones, even </w:t>
      </w:r>
      <w:r w:rsidR="00C549E8" w:rsidRPr="002E00DD">
        <w:rPr>
          <w:sz w:val="22"/>
          <w:szCs w:val="22"/>
        </w:rPr>
        <w:t>though</w:t>
      </w:r>
      <w:r w:rsidRPr="002E00DD">
        <w:rPr>
          <w:sz w:val="22"/>
          <w:szCs w:val="22"/>
        </w:rPr>
        <w:t xml:space="preserve"> that conclusion be not the only reasonable one.”</w:t>
      </w:r>
    </w:p>
    <w:p w:rsidR="00C60AAD" w:rsidRDefault="00C60AAD" w:rsidP="00DC6B74">
      <w:pPr>
        <w:spacing w:line="360" w:lineRule="auto"/>
        <w:jc w:val="both"/>
      </w:pPr>
    </w:p>
    <w:p w:rsidR="00126198" w:rsidRDefault="00C60AAD" w:rsidP="00DC6B74">
      <w:pPr>
        <w:spacing w:line="360" w:lineRule="auto"/>
        <w:jc w:val="both"/>
      </w:pPr>
      <w:r>
        <w:tab/>
        <w:t xml:space="preserve">In </w:t>
      </w:r>
      <w:r w:rsidRPr="002E00DD">
        <w:rPr>
          <w:i/>
        </w:rPr>
        <w:t>casu</w:t>
      </w:r>
      <w:r>
        <w:t xml:space="preserve"> therefore the court has to balance the </w:t>
      </w:r>
      <w:proofErr w:type="spellStart"/>
      <w:r>
        <w:t>probalities</w:t>
      </w:r>
      <w:proofErr w:type="spellEnd"/>
      <w:r>
        <w:t xml:space="preserve"> presented by the evidence of both parties </w:t>
      </w:r>
      <w:r w:rsidR="00C549E8">
        <w:t>and</w:t>
      </w:r>
      <w:r>
        <w:t xml:space="preserve"> select a more plausible one.  The first witness called by the respondent was the complainant</w:t>
      </w:r>
      <w:r w:rsidR="007504C9">
        <w:t>.  Her evidence was that she went t</w:t>
      </w:r>
      <w:r w:rsidR="00C549E8">
        <w:t>o the appellant’s house to visit</w:t>
      </w:r>
      <w:r w:rsidR="007504C9">
        <w:t xml:space="preserve"> her friend who is appellant’s niece.  She knocked </w:t>
      </w:r>
      <w:r w:rsidR="00C549E8">
        <w:t>on</w:t>
      </w:r>
      <w:r w:rsidR="007504C9">
        <w:t xml:space="preserve"> the door, there was no response she entered the house through the </w:t>
      </w:r>
      <w:r w:rsidR="00C549E8">
        <w:t>kitchen</w:t>
      </w:r>
      <w:r w:rsidR="007504C9">
        <w:t xml:space="preserve">.  She saw no one in the kitchen when she was about to leave appellant appeared.  Appellant proposed love to </w:t>
      </w:r>
      <w:proofErr w:type="gramStart"/>
      <w:r w:rsidR="007504C9">
        <w:t>her,</w:t>
      </w:r>
      <w:proofErr w:type="gramEnd"/>
      <w:r w:rsidR="007504C9">
        <w:t xml:space="preserve"> dragged her to his bedroom where he lifted her blouse and kissed her left breast.  In the process appellant suspected someone to have entered the house, he lifted the girl and dropped her out of the house through his kitchen window.  On her way from appellant’s house she met a lady teacher </w:t>
      </w:r>
      <w:proofErr w:type="spellStart"/>
      <w:r w:rsidR="007504C9">
        <w:t>Ms</w:t>
      </w:r>
      <w:proofErr w:type="spellEnd"/>
      <w:r w:rsidR="007504C9">
        <w:t xml:space="preserve"> </w:t>
      </w:r>
      <w:proofErr w:type="spellStart"/>
      <w:r w:rsidR="007504C9">
        <w:t>Madzinge</w:t>
      </w:r>
      <w:proofErr w:type="spellEnd"/>
      <w:r w:rsidR="007504C9">
        <w:t xml:space="preserve"> who asked her why she came out the house through the window.  She did not respond.  She </w:t>
      </w:r>
      <w:proofErr w:type="gramStart"/>
      <w:r w:rsidR="007504C9">
        <w:t>proceeded</w:t>
      </w:r>
      <w:proofErr w:type="gramEnd"/>
      <w:r w:rsidR="007504C9">
        <w:t xml:space="preserve"> walking and met appellant</w:t>
      </w:r>
      <w:r w:rsidR="00126198">
        <w:t xml:space="preserve"> </w:t>
      </w:r>
      <w:r w:rsidR="003D7BEA">
        <w:t>who was heading for the shops</w:t>
      </w:r>
      <w:r w:rsidR="00126198">
        <w:t xml:space="preserve">.  Appellant admonished her not to tell anyone.  She later </w:t>
      </w:r>
      <w:r w:rsidR="003D7BEA">
        <w:t>wrote</w:t>
      </w:r>
      <w:r w:rsidR="00126198">
        <w:t xml:space="preserve"> what transpired after being asked by the senior lady (Miss </w:t>
      </w:r>
      <w:proofErr w:type="spellStart"/>
      <w:r w:rsidR="00126198">
        <w:t>Ntini</w:t>
      </w:r>
      <w:proofErr w:type="spellEnd"/>
      <w:r w:rsidR="00C549E8">
        <w:t>)</w:t>
      </w:r>
      <w:r w:rsidR="00126198">
        <w:t xml:space="preserve"> </w:t>
      </w:r>
      <w:proofErr w:type="gramStart"/>
      <w:r w:rsidR="00126198">
        <w:t>She</w:t>
      </w:r>
      <w:proofErr w:type="gramEnd"/>
      <w:r w:rsidR="00126198">
        <w:t xml:space="preserve"> did not report the matter to her parents as she said she was afraid.  Appellant later phoned her through her friend trying to persuade her not to tell the truth.</w:t>
      </w:r>
    </w:p>
    <w:p w:rsidR="00126198" w:rsidRDefault="00126198" w:rsidP="002E00DD">
      <w:pPr>
        <w:jc w:val="both"/>
      </w:pPr>
    </w:p>
    <w:p w:rsidR="00983735" w:rsidRDefault="00126198" w:rsidP="00DC6B74">
      <w:pPr>
        <w:spacing w:line="360" w:lineRule="auto"/>
        <w:jc w:val="both"/>
      </w:pPr>
      <w:r>
        <w:tab/>
        <w:t xml:space="preserve">The second witness </w:t>
      </w:r>
      <w:proofErr w:type="spellStart"/>
      <w:r>
        <w:t>Ms</w:t>
      </w:r>
      <w:proofErr w:type="spellEnd"/>
      <w:r>
        <w:t xml:space="preserve"> </w:t>
      </w:r>
      <w:proofErr w:type="spellStart"/>
      <w:r>
        <w:t>Mudzinge</w:t>
      </w:r>
      <w:proofErr w:type="spellEnd"/>
      <w:r>
        <w:t xml:space="preserve"> gave evidence.  Her evidence was to the following effect – she shared the house with appellant.  She used three rooms there was one entrance to the house.  The entrance was first into the witness’ rooms.  On the fateful day she was standing by a bus stop near their house.  She saw the complainant enter the house.  She decided to </w:t>
      </w:r>
      <w:r w:rsidR="00C549E8">
        <w:t>go</w:t>
      </w:r>
      <w:r>
        <w:t xml:space="preserve"> to her house.  When she was near the house she saw the complainant get out of the house through appellant’s kitchen </w:t>
      </w:r>
      <w:r>
        <w:lastRenderedPageBreak/>
        <w:t xml:space="preserve">window.  She asked why the complainant did that she did not respond.  </w:t>
      </w:r>
      <w:r w:rsidR="00983735">
        <w:t xml:space="preserve">The witness reported the matter to the senior Teacher Miss </w:t>
      </w:r>
      <w:proofErr w:type="spellStart"/>
      <w:r w:rsidR="00983735">
        <w:t>Ntini</w:t>
      </w:r>
      <w:proofErr w:type="spellEnd"/>
      <w:r w:rsidR="00983735">
        <w:t xml:space="preserve">.  </w:t>
      </w:r>
      <w:r w:rsidR="00C549E8">
        <w:t>Under</w:t>
      </w:r>
      <w:r w:rsidR="00983735">
        <w:t xml:space="preserve"> cross examination she said it was around 1400 hours when she went home, she saw appellant enter the house, she did not see him until she went out to the bus stop.  When she returned from the bus stop she entered the house and sat in her sitting room.  She did not see appellant.</w:t>
      </w:r>
    </w:p>
    <w:p w:rsidR="00983735" w:rsidRDefault="00983735" w:rsidP="002E00DD">
      <w:pPr>
        <w:jc w:val="both"/>
      </w:pPr>
    </w:p>
    <w:p w:rsidR="00983735" w:rsidRDefault="00983735" w:rsidP="00DC6B74">
      <w:pPr>
        <w:spacing w:line="360" w:lineRule="auto"/>
        <w:jc w:val="both"/>
      </w:pPr>
      <w:r>
        <w:tab/>
        <w:t>Two more witnesses were called whose evidence I believe did not take the respondent’s case any further.</w:t>
      </w:r>
    </w:p>
    <w:p w:rsidR="00983735" w:rsidRDefault="00983735" w:rsidP="002E00DD">
      <w:pPr>
        <w:jc w:val="both"/>
      </w:pPr>
    </w:p>
    <w:p w:rsidR="00C60AAD" w:rsidRDefault="00983735" w:rsidP="00DC6B74">
      <w:pPr>
        <w:spacing w:line="360" w:lineRule="auto"/>
        <w:jc w:val="both"/>
      </w:pPr>
      <w:r>
        <w:tab/>
        <w:t xml:space="preserve">Appellant gave evidence and called one witness.  Appellant said at the time of the alleged improper association he was at a nearby bottle store, he was there until around 0200 hours.  He claimed the </w:t>
      </w:r>
      <w:r w:rsidR="002A5CD5">
        <w:t>complainant</w:t>
      </w:r>
      <w:r>
        <w:t xml:space="preserve"> was used to settle scores by some teachers.  He did not</w:t>
      </w:r>
      <w:r w:rsidR="002A5CD5">
        <w:t xml:space="preserve"> elaborate on that aspect.  Appellant called a witness one William </w:t>
      </w:r>
      <w:proofErr w:type="spellStart"/>
      <w:r w:rsidR="002A5CD5">
        <w:t>Vutata</w:t>
      </w:r>
      <w:proofErr w:type="spellEnd"/>
      <w:r w:rsidR="00635EB7">
        <w:t xml:space="preserve">.  </w:t>
      </w:r>
      <w:proofErr w:type="spellStart"/>
      <w:r w:rsidR="00635EB7">
        <w:t>Vutata</w:t>
      </w:r>
      <w:proofErr w:type="spellEnd"/>
      <w:r w:rsidR="00635EB7">
        <w:t xml:space="preserve"> was a fellow teacher h</w:t>
      </w:r>
      <w:r w:rsidR="002A5CD5">
        <w:t>is evidence was that on the 24</w:t>
      </w:r>
      <w:r w:rsidR="002A5CD5" w:rsidRPr="002A5CD5">
        <w:rPr>
          <w:vertAlign w:val="superscript"/>
        </w:rPr>
        <w:t>th</w:t>
      </w:r>
      <w:r w:rsidR="002A5CD5">
        <w:t xml:space="preserve"> of May 2013 he met appellant at the beer</w:t>
      </w:r>
      <w:r w:rsidR="002E00DD">
        <w:t xml:space="preserve"> </w:t>
      </w:r>
      <w:r w:rsidR="00C549E8">
        <w:t>hall a</w:t>
      </w:r>
      <w:r w:rsidR="002A5CD5">
        <w:t>round 1500 hours.  They drank beer till l</w:t>
      </w:r>
      <w:r w:rsidR="00C549E8">
        <w:t>ate.  He did not know if</w:t>
      </w:r>
      <w:r w:rsidR="002A5CD5">
        <w:t xml:space="preserve"> appellant at one point went to his house.  He did not discount a possibility that appellant c</w:t>
      </w:r>
      <w:r w:rsidR="00C549E8">
        <w:t>ould have returned home or even</w:t>
      </w:r>
      <w:r w:rsidR="002A5CD5">
        <w:t xml:space="preserve"> </w:t>
      </w:r>
      <w:r w:rsidR="00C549E8">
        <w:t>left</w:t>
      </w:r>
      <w:r w:rsidR="002A5CD5">
        <w:t xml:space="preserve"> the </w:t>
      </w:r>
      <w:r w:rsidR="002E00DD">
        <w:t>beer hall</w:t>
      </w:r>
      <w:r w:rsidR="002A5CD5">
        <w:t xml:space="preserve"> to chat with friends</w:t>
      </w:r>
      <w:r w:rsidR="00635EB7">
        <w:t>, s</w:t>
      </w:r>
      <w:r w:rsidR="002A5CD5">
        <w:t xml:space="preserve">ince he did </w:t>
      </w:r>
      <w:r w:rsidR="00C75BA8">
        <w:t xml:space="preserve">not closely monitor the appellant’s movements.  However he was certain they drank beer until the early hours of </w:t>
      </w:r>
      <w:proofErr w:type="spellStart"/>
      <w:proofErr w:type="gramStart"/>
      <w:r w:rsidR="00C75BA8">
        <w:t>he</w:t>
      </w:r>
      <w:proofErr w:type="spellEnd"/>
      <w:proofErr w:type="gramEnd"/>
      <w:r w:rsidR="00C75BA8">
        <w:t xml:space="preserve"> following day.</w:t>
      </w:r>
    </w:p>
    <w:p w:rsidR="00C75BA8" w:rsidRDefault="00C75BA8" w:rsidP="002E00DD">
      <w:pPr>
        <w:jc w:val="both"/>
      </w:pPr>
    </w:p>
    <w:p w:rsidR="00C75BA8" w:rsidRDefault="00C75BA8" w:rsidP="00DC6B74">
      <w:pPr>
        <w:spacing w:line="360" w:lineRule="auto"/>
        <w:jc w:val="both"/>
      </w:pPr>
      <w:r>
        <w:tab/>
        <w:t xml:space="preserve">What falls for determination first is whether appellant was at the house at the time complainant got to the house.  From the evidence that was before the committee I am inclined to believe the appellant’s version.  The sum total of appellant and his witness’ evidence is the more plausible.  I say this for the following reasons.  The witness </w:t>
      </w:r>
      <w:proofErr w:type="spellStart"/>
      <w:r>
        <w:t>Mudzinge</w:t>
      </w:r>
      <w:proofErr w:type="spellEnd"/>
      <w:r>
        <w:t xml:space="preserve"> under cross examination said she proceeded to her house she shared with appellant around 1400 </w:t>
      </w:r>
      <w:proofErr w:type="gramStart"/>
      <w:r>
        <w:t>hours,</w:t>
      </w:r>
      <w:proofErr w:type="gramEnd"/>
      <w:r>
        <w:t xml:space="preserve"> she saw appellant getting into the house but did not see him until she left for the bus stop.  When she returned from the bus stop she did not see the appellant, she just sat in her sitting room.  However it is when she was approaching the house that she saw the complainant get out of the house through the window.  According </w:t>
      </w:r>
      <w:r w:rsidR="00C549E8">
        <w:t>complainant’s version</w:t>
      </w:r>
      <w:r>
        <w:t xml:space="preserve"> appellant was in the house</w:t>
      </w:r>
      <w:r w:rsidR="00C549E8">
        <w:t xml:space="preserve"> when Miss</w:t>
      </w:r>
      <w:r>
        <w:t xml:space="preserve"> </w:t>
      </w:r>
      <w:proofErr w:type="spellStart"/>
      <w:r>
        <w:t>Mudzinge</w:t>
      </w:r>
      <w:proofErr w:type="spellEnd"/>
      <w:r>
        <w:t xml:space="preserve"> got into the house</w:t>
      </w:r>
      <w:r w:rsidR="00C549E8">
        <w:t>.</w:t>
      </w:r>
      <w:r>
        <w:t xml:space="preserve"> There was one entrance, I believe and one exit.  Th</w:t>
      </w:r>
      <w:r w:rsidR="002E00DD">
        <w:t xml:space="preserve">e entrance was first into Miss </w:t>
      </w:r>
      <w:proofErr w:type="spellStart"/>
      <w:r w:rsidR="002E00DD">
        <w:t>M</w:t>
      </w:r>
      <w:r>
        <w:t>udzinge’s</w:t>
      </w:r>
      <w:proofErr w:type="spellEnd"/>
      <w:r>
        <w:t xml:space="preserve"> rooms.  In my </w:t>
      </w:r>
      <w:r>
        <w:lastRenderedPageBreak/>
        <w:t xml:space="preserve">view since Miss </w:t>
      </w:r>
      <w:proofErr w:type="spellStart"/>
      <w:r>
        <w:t>Mudzinge</w:t>
      </w:r>
      <w:proofErr w:type="spellEnd"/>
      <w:r>
        <w:t xml:space="preserve"> seated herself in her sitting room</w:t>
      </w:r>
      <w:r w:rsidR="004E09AB">
        <w:t xml:space="preserve">.  She could have heard appellant leaving the house.  She said she did not hear any noise or sound in the house.  When then did the appellant leave the house going to the shops such that she then passed by the complainant?  It was the complainant’s evidence that when she walked away from the house after meeting Miss </w:t>
      </w:r>
      <w:proofErr w:type="spellStart"/>
      <w:r w:rsidR="004E09AB">
        <w:t>Mudzinge</w:t>
      </w:r>
      <w:proofErr w:type="spellEnd"/>
      <w:r w:rsidR="004E09AB">
        <w:t xml:space="preserve"> appellant caught up with her and told her not to tell anyone about the incident.  The balance of probabilities are that Miss </w:t>
      </w:r>
      <w:proofErr w:type="spellStart"/>
      <w:r w:rsidR="004E09AB">
        <w:t>Mudzinge</w:t>
      </w:r>
      <w:proofErr w:type="spellEnd"/>
      <w:r w:rsidR="004E09AB">
        <w:t xml:space="preserve"> must have seen the appellant leave the house, either while she was still approaching the house or when she was in the house.  The fact that she did not hear any noise then naturally that would mean appellant spent the rest of the day in the house.  That takes me to my second </w:t>
      </w:r>
      <w:r w:rsidR="00307DC8">
        <w:t>reason for rejecting the evidence presented for the respondent.</w:t>
      </w:r>
    </w:p>
    <w:p w:rsidR="00307DC8" w:rsidRDefault="00307DC8" w:rsidP="002E00DD">
      <w:pPr>
        <w:jc w:val="both"/>
      </w:pPr>
    </w:p>
    <w:p w:rsidR="00307DC8" w:rsidRDefault="00307DC8" w:rsidP="00DC6B74">
      <w:pPr>
        <w:spacing w:line="360" w:lineRule="auto"/>
        <w:jc w:val="both"/>
      </w:pPr>
      <w:r>
        <w:tab/>
        <w:t xml:space="preserve">The witness </w:t>
      </w:r>
      <w:proofErr w:type="spellStart"/>
      <w:r>
        <w:t>Vutata</w:t>
      </w:r>
      <w:proofErr w:type="spellEnd"/>
      <w:r>
        <w:t xml:space="preserve"> gave clear evidence that he met appellant around 1500 hours at the </w:t>
      </w:r>
      <w:r w:rsidR="002E00DD">
        <w:t>beer hall</w:t>
      </w:r>
      <w:r>
        <w:t>.  I do not think the issue of time affects the case.  What is clear from all the evidence is that if the incident took place it must have taken place in the afternoon after work.  It was not in dispute that the appellant left the beer</w:t>
      </w:r>
      <w:r w:rsidR="002E00DD">
        <w:t xml:space="preserve"> </w:t>
      </w:r>
      <w:r>
        <w:t>hal</w:t>
      </w:r>
      <w:r w:rsidR="002E00DD">
        <w:t>l</w:t>
      </w:r>
      <w:r>
        <w:t xml:space="preserve"> late.  Assuming that appellant could have at some point left the </w:t>
      </w:r>
      <w:r w:rsidR="002E00DD">
        <w:t>beer hall</w:t>
      </w:r>
      <w:r>
        <w:t xml:space="preserve"> and went home, where he committed the offence</w:t>
      </w:r>
      <w:r w:rsidR="00F740F8">
        <w:t xml:space="preserve"> he must then at some point</w:t>
      </w:r>
      <w:r>
        <w:t xml:space="preserve"> left the house but the witness Miss </w:t>
      </w:r>
      <w:proofErr w:type="spellStart"/>
      <w:r>
        <w:t>Mudzinge</w:t>
      </w:r>
      <w:proofErr w:type="spellEnd"/>
      <w:r>
        <w:t xml:space="preserve"> did not see appellant leave the house after the appellant.  </w:t>
      </w:r>
      <w:proofErr w:type="gramStart"/>
      <w:r>
        <w:t xml:space="preserve">Even assuming that the appellant committed the </w:t>
      </w:r>
      <w:proofErr w:type="spellStart"/>
      <w:r>
        <w:t>misdemeano</w:t>
      </w:r>
      <w:r w:rsidR="00E55B5E">
        <w:t>u</w:t>
      </w:r>
      <w:r>
        <w:t>r</w:t>
      </w:r>
      <w:proofErr w:type="spellEnd"/>
      <w:r>
        <w:t xml:space="preserve"> </w:t>
      </w:r>
      <w:r w:rsidR="00E55B5E">
        <w:t xml:space="preserve">before he even went to the </w:t>
      </w:r>
      <w:r w:rsidR="002E00DD">
        <w:t>beer hall</w:t>
      </w:r>
      <w:r w:rsidR="00E55B5E">
        <w:t>.</w:t>
      </w:r>
      <w:proofErr w:type="gramEnd"/>
      <w:r w:rsidR="00E55B5E">
        <w:t xml:space="preserve">  That would mean his alibi </w:t>
      </w:r>
      <w:r w:rsidR="00635EB7">
        <w:t xml:space="preserve">is </w:t>
      </w:r>
      <w:r w:rsidR="00E55B5E">
        <w:t>irrelevant.  In my vie</w:t>
      </w:r>
      <w:r w:rsidR="00F740F8">
        <w:t>w according to the two witnesses’</w:t>
      </w:r>
      <w:r w:rsidR="00E55B5E">
        <w:t xml:space="preserve"> evidence Miss </w:t>
      </w:r>
      <w:proofErr w:type="spellStart"/>
      <w:r w:rsidR="00E55B5E">
        <w:t>Mudzinge</w:t>
      </w:r>
      <w:proofErr w:type="spellEnd"/>
      <w:r w:rsidR="00E55B5E">
        <w:t xml:space="preserve"> and the complainant, Miss </w:t>
      </w:r>
      <w:proofErr w:type="spellStart"/>
      <w:r w:rsidR="00E55B5E">
        <w:t>Mudzinge</w:t>
      </w:r>
      <w:proofErr w:type="spellEnd"/>
      <w:r w:rsidR="00E55B5E">
        <w:t xml:space="preserve"> should have seen appellant </w:t>
      </w:r>
      <w:r w:rsidR="00F740F8">
        <w:t>leaving the</w:t>
      </w:r>
      <w:r w:rsidR="00097460">
        <w:t xml:space="preserve"> house.  The </w:t>
      </w:r>
      <w:proofErr w:type="gramStart"/>
      <w:r w:rsidR="00097460">
        <w:t>balance of probabilities favour</w:t>
      </w:r>
      <w:proofErr w:type="gramEnd"/>
      <w:r w:rsidR="00097460">
        <w:t xml:space="preserve"> the inference that the appellant was not in the house when the complainant entered the house and subsequently jumped through the appellant’s kitchen window.</w:t>
      </w:r>
    </w:p>
    <w:p w:rsidR="00F740F8" w:rsidRDefault="00F740F8" w:rsidP="00F740F8">
      <w:pPr>
        <w:jc w:val="both"/>
      </w:pPr>
    </w:p>
    <w:p w:rsidR="00097460" w:rsidRDefault="00097460" w:rsidP="00DC6B74">
      <w:pPr>
        <w:spacing w:line="360" w:lineRule="auto"/>
        <w:jc w:val="both"/>
      </w:pPr>
      <w:r>
        <w:tab/>
        <w:t xml:space="preserve">Complainant’s evidence also </w:t>
      </w:r>
      <w:r w:rsidR="002E00DD">
        <w:t>contradicts</w:t>
      </w:r>
      <w:r>
        <w:t xml:space="preserve"> itself.  She said appellant dragged her to the </w:t>
      </w:r>
      <w:r w:rsidR="002E00DD">
        <w:t>bedroom</w:t>
      </w:r>
      <w:r>
        <w:t xml:space="preserve">.  When appellant suspected that someone entered the house he lifted her and threw her out using the kitchen window.  It is not clear whether appellant had returned with her to the kitchen.  Apparently </w:t>
      </w:r>
      <w:r w:rsidR="00F740F8">
        <w:t xml:space="preserve">the </w:t>
      </w:r>
      <w:r>
        <w:t xml:space="preserve">evidence showed that no one had entered the house.  Miss </w:t>
      </w:r>
      <w:proofErr w:type="spellStart"/>
      <w:r>
        <w:t>Mudzinge</w:t>
      </w:r>
      <w:proofErr w:type="spellEnd"/>
      <w:r>
        <w:t xml:space="preserve"> entered the house after the incident.</w:t>
      </w:r>
    </w:p>
    <w:p w:rsidR="00097460" w:rsidRDefault="00097460" w:rsidP="002E00DD">
      <w:pPr>
        <w:jc w:val="both"/>
      </w:pPr>
    </w:p>
    <w:p w:rsidR="002E00DD" w:rsidRDefault="00097460" w:rsidP="00DC6B74">
      <w:pPr>
        <w:spacing w:line="360" w:lineRule="auto"/>
        <w:jc w:val="both"/>
      </w:pPr>
      <w:r>
        <w:tab/>
        <w:t xml:space="preserve">The question remains why the complainant jumped through the window.  A reconstruction of the events from the evidence can provide a reasonable explanation.  Firstly complainant knocked at the door, there was no response but she entered all the same.  Secondly Miss </w:t>
      </w:r>
      <w:proofErr w:type="spellStart"/>
      <w:r>
        <w:t>Mudzinge</w:t>
      </w:r>
      <w:proofErr w:type="spellEnd"/>
      <w:r>
        <w:t xml:space="preserve"> said when she reported to the senior Teacher she suspected that complainant</w:t>
      </w:r>
      <w:r w:rsidR="00C82F10">
        <w:t xml:space="preserve"> wanted to steal, her ice cream was stolen in the past, she did not know who stole it.  Although this was not pursued as it was irrelevant to the case I believe that it presents an alternative explanation.  The complainant might have intended to visit her friend, but realizing there was no one in the house she could have had other thoughts.  When she saw Miss </w:t>
      </w:r>
      <w:proofErr w:type="spellStart"/>
      <w:r w:rsidR="00C82F10">
        <w:t>Mudzinge</w:t>
      </w:r>
      <w:proofErr w:type="spellEnd"/>
      <w:r w:rsidR="00C82F10">
        <w:t xml:space="preserve"> approaching the house she escaped through the window.  When asked by Miss </w:t>
      </w:r>
      <w:proofErr w:type="spellStart"/>
      <w:r w:rsidR="00C82F10">
        <w:t>Mudzinge</w:t>
      </w:r>
      <w:proofErr w:type="spellEnd"/>
      <w:r w:rsidR="00C82F10">
        <w:t xml:space="preserve"> why she came through the window she did not respond but appeared fearful.  Either way she had reason to be </w:t>
      </w:r>
      <w:proofErr w:type="gramStart"/>
      <w:r w:rsidR="00C82F10">
        <w:t>afraid,</w:t>
      </w:r>
      <w:proofErr w:type="gramEnd"/>
      <w:r w:rsidR="00C82F10">
        <w:t xml:space="preserve"> if she had intentions to steal she was supposed to be fearful.  If indeed appellant was about to sexually assault her she was supposed to appear shocked and fearful.  I cannot hold anything against her for failing to report immediately to Miss </w:t>
      </w:r>
      <w:proofErr w:type="spellStart"/>
      <w:r w:rsidR="00C82F10">
        <w:t>Mudzinge</w:t>
      </w:r>
      <w:proofErr w:type="spellEnd"/>
      <w:r w:rsidR="00C82F10">
        <w:t xml:space="preserve"> when an opportunity had presented itself.  The evidence as </w:t>
      </w:r>
      <w:proofErr w:type="spellStart"/>
      <w:r w:rsidR="00C82F10">
        <w:t>indicaed</w:t>
      </w:r>
      <w:proofErr w:type="spellEnd"/>
      <w:r w:rsidR="00C82F10">
        <w:t xml:space="preserve"> before does not support the latter possible reason of the complainant’s fearful state.</w:t>
      </w:r>
    </w:p>
    <w:p w:rsidR="002E00DD" w:rsidRDefault="002E00DD" w:rsidP="002E00DD">
      <w:pPr>
        <w:spacing w:line="276" w:lineRule="auto"/>
        <w:jc w:val="both"/>
      </w:pPr>
    </w:p>
    <w:p w:rsidR="002E00DD" w:rsidRDefault="002E00DD" w:rsidP="00DC6B74">
      <w:pPr>
        <w:spacing w:line="360" w:lineRule="auto"/>
        <w:jc w:val="both"/>
      </w:pPr>
      <w:r>
        <w:tab/>
        <w:t xml:space="preserve">From the foregoing I </w:t>
      </w:r>
      <w:proofErr w:type="spellStart"/>
      <w:r>
        <w:t>donot</w:t>
      </w:r>
      <w:proofErr w:type="spellEnd"/>
      <w:r>
        <w:t xml:space="preserve"> believe that on a balance of probabilities there was evidence to show that appellant committed the </w:t>
      </w:r>
      <w:proofErr w:type="spellStart"/>
      <w:r>
        <w:t>misdemeanour</w:t>
      </w:r>
      <w:proofErr w:type="spellEnd"/>
      <w:r>
        <w:t xml:space="preserve"> as alleged.  There is no need to deal with the second ground of appeal having made the finding above.</w:t>
      </w:r>
    </w:p>
    <w:p w:rsidR="002E00DD" w:rsidRDefault="002E00DD" w:rsidP="002E00DD">
      <w:pPr>
        <w:jc w:val="both"/>
      </w:pPr>
    </w:p>
    <w:p w:rsidR="002E00DD" w:rsidRDefault="002E00DD" w:rsidP="00DC6B74">
      <w:pPr>
        <w:spacing w:line="360" w:lineRule="auto"/>
        <w:jc w:val="both"/>
      </w:pPr>
      <w:r>
        <w:tab/>
        <w:t>Accordingly the following order is made.</w:t>
      </w:r>
    </w:p>
    <w:p w:rsidR="002E00DD" w:rsidRDefault="002E00DD" w:rsidP="002E00DD">
      <w:pPr>
        <w:jc w:val="both"/>
      </w:pPr>
    </w:p>
    <w:p w:rsidR="002E00DD" w:rsidRDefault="002E00DD" w:rsidP="002E00DD">
      <w:pPr>
        <w:pStyle w:val="ListParagraph"/>
        <w:numPr>
          <w:ilvl w:val="0"/>
          <w:numId w:val="1"/>
        </w:numPr>
        <w:spacing w:line="360" w:lineRule="auto"/>
        <w:jc w:val="both"/>
      </w:pPr>
      <w:r>
        <w:t>The appeal be and is hereby upheld.</w:t>
      </w:r>
    </w:p>
    <w:p w:rsidR="002E00DD" w:rsidRDefault="002E00DD" w:rsidP="002E00DD">
      <w:pPr>
        <w:pStyle w:val="ListParagraph"/>
        <w:numPr>
          <w:ilvl w:val="0"/>
          <w:numId w:val="1"/>
        </w:numPr>
        <w:spacing w:line="360" w:lineRule="auto"/>
        <w:jc w:val="both"/>
      </w:pPr>
      <w:r>
        <w:t>The respondent is ordered to reinstate the appellant to his position without any loss of salary or benefit from the date of dismissal.</w:t>
      </w:r>
    </w:p>
    <w:p w:rsidR="002E00DD" w:rsidRDefault="002E00DD" w:rsidP="002E00DD">
      <w:pPr>
        <w:pStyle w:val="ListParagraph"/>
        <w:numPr>
          <w:ilvl w:val="0"/>
          <w:numId w:val="1"/>
        </w:numPr>
        <w:spacing w:line="360" w:lineRule="auto"/>
        <w:jc w:val="both"/>
      </w:pPr>
      <w:r>
        <w:t>No order as to costs.</w:t>
      </w:r>
    </w:p>
    <w:p w:rsidR="002E00DD" w:rsidRDefault="002E00DD" w:rsidP="002E00DD">
      <w:pPr>
        <w:spacing w:line="360" w:lineRule="auto"/>
        <w:jc w:val="both"/>
      </w:pPr>
    </w:p>
    <w:p w:rsidR="002E00DD" w:rsidRDefault="002E00DD" w:rsidP="002E00DD">
      <w:pPr>
        <w:spacing w:line="360" w:lineRule="auto"/>
        <w:jc w:val="both"/>
      </w:pPr>
    </w:p>
    <w:p w:rsidR="00097460" w:rsidRDefault="002E00DD" w:rsidP="002E00DD">
      <w:pPr>
        <w:spacing w:line="360" w:lineRule="auto"/>
        <w:jc w:val="both"/>
      </w:pPr>
      <w:r w:rsidRPr="002E00DD">
        <w:rPr>
          <w:b/>
          <w:i/>
        </w:rPr>
        <w:t>MUNYARADZI GWISAI &amp; PARTNERS</w:t>
      </w:r>
      <w:r>
        <w:t>, Appellant’s legal practitioners</w:t>
      </w:r>
    </w:p>
    <w:p w:rsidR="00DC6B74" w:rsidRDefault="00DC6B74">
      <w:pPr>
        <w:spacing w:line="360" w:lineRule="auto"/>
        <w:jc w:val="both"/>
      </w:pPr>
    </w:p>
    <w:sectPr w:rsidR="00DC6B74" w:rsidSect="00126198">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294" w:rsidRDefault="00065294" w:rsidP="00126198">
      <w:r>
        <w:separator/>
      </w:r>
    </w:p>
  </w:endnote>
  <w:endnote w:type="continuationSeparator" w:id="0">
    <w:p w:rsidR="00065294" w:rsidRDefault="00065294" w:rsidP="00126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77354"/>
      <w:docPartObj>
        <w:docPartGallery w:val="Page Numbers (Bottom of Page)"/>
        <w:docPartUnique/>
      </w:docPartObj>
    </w:sdtPr>
    <w:sdtEndPr/>
    <w:sdtContent>
      <w:p w:rsidR="00C82F10" w:rsidRDefault="00065294">
        <w:pPr>
          <w:pStyle w:val="Footer"/>
          <w:jc w:val="center"/>
        </w:pPr>
        <w:r>
          <w:fldChar w:fldCharType="begin"/>
        </w:r>
        <w:r>
          <w:instrText xml:space="preserve"> PAGE   \* MERGEFORMAT </w:instrText>
        </w:r>
        <w:r>
          <w:fldChar w:fldCharType="separate"/>
        </w:r>
        <w:r w:rsidR="005B5572">
          <w:rPr>
            <w:noProof/>
          </w:rPr>
          <w:t>6</w:t>
        </w:r>
        <w:r>
          <w:rPr>
            <w:noProof/>
          </w:rPr>
          <w:fldChar w:fldCharType="end"/>
        </w:r>
      </w:p>
    </w:sdtContent>
  </w:sdt>
  <w:p w:rsidR="00C82F10" w:rsidRDefault="00C82F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294" w:rsidRDefault="00065294" w:rsidP="00126198">
      <w:r>
        <w:separator/>
      </w:r>
    </w:p>
  </w:footnote>
  <w:footnote w:type="continuationSeparator" w:id="0">
    <w:p w:rsidR="00065294" w:rsidRDefault="00065294" w:rsidP="001261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F10" w:rsidRDefault="00C82F10">
    <w:pPr>
      <w:pStyle w:val="Header"/>
    </w:pPr>
    <w:r>
      <w:tab/>
    </w:r>
    <w:r>
      <w:tab/>
      <w:t>JUDGMENT NO. LC/H/</w:t>
    </w:r>
    <w:r w:rsidR="00635EB7">
      <w:t>699</w:t>
    </w:r>
    <w: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BB0923"/>
    <w:multiLevelType w:val="hybridMultilevel"/>
    <w:tmpl w:val="5BF67E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B74"/>
    <w:rsid w:val="00022E96"/>
    <w:rsid w:val="00065294"/>
    <w:rsid w:val="00097460"/>
    <w:rsid w:val="00126198"/>
    <w:rsid w:val="00154FC5"/>
    <w:rsid w:val="0024637A"/>
    <w:rsid w:val="002A5CD5"/>
    <w:rsid w:val="002A6AFC"/>
    <w:rsid w:val="002E00DD"/>
    <w:rsid w:val="00307DC8"/>
    <w:rsid w:val="00366437"/>
    <w:rsid w:val="003C4620"/>
    <w:rsid w:val="003D7BEA"/>
    <w:rsid w:val="00404735"/>
    <w:rsid w:val="004E09AB"/>
    <w:rsid w:val="0051422B"/>
    <w:rsid w:val="005B5572"/>
    <w:rsid w:val="00604124"/>
    <w:rsid w:val="00635EB7"/>
    <w:rsid w:val="00653BCD"/>
    <w:rsid w:val="00663DFE"/>
    <w:rsid w:val="006A3B1B"/>
    <w:rsid w:val="00745E74"/>
    <w:rsid w:val="007504C9"/>
    <w:rsid w:val="0080462A"/>
    <w:rsid w:val="00810F33"/>
    <w:rsid w:val="0082297F"/>
    <w:rsid w:val="008312B7"/>
    <w:rsid w:val="00850BAF"/>
    <w:rsid w:val="00983735"/>
    <w:rsid w:val="00A40317"/>
    <w:rsid w:val="00A6519C"/>
    <w:rsid w:val="00A92F63"/>
    <w:rsid w:val="00AA4298"/>
    <w:rsid w:val="00C549E8"/>
    <w:rsid w:val="00C60AAD"/>
    <w:rsid w:val="00C75BA8"/>
    <w:rsid w:val="00C82F10"/>
    <w:rsid w:val="00CE69F5"/>
    <w:rsid w:val="00D45901"/>
    <w:rsid w:val="00DC6B74"/>
    <w:rsid w:val="00E37B9D"/>
    <w:rsid w:val="00E55B5E"/>
    <w:rsid w:val="00E56CC6"/>
    <w:rsid w:val="00EF3DF7"/>
    <w:rsid w:val="00F070CF"/>
    <w:rsid w:val="00F740F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B74"/>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26198"/>
    <w:pPr>
      <w:tabs>
        <w:tab w:val="center" w:pos="4513"/>
        <w:tab w:val="right" w:pos="9026"/>
      </w:tabs>
    </w:pPr>
  </w:style>
  <w:style w:type="character" w:customStyle="1" w:styleId="HeaderChar">
    <w:name w:val="Header Char"/>
    <w:basedOn w:val="DefaultParagraphFont"/>
    <w:link w:val="Header"/>
    <w:uiPriority w:val="99"/>
    <w:semiHidden/>
    <w:rsid w:val="00126198"/>
    <w:rPr>
      <w:rFonts w:ascii="Tahoma" w:eastAsia="Times New Roman" w:hAnsi="Tahoma" w:cs="Times New Roman"/>
      <w:sz w:val="24"/>
      <w:szCs w:val="24"/>
      <w:lang w:val="en-US"/>
    </w:rPr>
  </w:style>
  <w:style w:type="paragraph" w:styleId="Footer">
    <w:name w:val="footer"/>
    <w:basedOn w:val="Normal"/>
    <w:link w:val="FooterChar"/>
    <w:uiPriority w:val="99"/>
    <w:unhideWhenUsed/>
    <w:rsid w:val="00126198"/>
    <w:pPr>
      <w:tabs>
        <w:tab w:val="center" w:pos="4513"/>
        <w:tab w:val="right" w:pos="9026"/>
      </w:tabs>
    </w:pPr>
  </w:style>
  <w:style w:type="character" w:customStyle="1" w:styleId="FooterChar">
    <w:name w:val="Footer Char"/>
    <w:basedOn w:val="DefaultParagraphFont"/>
    <w:link w:val="Footer"/>
    <w:uiPriority w:val="99"/>
    <w:rsid w:val="00126198"/>
    <w:rPr>
      <w:rFonts w:ascii="Tahoma" w:eastAsia="Times New Roman" w:hAnsi="Tahoma" w:cs="Times New Roman"/>
      <w:sz w:val="24"/>
      <w:szCs w:val="24"/>
      <w:lang w:val="en-US"/>
    </w:rPr>
  </w:style>
  <w:style w:type="paragraph" w:styleId="ListParagraph">
    <w:name w:val="List Paragraph"/>
    <w:basedOn w:val="Normal"/>
    <w:uiPriority w:val="34"/>
    <w:qFormat/>
    <w:rsid w:val="002E00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B74"/>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26198"/>
    <w:pPr>
      <w:tabs>
        <w:tab w:val="center" w:pos="4513"/>
        <w:tab w:val="right" w:pos="9026"/>
      </w:tabs>
    </w:pPr>
  </w:style>
  <w:style w:type="character" w:customStyle="1" w:styleId="HeaderChar">
    <w:name w:val="Header Char"/>
    <w:basedOn w:val="DefaultParagraphFont"/>
    <w:link w:val="Header"/>
    <w:uiPriority w:val="99"/>
    <w:semiHidden/>
    <w:rsid w:val="00126198"/>
    <w:rPr>
      <w:rFonts w:ascii="Tahoma" w:eastAsia="Times New Roman" w:hAnsi="Tahoma" w:cs="Times New Roman"/>
      <w:sz w:val="24"/>
      <w:szCs w:val="24"/>
      <w:lang w:val="en-US"/>
    </w:rPr>
  </w:style>
  <w:style w:type="paragraph" w:styleId="Footer">
    <w:name w:val="footer"/>
    <w:basedOn w:val="Normal"/>
    <w:link w:val="FooterChar"/>
    <w:uiPriority w:val="99"/>
    <w:unhideWhenUsed/>
    <w:rsid w:val="00126198"/>
    <w:pPr>
      <w:tabs>
        <w:tab w:val="center" w:pos="4513"/>
        <w:tab w:val="right" w:pos="9026"/>
      </w:tabs>
    </w:pPr>
  </w:style>
  <w:style w:type="character" w:customStyle="1" w:styleId="FooterChar">
    <w:name w:val="Footer Char"/>
    <w:basedOn w:val="DefaultParagraphFont"/>
    <w:link w:val="Footer"/>
    <w:uiPriority w:val="99"/>
    <w:rsid w:val="00126198"/>
    <w:rPr>
      <w:rFonts w:ascii="Tahoma" w:eastAsia="Times New Roman" w:hAnsi="Tahoma" w:cs="Times New Roman"/>
      <w:sz w:val="24"/>
      <w:szCs w:val="24"/>
      <w:lang w:val="en-US"/>
    </w:rPr>
  </w:style>
  <w:style w:type="paragraph" w:styleId="ListParagraph">
    <w:name w:val="List Paragraph"/>
    <w:basedOn w:val="Normal"/>
    <w:uiPriority w:val="34"/>
    <w:qFormat/>
    <w:rsid w:val="002E00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97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72043-3B8B-40AB-B0A2-E51C7B1EC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1537</Words>
  <Characters>8763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2014-10-13T09:53:00Z</cp:lastPrinted>
  <dcterms:created xsi:type="dcterms:W3CDTF">2017-04-06T09:27:00Z</dcterms:created>
  <dcterms:modified xsi:type="dcterms:W3CDTF">2017-04-06T09:27:00Z</dcterms:modified>
</cp:coreProperties>
</file>